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Roivant Sciences Ltd.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20" w:type="dxa"/>
            <w:vAlign w:val="bottom"/>
            <w:tcBorders>
              <w:top w:val="single" w:sz="8" w:color="0000EE"/>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03/04/2015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TEKMIRA PHARMACEUTICALS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TKMR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940" w:type="dxa"/>
            <w:vAlign w:val="bottom"/>
          </w:tcPr>
          <w:p>
            <w:pPr>
              <w:ind w:left="100"/>
              <w:spacing w:after="0"/>
              <w:rPr>
                <w:sz w:val="20"/>
                <w:szCs w:val="20"/>
                <w:color w:val="auto"/>
              </w:rPr>
            </w:pPr>
            <w:r>
              <w:rPr>
                <w:rFonts w:ascii="Arial" w:cs="Arial" w:eastAsia="Arial" w:hAnsi="Arial"/>
                <w:sz w:val="14"/>
                <w:szCs w:val="14"/>
                <w:color w:val="auto"/>
              </w:rPr>
              <w:t>(First)</w:t>
            </w:r>
          </w:p>
        </w:tc>
        <w:tc>
          <w:tcPr>
            <w:tcW w:w="128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60" w:type="dxa"/>
            <w:vAlign w:val="bottom"/>
            <w:gridSpan w:val="2"/>
          </w:tcPr>
          <w:p>
            <w:pPr>
              <w:ind w:left="20"/>
              <w:spacing w:after="0"/>
              <w:rPr>
                <w:sz w:val="20"/>
                <w:szCs w:val="20"/>
                <w:color w:val="auto"/>
              </w:rPr>
            </w:pPr>
            <w:r>
              <w:rPr>
                <w:rFonts w:ascii="Arial" w:cs="Arial" w:eastAsia="Arial" w:hAnsi="Arial"/>
                <w:sz w:val="18"/>
                <w:szCs w:val="18"/>
                <w:color w:val="0000FF"/>
              </w:rPr>
              <w:t>CLARENDON HOUSE</w:t>
            </w:r>
          </w:p>
        </w:tc>
        <w:tc>
          <w:tcPr>
            <w:tcW w:w="128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960" w:type="dxa"/>
            <w:vAlign w:val="bottom"/>
            <w:gridSpan w:val="2"/>
          </w:tcPr>
          <w:p>
            <w:pPr>
              <w:ind w:left="20"/>
              <w:spacing w:after="0"/>
              <w:rPr>
                <w:sz w:val="20"/>
                <w:szCs w:val="20"/>
                <w:color w:val="auto"/>
              </w:rPr>
            </w:pPr>
            <w:r>
              <w:rPr>
                <w:rFonts w:ascii="Arial" w:cs="Arial" w:eastAsia="Arial" w:hAnsi="Arial"/>
                <w:sz w:val="18"/>
                <w:szCs w:val="18"/>
                <w:color w:val="0000FF"/>
              </w:rPr>
              <w:t>2 CHURCH STREET</w:t>
            </w:r>
          </w:p>
        </w:tc>
        <w:tc>
          <w:tcPr>
            <w:tcW w:w="128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HAMILTON</w:t>
            </w:r>
          </w:p>
        </w:tc>
        <w:tc>
          <w:tcPr>
            <w:tcW w:w="940" w:type="dxa"/>
            <w:vAlign w:val="bottom"/>
          </w:tcPr>
          <w:p>
            <w:pPr>
              <w:ind w:left="100"/>
              <w:spacing w:after="0"/>
              <w:rPr>
                <w:sz w:val="20"/>
                <w:szCs w:val="20"/>
                <w:color w:val="auto"/>
              </w:rPr>
            </w:pPr>
            <w:r>
              <w:rPr>
                <w:rFonts w:ascii="Arial" w:cs="Arial" w:eastAsia="Arial" w:hAnsi="Arial"/>
                <w:sz w:val="18"/>
                <w:szCs w:val="18"/>
                <w:color w:val="0000FF"/>
              </w:rPr>
              <w:t>D0</w:t>
            </w:r>
          </w:p>
        </w:tc>
        <w:tc>
          <w:tcPr>
            <w:tcW w:w="1280" w:type="dxa"/>
            <w:vAlign w:val="bottom"/>
          </w:tcPr>
          <w:p>
            <w:pPr>
              <w:ind w:left="240"/>
              <w:spacing w:after="0"/>
              <w:rPr>
                <w:sz w:val="20"/>
                <w:szCs w:val="20"/>
                <w:color w:val="auto"/>
              </w:rPr>
            </w:pPr>
            <w:r>
              <w:rPr>
                <w:rFonts w:ascii="Arial" w:cs="Arial" w:eastAsia="Arial" w:hAnsi="Arial"/>
                <w:sz w:val="18"/>
                <w:szCs w:val="18"/>
                <w:color w:val="0000FF"/>
              </w:rPr>
              <w:t>HM11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0" w:type="dxa"/>
            <w:vAlign w:val="bottom"/>
            <w:gridSpan w:val="2"/>
          </w:tcPr>
          <w:p>
            <w:pPr>
              <w:ind w:left="62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4"/>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0" w:type="dxa"/>
            <w:vAlign w:val="bottom"/>
            <w:gridSpan w:val="2"/>
          </w:tcPr>
          <w:p>
            <w:pPr>
              <w:ind w:left="62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13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jc w:val="right"/>
              <w:ind w:right="427"/>
              <w:spacing w:after="0"/>
              <w:rPr>
                <w:sz w:val="20"/>
                <w:szCs w:val="20"/>
                <w:color w:val="auto"/>
              </w:rPr>
            </w:pPr>
            <w:r>
              <w:rPr>
                <w:rFonts w:ascii="Arial" w:cs="Arial" w:eastAsia="Arial" w:hAnsi="Arial"/>
                <w:sz w:val="18"/>
                <w:szCs w:val="18"/>
                <w:color w:val="0000FF"/>
              </w:rPr>
              <w:t>16,013,540</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4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40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5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4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48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ind w:left="320"/>
              <w:spacing w:after="0" w:line="145" w:lineRule="exact"/>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0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of</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32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Roivant Sciences Ltd. ("Roivant") held 15,901,246 shares of common stock of OnCore Biopharma, Inc. ("OnCore"). Pursuant to that certain Agreement and Plan of Merger and Reorganization, dated January 11, 2015, by and among the issuer, TKM Acquisition Corporation and OnCore (the "Merger"), each issued and outstanding share of OnCore common stock was converted into 1.007062 common shares (rounded down) of the issuer. The closing of the Merger occurred on March 4, 2015.</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 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/s/Alison Haggerty,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03/16/2015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38" w:lineRule="auto"/>
        <w:rPr>
          <w:sz w:val="20"/>
          <w:szCs w:val="20"/>
          <w:color w:val="auto"/>
        </w:rPr>
      </w:pPr>
      <w:r>
        <w:rPr>
          <w:rFonts w:ascii="Courier New" w:cs="Courier New" w:eastAsia="Courier New" w:hAnsi="Courier New"/>
          <w:sz w:val="18"/>
          <w:szCs w:val="18"/>
          <w:color w:val="auto"/>
        </w:rPr>
        <w:t>(For Executing Form ID and Forms 3, 4 and 5)</w:t>
      </w:r>
    </w:p>
    <w:p>
      <w:pPr>
        <w:spacing w:after="0" w:line="207"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Div Gupta and Alison Haggerty of Cooley LLP, signing individually, the undersigned's true and lawful attorney-in-fact and agents to:</w:t>
      </w:r>
    </w:p>
    <w:p>
      <w:pPr>
        <w:spacing w:after="0" w:line="178" w:lineRule="exact"/>
        <w:rPr>
          <w:sz w:val="20"/>
          <w:szCs w:val="20"/>
          <w:color w:val="auto"/>
        </w:rPr>
      </w:pPr>
    </w:p>
    <w:p>
      <w:pPr>
        <w:ind w:right="1459" w:firstLine="8"/>
        <w:spacing w:after="0" w:line="268" w:lineRule="auto"/>
        <w:tabs>
          <w:tab w:leader="none" w:pos="84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Securities and Exchange Commission (the "SEC") a Form ID, including amendments thereto, and any other documents necessary or appropriate</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obtain codes and passwords enabling the undersigned to make electronic filings with the SEC of reports required by Section 16(a) of the Securities Exchange Act of 1934, as amended (the "Exchange Act"), or any rule or regulation thereunder;</w:t>
      </w:r>
    </w:p>
    <w:p>
      <w:pPr>
        <w:spacing w:after="0" w:line="207" w:lineRule="exact"/>
        <w:rPr>
          <w:rFonts w:ascii="Courier New" w:cs="Courier New" w:eastAsia="Courier New" w:hAnsi="Courier New"/>
          <w:sz w:val="16"/>
          <w:szCs w:val="16"/>
          <w:color w:val="auto"/>
        </w:rPr>
      </w:pPr>
    </w:p>
    <w:p>
      <w:pPr>
        <w:ind w:right="1459" w:firstLine="8"/>
        <w:spacing w:after="0" w:line="268" w:lineRule="auto"/>
        <w:tabs>
          <w:tab w:leader="none" w:pos="84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SEC Forms 3, 4 and 5 (including amendments thereto and joint filing agreements in connection therewith) in accordance with Section 16(a) of</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Exchange Act and the rules thereunder;</w:t>
      </w:r>
    </w:p>
    <w:p>
      <w:pPr>
        <w:spacing w:after="0" w:line="207" w:lineRule="exact"/>
        <w:rPr>
          <w:rFonts w:ascii="Courier New" w:cs="Courier New" w:eastAsia="Courier New" w:hAnsi="Courier New"/>
          <w:sz w:val="16"/>
          <w:szCs w:val="16"/>
          <w:color w:val="auto"/>
        </w:rPr>
      </w:pPr>
    </w:p>
    <w:p>
      <w:pPr>
        <w:ind w:right="167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prepare, complete and execute any such Form 3, 4 or 5 (including amendments thereto and joint filing agreements in connection therewith) and timely file such forms with the SEC and any stock exchange, self-regulatory association or any other authority; and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any such attorney-in-fact, may be necessary or desirable in connection with the foregoing authority, it being understood that the documents executed by any such attorney-in-fact on behalf of the undersigned pursuant to this Power of Attorney shall be in such form and shall contain such terms and conditions as the attorney-in-fact may approve in the attorney-in-fact's discretion.</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any of the undersigned's responsibilities to comply with Section 16 of the Exchange Act.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unless earlier revoked by the undersigned in a signed writing delivered to the attorneys-in-fact or, as to any attorney-in-fact individually, such attorney-in-fact is no longer affiliated with Cooley LLP, as applicable. This Power of Attorney revokes any other power of attorney that the undersigned has previously granted to representatives of Cooley LLP. This Power of Attorney may be filed with the SEC as a confirming statement of the authority granted herein.</w:t>
      </w:r>
    </w:p>
    <w:p>
      <w:pPr>
        <w:spacing w:after="0" w:line="212"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written below.</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25, 2015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Roivant Sciences Ltd.</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/s/Ilan Oren</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Ilan Oren</w:t>
      </w:r>
    </w:p>
    <w:p>
      <w:pPr>
        <w:spacing w:after="0"/>
        <w:rPr>
          <w:sz w:val="20"/>
          <w:szCs w:val="20"/>
          <w:color w:val="auto"/>
        </w:rPr>
      </w:pPr>
      <w:r>
        <w:rPr>
          <w:rFonts w:ascii="Courier New" w:cs="Courier New" w:eastAsia="Courier New" w:hAnsi="Courier New"/>
          <w:sz w:val="18"/>
          <w:szCs w:val="18"/>
          <w:color w:val="auto"/>
        </w:rPr>
        <w:t>Title: Director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35088" TargetMode="External"/><Relationship Id="rId12" Type="http://schemas.openxmlformats.org/officeDocument/2006/relationships/hyperlink" Target="http://www.sec.gov/cgi-bin/browse-edgar?action=getcompany&amp;CIK=00014470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2019-12-08T21:31:59Z</dcterms:created>
  <dcterms:modified xsi:type="dcterms:W3CDTF">2019-12-08T21:31:59Z</dcterms:modified>
</cp:coreProperties>
</file>