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3886x1_def14a_100-regcov_pg1"/>
        <w:bookmarkStart w:id="1" w:name="ny20073886x1_def14a.htm"/>
        <w:bookmarkStart w:id="2" w:name="ksny20073886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95" w:type="dxa"/>
        <w:jc w:val="left"/>
        <w:tblInd w:w="0" w:type="dxa"/>
        <w:tblLayout w:type="fixed"/>
        <w:tblCellMar>
          <w:top w:w="0" w:type="dxa"/>
          <w:left w:w="0" w:type="dxa"/>
          <w:bottom w:w="0" w:type="dxa"/>
          <w:right w:w="0" w:type="dxa"/>
        </w:tblCellMar>
      </w:tblPr>
      <w:tblGrid>
        <w:gridCol w:w="305"/>
        <w:gridCol w:w="3290"/>
      </w:tblGrid>
      <w:tr>
        <w:trPr/>
        <w:tc>
          <w:tcPr>
            <w:tcW w:w="305" w:type="dxa"/>
            <w:tcBorders/>
            <w:vAlign w:val="center"/>
          </w:tcPr>
          <w:p>
            <w:pPr>
              <w:pStyle w:val="TableContents"/>
              <w:bidi w:val="0"/>
              <w:spacing w:before="0" w:after="0"/>
              <w:jc w:val="left"/>
              <w:rPr>
                <w:color w:val="000000"/>
              </w:rPr>
            </w:pPr>
            <w:r>
              <w:rPr>
                <w:color w:val="000000"/>
              </w:rPr>
              <w:t> ☐</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Roivant Sciences Ltd.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7945" w:type="dxa"/>
        <w:jc w:val="left"/>
        <w:tblInd w:w="0" w:type="dxa"/>
        <w:tblLayout w:type="fixed"/>
        <w:tblCellMar>
          <w:top w:w="0" w:type="dxa"/>
          <w:left w:w="0" w:type="dxa"/>
          <w:bottom w:w="0" w:type="dxa"/>
          <w:right w:w="0" w:type="dxa"/>
        </w:tblCellMar>
      </w:tblPr>
      <w:tblGrid>
        <w:gridCol w:w="305"/>
        <w:gridCol w:w="7640"/>
      </w:tblGrid>
      <w:tr>
        <w:trPr/>
        <w:tc>
          <w:tcPr>
            <w:tcW w:w="305" w:type="dxa"/>
            <w:tcBorders/>
            <w:vAlign w:val="center"/>
          </w:tcPr>
          <w:p>
            <w:pPr>
              <w:pStyle w:val="TableContents"/>
              <w:bidi w:val="0"/>
              <w:spacing w:before="0" w:after="0"/>
              <w:jc w:val="left"/>
              <w:rPr>
                <w:color w:val="000000"/>
              </w:rPr>
            </w:pPr>
            <w:r>
              <w:rPr>
                <w:color w:val="000000"/>
              </w:rPr>
              <w:t> ☐</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3886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1051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0515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7th Floor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50 Broadway</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London SW1H 0DB</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United Kingdom</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GENERAL MEETING OF SHAREHOLDERS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16,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Roivant Sciences Ltd. 2026 Annual General Meeting of Shareholders (the “Annual Meeting”). The Annual Meeting will be held at the Royal Lancaster London Hotel, Lancaster Terrace, London W2 2TY, United Kingdom on Wednesday, September 16, 2026 at 10:30 a.m. United Kingdom local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for the following purposes, as more fully described in the Proxy Statement accompanying this Notice: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two (2) directors, Daniel Gold and Meghan FitzGerald, to serve as Class II directors to hold office until the date of the annual general meeting of shareholders following the fiscal year ending March 31, 2029, and until their successors are duly elected and qualified, or until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Ernst &amp; Young LLP (“EY”) as our independent registered public accounting firm for our fiscal year ending March 31, 2027, to appoint EY as our auditor for statutory purposes under the Bermuda Companies Act 1981, as amended (the “Companies Act”), for our fiscal year ending March 31, 2027, and to authorize the Board of Directors, through the Audit Committee, to set the remuneration for EY as our auditor for our fiscal year ending March 31, 2027. </w:t>
            </w:r>
          </w:p>
        </w:tc>
      </w:tr>
    </w:tbl>
    <w:tbl>
      <w:tblPr>
        <w:tblW w:w="8350" w:type="dxa"/>
        <w:jc w:val="left"/>
        <w:tblInd w:w="0" w:type="dxa"/>
        <w:tblLayout w:type="fixed"/>
        <w:tblCellMar>
          <w:top w:w="0" w:type="dxa"/>
          <w:left w:w="0" w:type="dxa"/>
          <w:bottom w:w="0" w:type="dxa"/>
          <w:right w:w="0" w:type="dxa"/>
        </w:tblCellMar>
      </w:tblPr>
      <w:tblGrid>
        <w:gridCol w:w="200"/>
        <w:gridCol w:w="81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cast a non-binding, advisory vote to approve the compensation of our named executive officers. </w:t>
            </w:r>
          </w:p>
        </w:tc>
      </w:tr>
    </w:tbl>
    <w:tbl>
      <w:tblPr>
        <w:tblW w:w="10165" w:type="dxa"/>
        <w:jc w:val="left"/>
        <w:tblInd w:w="0" w:type="dxa"/>
        <w:tblLayout w:type="fixed"/>
        <w:tblCellMar>
          <w:top w:w="0" w:type="dxa"/>
          <w:left w:w="0" w:type="dxa"/>
          <w:bottom w:w="0" w:type="dxa"/>
          <w:right w:w="0" w:type="dxa"/>
        </w:tblCellMar>
      </w:tblPr>
      <w:tblGrid>
        <w:gridCol w:w="200"/>
        <w:gridCol w:w="996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conduct any other business properly brought before the Annual Meeting or any adjournment or postponement thereof.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also lay before the Annual Meeting our audited financial statements as of and for our fiscal year ended March 31, 2026, pursuant to the provisions of the Companies Act and our Amended and Restated Bye-laws (the “Bye-laws”).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fixed the close of business on Thursday, July 23, 2026 as the record date (the “Record Date”) for the determination of shareholders entitled to notice of, and to vote at, the Annual Meeting, or at any adjournment of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will be asked to present valid government-issued picture identification, such as a driver’s license or passport, in order to be admitted into the Annual Meeting. If your common shares are held in the name of a bank, broker or other nominee and you plan to attend the Annual Meeting, you must present proof of your ownership of our common shares, such as a bank or brokerage account statement indicating that you owned our common shares at the close of business on the Record Date, in order to be admitted. In addition, in order to vote in person at the Annual Meeting, you must either (i) be a record holder of our common shares as of the Record Date or (ii) if your common shares are held in the name of a bank, broker or other nominee, obtain a valid proxy from your bank, broker or other nominee. For safety and security reasons, no cameras, recording equipment, electronic devices, large bags, briefcases or packages will be permitted into the Annual Meeting. A written agenda and rules of procedure for the Annual Meeting will be distributed to those persons in attendance at the Annual Meeting. </w:t>
      </w:r>
    </w:p>
    <w:p>
      <w:pPr>
        <w:pStyle w:val="HorizontalLine"/>
        <w:bidi w:val="0"/>
        <w:spacing w:before="200" w:after="200"/>
        <w:jc w:val="left"/>
        <w:rPr/>
      </w:pPr>
      <w:r>
        <w:rPr/>
      </w:r>
    </w:p>
    <w:p>
      <w:pPr>
        <w:pStyle w:val="TextBody"/>
        <w:bidi w:val="0"/>
        <w:jc w:val="left"/>
        <w:rPr/>
      </w:pPr>
      <w:hyperlink w:anchor="TOC">
        <w:bookmarkStart w:id="4" w:name="ny20073886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Annual General Meeting of Shareholders</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Wednesday, September 16, 2026, at 10:30 a.m. United Kingdom Local Time,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 the Royal Lancaster London Hotel, Lancaster Terrace, London W2 2TY, United Kingdom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The Proxy Statement and Annual Report to Shareholders</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are available at </w:t>
      </w:r>
      <w:r>
        <w:rPr>
          <w:rFonts w:ascii="Times New Roman;Times;serif" w:hAnsi="Times New Roman;Times;serif"/>
          <w:i/>
          <w:color w:val="000000"/>
          <w:sz w:val="20"/>
        </w:rPr>
        <w:t>http://www.proxyvote.com</w:t>
      </w:r>
      <w:r>
        <w:rPr>
          <w:rFonts w:ascii="Times New Roman;Times;serif" w:hAnsi="Times New Roman;Times;serif"/>
          <w:color w:val="000000"/>
          <w:sz w:val="20"/>
        </w:rPr>
        <w:t>, and on our website at</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i/>
          <w:color w:val="000000"/>
          <w:sz w:val="20"/>
        </w:rPr>
        <w:t>https://investor.roivant.com</w:t>
      </w:r>
      <w:r>
        <w:rPr>
          <w:rFonts w:ascii="Times New Roman;Times;serif" w:hAnsi="Times New Roman;Times;serif"/>
          <w:color w:val="000000"/>
          <w:sz w:val="20"/>
        </w:rPr>
        <w:t xml:space="preserve">. </w:t>
      </w:r>
    </w:p>
    <w:tbl>
      <w:tblPr>
        <w:tblW w:w="3395" w:type="dxa"/>
        <w:jc w:val="left"/>
        <w:tblInd w:w="0" w:type="dxa"/>
        <w:tblLayout w:type="fixed"/>
        <w:tblCellMar>
          <w:top w:w="0" w:type="dxa"/>
          <w:left w:w="0" w:type="dxa"/>
          <w:bottom w:w="0" w:type="dxa"/>
          <w:right w:w="0" w:type="dxa"/>
        </w:tblCellMar>
      </w:tblPr>
      <w:tblGrid>
        <w:gridCol w:w="185"/>
        <w:gridCol w:w="170"/>
        <w:gridCol w:w="170"/>
        <w:gridCol w:w="287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u w:val="single"/>
              </w:rPr>
              <w:t>/s/ Matthew Gline</w:t>
            </w:r>
            <w:r>
              <w:rPr>
                <w:rFonts w:ascii="Times New Roman;Times;serif" w:hAnsi="Times New Roman;Times;serif"/>
                <w:color w:val="000000"/>
                <w:sz w:val="2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Principal Executive Officer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July 29, 2026</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73886x1_def14a_102-proxy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are cordially invited to attend the Annual Meeting in person. Whether or not you expect to attend the Annual Meeting, please ensure your representation at the Annual Meeting by voting by proxy over the Internet or by telephone, or voting by proxy by using a proxy card that you may request or that we may elect to deliver to you at a later time. Even if you have voted by proxy, you may still vote in person if you attend the Annual Meeting. If your shares are held by your broker or bank as a nominee or agent and you wish to vote at the Annual Meeting, you must obtain a proxy issued in your name from that record holder. </w:t>
      </w:r>
    </w:p>
    <w:p>
      <w:pPr>
        <w:pStyle w:val="TextBody"/>
        <w:bidi w:val="0"/>
        <w:spacing w:before="305" w:after="283"/>
        <w:jc w:val="center"/>
        <w:rPr>
          <w:color w:val="000000"/>
        </w:rPr>
      </w:pPr>
      <w:r>
        <w:rPr>
          <w:color w:val="000000"/>
        </w:rPr>
        <w:drawing>
          <wp:inline distT="0" distB="0" distL="0" distR="0">
            <wp:extent cx="310515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0515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2026 ANNUAL GENERAL MEETING OF SHAREHOLDERS</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Wednesday, September 16, 2026, at 10:30 a.m. United Kingdom local time,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 the Royal Lancaster London Hotel, Lancaster Terrace, London W2 2TY, United Kingdom</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 AGENDA </w:t>
      </w:r>
    </w:p>
    <w:tbl>
      <w:tblPr>
        <w:tblW w:w="10205" w:type="dxa"/>
        <w:jc w:val="left"/>
        <w:tblInd w:w="0" w:type="dxa"/>
        <w:tblLayout w:type="fixed"/>
        <w:tblCellMar>
          <w:top w:w="0" w:type="dxa"/>
          <w:left w:w="0" w:type="dxa"/>
          <w:bottom w:w="0" w:type="dxa"/>
          <w:right w:w="0" w:type="dxa"/>
        </w:tblCellMar>
      </w:tblPr>
      <w:tblGrid>
        <w:gridCol w:w="717"/>
        <w:gridCol w:w="170"/>
        <w:gridCol w:w="170"/>
        <w:gridCol w:w="7381"/>
        <w:gridCol w:w="170"/>
        <w:gridCol w:w="170"/>
        <w:gridCol w:w="1427"/>
      </w:tblGrid>
      <w:tr>
        <w:trPr/>
        <w:tc>
          <w:tcPr>
            <w:tcW w:w="7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pPr>
            <w:r>
              <w:rPr/>
              <w:t> </w:t>
            </w:r>
          </w:p>
        </w:tc>
      </w:tr>
      <w:tr>
        <w:trPr/>
        <w:tc>
          <w:tcPr>
            <w:tcW w:w="7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of Directors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Recommendation </w:t>
            </w:r>
          </w:p>
        </w:tc>
      </w:tr>
      <w:tr>
        <w:trPr/>
        <w:tc>
          <w:tcPr>
            <w:tcW w:w="71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8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27" w:type="dxa"/>
            <w:tcBorders/>
            <w:shd w:fill="CCEEFF" w:val="clear"/>
            <w:vAlign w:val="center"/>
          </w:tcPr>
          <w:p>
            <w:pPr>
              <w:pStyle w:val="TableContents"/>
              <w:bidi w:val="0"/>
              <w:spacing w:before="0" w:after="0"/>
              <w:jc w:val="center"/>
              <w:rPr>
                <w:color w:val="000000"/>
              </w:rPr>
            </w:pPr>
            <w:r>
              <w:rPr>
                <w:color w:val="000000"/>
              </w:rPr>
              <w:t>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elect two (2) directors, Daniel Gold and Meghan FitzGerald, to serve as Class II directors to hold office until the date of the annual general meeting of shareholders following the fiscal year ending March 31, 2029, and until their successors are duly elected and qualified, or until such director’s earlier death,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All </w:t>
            </w:r>
          </w:p>
        </w:tc>
      </w:tr>
      <w:tr>
        <w:trPr/>
        <w:tc>
          <w:tcPr>
            <w:tcW w:w="71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8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27" w:type="dxa"/>
            <w:tcBorders/>
            <w:shd w:fill="CCEEFF" w:val="clear"/>
            <w:vAlign w:val="center"/>
          </w:tcPr>
          <w:p>
            <w:pPr>
              <w:pStyle w:val="TableContents"/>
              <w:bidi w:val="0"/>
              <w:spacing w:before="0" w:after="0"/>
              <w:jc w:val="center"/>
              <w:rPr>
                <w:color w:val="000000"/>
              </w:rPr>
            </w:pPr>
            <w:r>
              <w:rPr>
                <w:color w:val="000000"/>
              </w:rPr>
              <w:t>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ratify the appointment of Ernst &amp; Young LLP (“EY”) as our independent registered public accounting firm for our fiscal year ending March 31, 2027, to appoint EY as our auditor for statutory purposes under the Bermuda Companies Act 1981, as amended (the “Companies Act”), for our fiscal year ending March 31, 2027, and to authorize the Board of Directors, through the Audit Committee, to set the remuneration for EY as our auditor for our fiscal year ending March 31, 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71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8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27" w:type="dxa"/>
            <w:tcBorders/>
            <w:shd w:fill="CCEEFF" w:val="clear"/>
            <w:vAlign w:val="center"/>
          </w:tcPr>
          <w:p>
            <w:pPr>
              <w:pStyle w:val="TableContents"/>
              <w:bidi w:val="0"/>
              <w:spacing w:before="0" w:after="0"/>
              <w:jc w:val="center"/>
              <w:rPr>
                <w:color w:val="000000"/>
              </w:rPr>
            </w:pPr>
            <w:r>
              <w:rPr>
                <w:color w:val="000000"/>
              </w:rPr>
              <w:t> </w:t>
            </w:r>
          </w:p>
        </w:tc>
      </w:tr>
      <w:tr>
        <w:trPr/>
        <w:tc>
          <w:tcPr>
            <w:tcW w:w="7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cast a non-binding, advisory vote to approve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7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7"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intend to mail the Notice of Internet Availability of Proxy Materials regarding the Annual Meeting on or about July 30, 2026, to all shareholders of record entitled to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Use of terms such as “Roivant,” the “Company,” “we,” “us” and “our” in this Proxy Statement refer to Roivant Sciences Ltd. and its consolidated subsidiaries. The term “Fiscal 2026” refers to the fiscal year ending March 31, 2027; the term “Fiscal 2025” refers to the fiscal year ended March 31, 2026; the term “Fiscal 2024” refers to the fiscal year ended March 31, 2025; the term “Fiscal 2023” refers to the fiscal year ended March 31, 2024; and the term “Fiscal 2022” refers to the fiscal year ended March 31, 2023. </w:t>
      </w:r>
    </w:p>
    <w:p>
      <w:pPr>
        <w:pStyle w:val="HorizontalLine"/>
        <w:bidi w:val="0"/>
        <w:spacing w:before="200" w:after="200"/>
        <w:jc w:val="left"/>
        <w:rPr/>
      </w:pPr>
      <w:r>
        <w:rPr/>
      </w:r>
    </w:p>
    <w:p>
      <w:pPr>
        <w:pStyle w:val="TextBody"/>
        <w:bidi w:val="0"/>
        <w:jc w:val="left"/>
        <w:rPr/>
      </w:pPr>
      <w:hyperlink w:anchor="TOC">
        <w:bookmarkStart w:id="6" w:name="ny20073886x1_def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74"/>
        <w:gridCol w:w="170"/>
        <w:gridCol w:w="170"/>
        <w:gridCol w:w="491"/>
      </w:tblGrid>
      <w:tr>
        <w:trPr/>
        <w:tc>
          <w:tcPr>
            <w:tcW w:w="9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0"/>
              <w:jc w:val="left"/>
              <w:rPr/>
            </w:pPr>
            <w:r>
              <w:rPr/>
              <w:t> </w:t>
            </w:r>
          </w:p>
        </w:tc>
      </w:tr>
      <w:tr>
        <w:trPr/>
        <w:tc>
          <w:tcPr>
            <w:tcW w:w="937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74" w:type="dxa"/>
            <w:tcBorders/>
            <w:shd w:fill="CCEEFF" w:val="clear"/>
            <w:vAlign w:val="center"/>
          </w:tcPr>
          <w:p>
            <w:pPr>
              <w:pStyle w:val="TableContents"/>
              <w:bidi w:val="0"/>
              <w:spacing w:before="0" w:after="283"/>
              <w:ind w:left="0" w:right="0" w:hanging="0"/>
              <w:jc w:val="left"/>
              <w:rPr/>
            </w:pPr>
            <w:hyperlink w:anchor="tPRO1">
              <w:r>
                <w:rPr>
                  <w:rStyle w:val="InternetLink"/>
                  <w:rFonts w:ascii="Times New Roman;Times;serif" w:hAnsi="Times New Roman;Times;serif"/>
                  <w:color w:val="000000"/>
                  <w:sz w:val="20"/>
                </w:rPr>
                <w:t>PROPOSAL NO. 1 —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PRO1">
              <w:r>
                <w:rPr>
                  <w:rStyle w:val="InternetLink"/>
                  <w:rFonts w:ascii="Times New Roman;Times;serif" w:hAnsi="Times New Roman;Times;serif"/>
                  <w:color w:val="000000"/>
                  <w:sz w:val="20"/>
                </w:rPr>
                <w:t>1</w:t>
              </w:r>
            </w:hyperlink>
          </w:p>
        </w:tc>
      </w:tr>
      <w:tr>
        <w:trPr/>
        <w:tc>
          <w:tcPr>
            <w:tcW w:w="9374" w:type="dxa"/>
            <w:tcBorders/>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INFORMATION ABOUT ROIVANT’S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IAR">
              <w:r>
                <w:rPr>
                  <w:rStyle w:val="InternetLink"/>
                  <w:rFonts w:ascii="Times New Roman;Times;serif" w:hAnsi="Times New Roman;Times;serif"/>
                  <w:color w:val="000000"/>
                  <w:sz w:val="20"/>
                </w:rPr>
                <w:t>2</w:t>
              </w:r>
            </w:hyperlink>
          </w:p>
        </w:tc>
      </w:tr>
      <w:tr>
        <w:trPr/>
        <w:tc>
          <w:tcPr>
            <w:tcW w:w="9374" w:type="dxa"/>
            <w:tcBorders/>
            <w:shd w:fill="CCEEFF" w:val="clear"/>
            <w:vAlign w:val="center"/>
          </w:tcPr>
          <w:p>
            <w:pPr>
              <w:pStyle w:val="TableContents"/>
              <w:bidi w:val="0"/>
              <w:spacing w:before="0" w:after="283"/>
              <w:ind w:left="0" w:right="0" w:hanging="0"/>
              <w:jc w:val="left"/>
              <w:rPr/>
            </w:pPr>
            <w:hyperlink w:anchor="tCR">
              <w:r>
                <w:rPr>
                  <w:rStyle w:val="InternetLink"/>
                  <w:rFonts w:ascii="Times New Roman;Times;serif" w:hAnsi="Times New Roman;Times;serif"/>
                  <w:color w:val="000000"/>
                  <w:sz w:val="20"/>
                </w:rPr>
                <w:t>CORPORATE RESPONSIBILITY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CR">
              <w:r>
                <w:rPr>
                  <w:rStyle w:val="InternetLink"/>
                  <w:rFonts w:ascii="Times New Roman;Times;serif" w:hAnsi="Times New Roman;Times;serif"/>
                  <w:color w:val="000000"/>
                  <w:sz w:val="20"/>
                </w:rPr>
                <w:t>11</w:t>
              </w:r>
            </w:hyperlink>
          </w:p>
        </w:tc>
      </w:tr>
      <w:tr>
        <w:trPr/>
        <w:tc>
          <w:tcPr>
            <w:tcW w:w="9374"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14</w:t>
              </w:r>
            </w:hyperlink>
          </w:p>
        </w:tc>
      </w:tr>
      <w:tr>
        <w:trPr/>
        <w:tc>
          <w:tcPr>
            <w:tcW w:w="9374"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16</w:t>
              </w:r>
            </w:hyperlink>
          </w:p>
        </w:tc>
      </w:tr>
      <w:tr>
        <w:trPr/>
        <w:tc>
          <w:tcPr>
            <w:tcW w:w="9374"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SOO">
              <w:r>
                <w:rPr>
                  <w:rStyle w:val="InternetLink"/>
                  <w:rFonts w:ascii="Times New Roman;Times;serif" w:hAnsi="Times New Roman;Times;serif"/>
                  <w:color w:val="000000"/>
                  <w:sz w:val="20"/>
                </w:rPr>
                <w:t>54</w:t>
              </w:r>
            </w:hyperlink>
          </w:p>
        </w:tc>
      </w:tr>
      <w:tr>
        <w:trPr/>
        <w:tc>
          <w:tcPr>
            <w:tcW w:w="9374" w:type="dxa"/>
            <w:tcBorders/>
            <w:shd w:fill="CCEEFF" w:val="clear"/>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CRA">
              <w:r>
                <w:rPr>
                  <w:rStyle w:val="InternetLink"/>
                  <w:rFonts w:ascii="Times New Roman;Times;serif" w:hAnsi="Times New Roman;Times;serif"/>
                  <w:color w:val="000000"/>
                  <w:sz w:val="20"/>
                </w:rPr>
                <w:t>57</w:t>
              </w:r>
            </w:hyperlink>
          </w:p>
        </w:tc>
      </w:tr>
      <w:tr>
        <w:trPr/>
        <w:tc>
          <w:tcPr>
            <w:tcW w:w="9374" w:type="dxa"/>
            <w:tcBorders/>
            <w:vAlign w:val="center"/>
          </w:tcPr>
          <w:p>
            <w:pPr>
              <w:pStyle w:val="TableContents"/>
              <w:bidi w:val="0"/>
              <w:spacing w:before="0" w:after="283"/>
              <w:ind w:left="200" w:right="0" w:hanging="200"/>
              <w:jc w:val="left"/>
              <w:rPr/>
            </w:pPr>
            <w:hyperlink w:anchor="tPRO2">
              <w:r>
                <w:rPr>
                  <w:rStyle w:val="InternetLink"/>
                  <w:rFonts w:ascii="Times New Roman;Times;serif" w:hAnsi="Times New Roman;Times;serif"/>
                  <w:color w:val="000000"/>
                  <w:sz w:val="20"/>
                </w:rPr>
                <w:t>PROPOSAL NO. 2 — RATIFICATION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PRO2">
              <w:r>
                <w:rPr>
                  <w:rStyle w:val="InternetLink"/>
                  <w:rFonts w:ascii="Times New Roman;Times;serif" w:hAnsi="Times New Roman;Times;serif"/>
                  <w:color w:val="000000"/>
                  <w:sz w:val="20"/>
                </w:rPr>
                <w:t>58</w:t>
              </w:r>
            </w:hyperlink>
          </w:p>
        </w:tc>
      </w:tr>
      <w:tr>
        <w:trPr/>
        <w:tc>
          <w:tcPr>
            <w:tcW w:w="9374" w:type="dxa"/>
            <w:tcBorders/>
            <w:shd w:fill="CCEEFF" w:val="clear"/>
            <w:vAlign w:val="center"/>
          </w:tcPr>
          <w:p>
            <w:pPr>
              <w:pStyle w:val="TableContents"/>
              <w:bidi w:val="0"/>
              <w:spacing w:before="0" w:after="283"/>
              <w:ind w:left="0" w:right="0" w:hanging="0"/>
              <w:jc w:val="left"/>
              <w:rPr/>
            </w:pPr>
            <w:hyperlink w:anchor="tROT">
              <w:r>
                <w:rPr>
                  <w:rStyle w:val="InternetLink"/>
                  <w:rFonts w:ascii="Times New Roman;Times;serif" w:hAnsi="Times New Roman;Times;serif"/>
                  <w:color w:val="000000"/>
                  <w:sz w:val="20"/>
                </w:rPr>
                <w:t>REPORT OF THE AUDIT COMMITTEE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ROT">
              <w:r>
                <w:rPr>
                  <w:rStyle w:val="InternetLink"/>
                  <w:rFonts w:ascii="Times New Roman;Times;serif" w:hAnsi="Times New Roman;Times;serif"/>
                  <w:color w:val="000000"/>
                  <w:sz w:val="20"/>
                </w:rPr>
                <w:t>60</w:t>
              </w:r>
            </w:hyperlink>
          </w:p>
        </w:tc>
      </w:tr>
      <w:tr>
        <w:trPr/>
        <w:tc>
          <w:tcPr>
            <w:tcW w:w="9374" w:type="dxa"/>
            <w:tcBorders/>
            <w:vAlign w:val="center"/>
          </w:tcPr>
          <w:p>
            <w:pPr>
              <w:pStyle w:val="TableContents"/>
              <w:bidi w:val="0"/>
              <w:spacing w:before="0" w:after="283"/>
              <w:ind w:left="200" w:right="0" w:hanging="200"/>
              <w:jc w:val="left"/>
              <w:rPr/>
            </w:pPr>
            <w:hyperlink w:anchor="tPRO3">
              <w:r>
                <w:rPr>
                  <w:rStyle w:val="InternetLink"/>
                  <w:rFonts w:ascii="Times New Roman;Times;serif" w:hAnsi="Times New Roman;Times;serif"/>
                  <w:color w:val="000000"/>
                  <w:sz w:val="20"/>
                </w:rPr>
                <w:t>PROPOSAL NO. 3 — NON-BINDING, ADVISORY VOTE TO APPROVE THE COMPENSATION OF OUR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PRO3">
              <w:r>
                <w:rPr>
                  <w:rStyle w:val="InternetLink"/>
                  <w:rFonts w:ascii="Times New Roman;Times;serif" w:hAnsi="Times New Roman;Times;serif"/>
                  <w:color w:val="000000"/>
                  <w:sz w:val="20"/>
                </w:rPr>
                <w:t>61</w:t>
              </w:r>
            </w:hyperlink>
          </w:p>
        </w:tc>
      </w:tr>
      <w:tr>
        <w:trPr/>
        <w:tc>
          <w:tcPr>
            <w:tcW w:w="9374"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1" w:type="dxa"/>
            <w:tcBorders/>
            <w:shd w:fill="CCEEFF" w:val="clear"/>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62</w:t>
              </w:r>
            </w:hyperlink>
          </w:p>
        </w:tc>
      </w:tr>
      <w:tr>
        <w:trPr/>
        <w:tc>
          <w:tcPr>
            <w:tcW w:w="9374"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283"/>
              <w:ind w:left="64" w:right="0" w:hanging="0"/>
              <w:jc w:val="left"/>
              <w:rPr/>
            </w:pPr>
            <w:hyperlink w:anchor="tAI">
              <w:r>
                <w:rPr>
                  <w:rStyle w:val="InternetLink"/>
                  <w:rFonts w:ascii="Times New Roman;Times;serif" w:hAnsi="Times New Roman;Times;serif"/>
                  <w:color w:val="000000"/>
                  <w:sz w:val="20"/>
                </w:rPr>
                <w:t>67</w:t>
              </w:r>
            </w:hyperlink>
          </w:p>
        </w:tc>
      </w:tr>
      <w:tr>
        <w:trPr/>
        <w:tc>
          <w:tcPr>
            <w:tcW w:w="93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9" w:name="ny20073886x1_def14a_104-prop1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PRO1"/>
      <w:bookmarkEnd w:id="10"/>
      <w:r>
        <w:rPr>
          <w:rFonts w:ascii="Times New Roman;Times;serif" w:hAnsi="Times New Roman;Times;serif"/>
          <w:b/>
          <w:color w:val="000000"/>
          <w:sz w:val="20"/>
        </w:rPr>
        <w:t>PROPOSAL NO. 1</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has eight members, who are divided into three classes with staggered three-year terms. At the Annual Meeting, the two (2) Class II directors will be nominated for election to a three-year term, to hold office until the date of the annual general meeting of shareholders following the fiscal year ending March 31, 2029, and until their successors are duly elected and qualified, or until such director’s earlier death, resignation or removal. Both of the nominees are Class II directors whose current term is expiring. Both directors will continue in office until the election and qualification of a successor or until such director’s earlier death, resignation or removal.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has recommended, and our Board of Directors has approved, Daniel Gold and Meghan FitzGerald, as nominees for election as Class II directors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Gold has served on Roivant’s Board of Directors since 2020. Ms. FitzGerald has served on Roivant’s Board of Directors since 2023. For additional information regarding the director nominees’ backgrounds and experiences, see the section of this Proxy Statement entitled “</w:t>
      </w:r>
      <w:r>
        <w:rPr>
          <w:rFonts w:ascii="Times New Roman;Times;serif" w:hAnsi="Times New Roman;Times;serif"/>
          <w:i/>
          <w:color w:val="000000"/>
          <w:sz w:val="20"/>
        </w:rPr>
        <w:t>Directors Standing for Election at this Annual Meeting</w:t>
      </w:r>
      <w:r>
        <w:rPr>
          <w:rFonts w:ascii="Times New Roman;Times;serif" w:hAnsi="Times New Roman;Times;serif"/>
          <w:color w:val="000000"/>
          <w:sz w:val="20"/>
        </w:rPr>
        <w:t xml:space="preserve">” below. </w:t>
      </w:r>
    </w:p>
    <w:p>
      <w:pPr>
        <w:pStyle w:val="TextBody"/>
        <w:bidi w:val="0"/>
        <w:spacing w:before="120" w:after="283"/>
        <w:ind w:left="0" w:right="0" w:firstLine="400"/>
        <w:jc w:val="left"/>
        <w:rPr/>
      </w:pPr>
      <w:r>
        <w:rPr>
          <w:rFonts w:ascii="Times New Roman;Times;serif" w:hAnsi="Times New Roman;Times;serif"/>
          <w:color w:val="000000"/>
          <w:sz w:val="20"/>
        </w:rPr>
        <w:t xml:space="preserve">If you are a shareholder of record and you sign your proxy card or vote over the Internet or by telephone but do not give instructions with respect to the voting of directors, your shares will be voted FOR the election of Mr. Gold and Ms. FitzGerald. We expect that the nominees will serve if elected. However, if a director nominee is unable or declines to serve as a director at the time of the Annual Meeting, proxies will be voted for any nominee who is designated by our Board of Directors to fill the resulting vacancy (or, alternatively, the Board of Directors may reduce its size). If you own your common shares through a broker, bank or other nominee and you do not give voting instructions, then your shares will not be voted on this matter. For more information, please see the section of this Proxy Statement entitled “Questions and Answers About the Annual Meeting—What if I do not specify how my common shares are to be voted?” on page </w:t>
      </w:r>
      <w:hyperlink w:anchor="tQA1">
        <w:r>
          <w:rPr>
            <w:rStyle w:val="InternetLink"/>
          </w:rPr>
          <w:t>64</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election of the Class II directors requires a plurality of the votes properly cast to be approved. Withheld votes and broker non-votes are not considered to be votes cast and therefore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 ALL</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for the election of the two (2) nominees as Class II directors to serve three-year terms, to hold office until the date of the annual general meeting of shareholders following the fiscal year ending March 31, 2029, and until their successors are duly elected and qualified, or until a director’s earlier death, resignation or removal.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1" w:name="ny20073886x1_def14a_105-about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IAR"/>
      <w:bookmarkEnd w:id="12"/>
      <w:r>
        <w:rPr>
          <w:rFonts w:ascii="Times New Roman;Times;serif" w:hAnsi="Times New Roman;Times;serif"/>
          <w:b/>
          <w:color w:val="000000"/>
          <w:sz w:val="20"/>
        </w:rPr>
        <w:t>INFORMATION ABOUT ROIVANT’S DIRECTORS</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Roivant’s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(as of July 29, 2026) and committee memberships of the current directors of Roivant Sciences Ltd. This section also includes certain information regarding our directors’ individual experience, qualifications, attributes and skills and brief statements of those aspects of our directors’ backgrounds that led us to conclude that they are qualified to serve as directors. </w:t>
      </w:r>
    </w:p>
    <w:tbl>
      <w:tblPr>
        <w:tblW w:w="10205" w:type="dxa"/>
        <w:jc w:val="left"/>
        <w:tblInd w:w="0" w:type="dxa"/>
        <w:tblLayout w:type="fixed"/>
        <w:tblCellMar>
          <w:top w:w="0" w:type="dxa"/>
          <w:left w:w="0" w:type="dxa"/>
          <w:bottom w:w="0" w:type="dxa"/>
          <w:right w:w="0" w:type="dxa"/>
        </w:tblCellMar>
      </w:tblPr>
      <w:tblGrid>
        <w:gridCol w:w="1398"/>
        <w:gridCol w:w="170"/>
        <w:gridCol w:w="170"/>
        <w:gridCol w:w="335"/>
        <w:gridCol w:w="170"/>
        <w:gridCol w:w="170"/>
        <w:gridCol w:w="2814"/>
        <w:gridCol w:w="170"/>
        <w:gridCol w:w="170"/>
        <w:gridCol w:w="710"/>
        <w:gridCol w:w="170"/>
        <w:gridCol w:w="170"/>
        <w:gridCol w:w="571"/>
        <w:gridCol w:w="170"/>
        <w:gridCol w:w="170"/>
        <w:gridCol w:w="455"/>
        <w:gridCol w:w="170"/>
        <w:gridCol w:w="170"/>
        <w:gridCol w:w="1085"/>
        <w:gridCol w:w="170"/>
        <w:gridCol w:w="170"/>
        <w:gridCol w:w="457"/>
      </w:tblGrid>
      <w:tr>
        <w:trPr/>
        <w:tc>
          <w:tcPr>
            <w:tcW w:w="13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7" w:type="dxa"/>
            <w:gridSpan w:val="7"/>
            <w:tcBorders/>
            <w:vAlign w:val="center"/>
          </w:tcPr>
          <w:p>
            <w:pPr>
              <w:pStyle w:val="TableContents"/>
              <w:bidi w:val="0"/>
              <w:spacing w:before="0" w:after="0"/>
              <w:jc w:val="left"/>
              <w:rPr/>
            </w:pPr>
            <w:r>
              <w:rPr/>
              <w:t> </w:t>
            </w:r>
          </w:p>
        </w:tc>
      </w:tr>
      <w:tr>
        <w:trPr/>
        <w:tc>
          <w:tcPr>
            <w:tcW w:w="1398"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33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814"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7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7"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Membership </w:t>
            </w:r>
          </w:p>
        </w:tc>
      </w:tr>
      <w:tr>
        <w:trPr/>
        <w:tc>
          <w:tcPr>
            <w:tcW w:w="139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33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814"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71"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N&amp;G </w:t>
            </w:r>
          </w:p>
        </w:tc>
      </w:tr>
      <w:tr>
        <w:trPr/>
        <w:tc>
          <w:tcPr>
            <w:tcW w:w="1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&amp;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0"/>
              <w:jc w:val="center"/>
              <w:rPr>
                <w:color w:val="000000"/>
              </w:rPr>
            </w:pPr>
            <w:r>
              <w:rPr>
                <w:color w:val="000000"/>
              </w:rPr>
              <w:t> </w:t>
            </w:r>
          </w:p>
        </w:tc>
      </w:tr>
      <w:tr>
        <w:trPr/>
        <w:tc>
          <w:tcPr>
            <w:tcW w:w="1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1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Epperly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0"/>
              <w:jc w:val="center"/>
              <w:rPr>
                <w:color w:val="000000"/>
              </w:rPr>
            </w:pPr>
            <w:r>
              <w:rPr>
                <w:color w:val="000000"/>
              </w:rPr>
              <w:t> </w:t>
            </w:r>
          </w:p>
        </w:tc>
      </w:tr>
      <w:tr>
        <w:trPr/>
        <w:tc>
          <w:tcPr>
            <w:tcW w:w="1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1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Meghan FitzGerald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&amp;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&amp; President and Chief Investment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13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r>
    </w:tbl>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Member </w:t>
            </w:r>
          </w:p>
        </w:tc>
      </w:tr>
    </w:tbl>
    <w:tbl>
      <w:tblPr>
        <w:tblW w:w="1525" w:type="dxa"/>
        <w:jc w:val="left"/>
        <w:tblInd w:w="0" w:type="dxa"/>
        <w:tblLayout w:type="fixed"/>
        <w:tblCellMar>
          <w:top w:w="0" w:type="dxa"/>
          <w:left w:w="0" w:type="dxa"/>
          <w:bottom w:w="0" w:type="dxa"/>
          <w:right w:w="0" w:type="dxa"/>
        </w:tblCellMar>
      </w:tblPr>
      <w:tblGrid>
        <w:gridCol w:w="230"/>
        <w:gridCol w:w="12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Standing for Election at this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Daniel Gold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2020. Mr. Gold is the Founder and CEO of QVT Financial LP, an asset management company with offices in New York and New Delhi. QVT, through its managed and affiliated multi-strategy funds, is an experienced global investor in multiple industries, including biotech, financial and the shipping and offshore industries. Mr. Gold also serves on the boards of directors of Okeanis Eco Tankers Corp., Awilco Drilling PLC and Integrated Wind Solutions ASA in addition to various private companies. Mr. Gold holds an A.B. in Physics from Harvard College. Our Board of Directors believes that Mr. Gold’s extensive experience investing in the life sciences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Meghan FitzGerald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2023. Ms. FitzGerald is a global healthcare strategist, investor, academic and author. She has worked across the healthcare industry from front line patient care through the Fortune 500, and also serves as an Adjunct Professor of Health Policy at Columbia University. Ms. FitzGerald is a private equity investor where she serves as a senior advisor to several firms, including Goldman Sachs and Towerbrook. Ms. FitzGerald served from December 2016 to January 2020 as the Chief Executive Officer and Managing Partner at Letter One’s inaugural health vehicle, L1 Health. Prior to that, she spent twenty years working for many prominent healthcare companies, including Cardinal Health, Medco Health Systems, Pfizer, Merck and Sanofi-Synthelabo. Currently, Ms. FitzGerald also serves on the boards of directors of Tenet Healthcare, 4G Clinical, ABB Optical Group, Rayus Radiology and Quanta Dialysis Technologies and is a founder of K2HealthVentures, a life science investment fund. She previously served as a director of Thimblepoint Acquisition Corp., from February to December 2021. Ms. FitzGerald received a Doctor of Public Health from New York Medical College, a Master of Public Health from Columbia University and a BSN in Nursing from Fairfield University. Our Board of Directors believes that Ms. FitzGerald’s broad range of experience in the healthcare industry qualifies her to serve as a member of our Board of Directors.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Directors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Directors: Currently Serving Until the 2028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Matthew Gline </w:t>
      </w:r>
      <w:r>
        <w:rPr>
          <w:rFonts w:ascii="Times New Roman;Times;serif" w:hAnsi="Times New Roman;Times;serif"/>
          <w:b w:val="false"/>
          <w:i w:val="false"/>
          <w:caps w:val="false"/>
          <w:smallCaps w:val="false"/>
          <w:color w:val="000000"/>
          <w:sz w:val="20"/>
        </w:rPr>
        <w:t xml:space="preserve">has served as our Chief Executive Officer since January 2021 and as a director of Roivant since September 2021. As CEO, Mr. Gline plays a key role in setting the strategy for Roivant along with the rest of the Board of Directors and executing on that strategy with our management team, including making capital allocation decisions across the Roivant portfolio. Mr. Gline joined Roivant in March 2016 and previously served as Chief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73886x1_def14a_105-about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Officer, from September 2017 through his appointment as Chief Executive Officer, and as Senior VP, Finance and Business Operations. Prior to joining Roivant, Mr. Gline was a Vice President at Goldman Sachs, Fixed Income Digital Structuring, from 2014 to 2016, and co-founded Fourthree, a risk analytics technology and consulting company, from 2012 to 2014. Mr. Gline also serves on the board of directors of Datavant, the world’s largest health data ecosystem, and Arbutus Biopharma Corporation. Mr. Gline earned his A.B. in Physics from Harvard College. Our Board of Directors believes that Mr. Gline’s experience in various roles at our company and his prior professional experience qualify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Keith Manchester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2014. He serves as a Partner and the Head of Life Sciences at QVT Financial LP, an asset management company with offices in New York and New Delhi, where he has worked since 2005. He focuses on investments in both publicly traded and privately owned life science companies. Prior to joining QVT, Dr. Manchester was Vice President of Business Development from 2002 to 2004 and Director of Business Development from 2000 to 2002 at Applied Molecular Evolution, a biotechnology company. From 1999 to 2000, Dr. Manchester was an associate at Vestar Capital Partners, a private equity firm. From 1997 to 1999, Dr. Manchester was an investment banker in the healthcare group at Goldman Sachs. Dr. Manchester also serves on the board of directors of Kriya Therapeutics. He received his A.B. from Harvard College and his M.D. from Harvard Medical School. Our Board of Directors believes that Dr. Manchester’s extensive experience investing in the life sciences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Melissa Epperly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2022. Since June 2025, Ms. Epperly has served as Chief Financial Officer at Tenpoint Therapeutics, Ltd., a global commercial-ready biotechnology company. Previously, Ms. Epperly served as Chief Financial Officer at Zentalis Pharmaceuticals, Inc., a clinical-stage cancer company, from September 2019 to April 2024. Prior to that, she served as Chief Financial Officer of PsiOxus Therapeutics Ltd., a clinical-stage gene therapy cancer company, from June 2018 to August 2019, and as Chief Financial Officer and Head of Business Development at R-Pharm US, a commercial-stage oncology company, from October 2015 to June 2018. Ms. Epperly also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also serves on the board of directors of Nautilus Biotechnology. Ms. Epperly holds a B.A. in Biochemistry and Economics from the University of Virginia and an M.B.A from Harvard Business School. Our Board of Directors believes that Ms. Epperly’s extensive experience as a senior financial executive in the life sciences industry qualifies her to serve as a member of our Board of Directors.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III Directors: Currently Serving Until the 2027 Annual Meeting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Ilan Oren </w:t>
      </w:r>
      <w:r>
        <w:rPr>
          <w:rFonts w:ascii="Times New Roman;Times;serif" w:hAnsi="Times New Roman;Times;serif"/>
          <w:b w:val="false"/>
          <w:i w:val="false"/>
          <w:caps w:val="false"/>
          <w:smallCaps w:val="false"/>
          <w:color w:val="000000"/>
          <w:sz w:val="20"/>
        </w:rPr>
        <w:t xml:space="preserve">is the Chair of Roivant’s Board of Directors, a position he has held since 2023, having served as a director of Roivant since 2014. He has served as Co-Chief Executive Officer of Dexcel Pharma, part of a privately-owned Israeli group of pharmaceutical companies, since November 2019. Prior to serving as Co-CEO, Mr. Oren served as Vice President for the group and led corporate and business development activities, including formation of strategic ventures, product partnerships, product portfolio selection, product acquisitions, strategic investments and mergers and acquisitions. Mr. Oren is the Chairman of the Board of Syremis Therapeutics and also serves on the boards of directors of Clexio Biosciences and Kriya Therapeutics and has previously served on the boards of directors of Sio Gene Therapies and Cynapsus Therapeutics. He holds an A.B. in Economics from Harvard College. Our Board of Directors believes that Mr. Oren’s extensive experience as a high-level executive in the pharmaceutical industry qualifies him to serve as a member of our Board of Directors.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James C. Momtazee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2021. Mr. Momtazee is the Managing Partner of Patient Square Capital, LP, a dedicated health care investing firm. Mr. Momtazee has over 30 years of investment and acquisition experience, the vast majority of which was focused on the health care sector. Prior to founding Patient Square, he held various positions at KKR &amp; Co., Inc. since 1996. He helped form KKR’s health care industry group in 2001 and ran that team for over 10 years. Mr. Momtazee also serves on the boards of directors of EMT Holdings, Apollo Therapeutics, Kriya Therapeutics, Enavate Sciences, Elevage Medical Technologies, Syneos Health, GondolaBio, Hanger, BridgeBio Pharma, Osanni Bio and the Medical Device Manufacturers Association. Mr. Momtazee was Chairman, CEO and President of Montes Archimedes Acquisition Corp. from October 2020 until October 2021. He received an A.B. from Stanford University and an M.B.A. from the Stanford Graduate School of Business. Our Board of Directors believes that Mr. Momtazee’s extensive experience investing in the biopharmaceutical industry qualifies him to serve as a member of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73886x1_def14a_105-about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Mayukh Sukhatme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director of Roivant since 2023. Dr. Sukhatme is also our President and Chief Investment Officer, a position he has held since January 2021, and is responsible for identifying, performing diligence on, devising development strategies for and transacting on new therapeutic programs for Roivant. Dr. Sukhatme also informs Roivant’s view of its existing biopharmaceutical subsidiary companies for capital allocation decisions across the Roivant portfolio. Dr. Sukhatme joined Roivant in 2015 and previously served as President of Roivant Pharma and as our Chief Business Officer. Programs that Dr. Sukhatme has in-licensed or acquired for Roivant have produced all 12 of our positive Phase 3 studies and have garnered 8 FDA approvals. From 2000 to 2015, Dr. Sukhatme was a healthcare-focused analyst and portfolio manager for several large institutional investment firms, including both public markets and venture capital firms. His principal focus was on development-stage biotechnology and pharmaceutical companies, where he led diligence and investment decisions on numerous companies and pharmaceutical compounds across a wide variety of therapeutic areas. Dr. Sukhatme earned his M.D. from Harvard Medical School and his B.S. in Biology and B.S. in Literature from MIT. Our Board of Directors believes that Dr. Sukhatme’s experience in various roles at our company and his experience investing in the life sciences industry qualify him to serve as a member of our Board of Directors.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Diversity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Diversity Matrix below presents certain diversity information, as self-disclosed by our current directors. Our Board of Directors believes that directors who provide a significant breadth of experience, knowledge and abilities in areas relevant to our business, while also representing a diversity in background, contribute to a well-balanced and effective Board of Directors. Although the Board of Directors may consider whether nominees assist in achieving a mix of directors that represents a diversity of ethnicities, a balance in terms of gender and individuals with diverse perspectives informed by other personal and professional experiences, we have no formal policy regarding diversity on our Board of Directors. </w:t>
      </w:r>
    </w:p>
    <w:tbl>
      <w:tblPr>
        <w:tblW w:w="4455" w:type="dxa"/>
        <w:jc w:val="left"/>
        <w:tblInd w:w="0" w:type="dxa"/>
        <w:tblLayout w:type="fixed"/>
        <w:tblCellMar>
          <w:top w:w="0" w:type="dxa"/>
          <w:left w:w="0" w:type="dxa"/>
          <w:bottom w:w="0" w:type="dxa"/>
          <w:right w:w="0" w:type="dxa"/>
        </w:tblCellMar>
      </w:tblPr>
      <w:tblGrid>
        <w:gridCol w:w="185"/>
        <w:gridCol w:w="2165"/>
        <w:gridCol w:w="170"/>
        <w:gridCol w:w="170"/>
        <w:gridCol w:w="680"/>
        <w:gridCol w:w="170"/>
        <w:gridCol w:w="170"/>
        <w:gridCol w:w="530"/>
        <w:gridCol w:w="215"/>
      </w:tblGrid>
      <w:tr>
        <w:trPr/>
        <w:tc>
          <w:tcPr>
            <w:tcW w:w="185" w:type="dxa"/>
            <w:tcBorders/>
            <w:vAlign w:val="center"/>
          </w:tcPr>
          <w:p>
            <w:pPr>
              <w:pStyle w:val="TableContents"/>
              <w:bidi w:val="0"/>
              <w:spacing w:before="0" w:after="0"/>
              <w:jc w:val="left"/>
              <w:rPr/>
            </w:pPr>
            <w:r>
              <w:rPr/>
              <w:t> </w:t>
            </w:r>
          </w:p>
        </w:tc>
        <w:tc>
          <w:tcPr>
            <w:tcW w:w="4055"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055" w:type="dxa"/>
            <w:gridSpan w:val="7"/>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Board Diversity Matrix (As of July 29, 2026)</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50" w:type="dxa"/>
            <w:gridSpan w:val="4"/>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Gender Identity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Female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Male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055" w:type="dxa"/>
            <w:gridSpan w:val="7"/>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Demographic Background</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shd w:fill="CCEEFF"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4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6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Diversity Matrix as of July 29, 2025 can be found in the proxy statement for our 2025 Annual Meeting of Shareholders, filed with the SEC on July 29, 2025.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Role in Risk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Risk is inherent with every business, and how well a business manages risk can ultimately determine its success. We face a number of risks, including risks relating to our financial condition, our holdings of cash, cash equivalents and marketable securities, our development and commercialization activities, our strategic planning, our clinical and regulatory matters, our operations and our intellectual property strategy.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role of our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committee of the Board of Directors in the case of risks that are under the purview of a particular committee) discusses with management our major risk exposures, their potential impact on our company and the steps we take to manage them. When a Board of Directors committee is responsible for evaluating and overseeing the management of a particular risk or risks, the chair of the relevant committee reports on the discussion to the full Board of Directors during the committee reports portion of a subsequent Board of Directors meeting. This enables our Board of Directors and its committees to coordinate the risk oversight role, particularly with respect to risk interrelationships.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73886x1_def14a_105-about_pg4"/>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business and affairs are managed under the direction of our Board of Directors. Our Board of Directors consists of eight members, with Ilan Oren serving as Chair. Our Bye-laws provide for a classified Board of Directors divided into three classes serving staggered three-year terms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 directors are Mr. Gline, Dr. Manchester and Ms. Epperly, serving until our annual general meeting of shareholders in 2028; </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 directors are Mr. Gold and Ms. FitzGerald, serving until this year’s annual general meeting of shareholders;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Class III directors are Mr. Oren, Mr. Momtazee and Dr. Sukhatme, serving until our annual general meeting of shareholders in 2027.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each annual general meeting of shareholders, directors will be elected to succeed the class of directors whose terms have expired. This classification of our Board of Directors could have the effect of increasing the length of time necessary to change the composition of a majority of the Board of Directors. Our Bye-laws provide that the authorized number of directors (being no less than five directors and no more than 15 directors) may be changed only by resolution approved by a majority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our Board of Directors held a total of five meetings. All directors attended at least 75% of the aggregate of the number of Board of Directors meetings and meetings of the committees of the Board of Directors on which each such director served during the time each such director served on the Board of Directors or such committees. Members of our Board of Directors are expected to attend all meetings of the Board of Directors and all meetings of the committees on which they serve. We encourage but do not require directors to attend our annual general meetings of shareholders. Five directors attended our 2025 annual general meeting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undertaken a review of the independence of the directors and has considered whether any director has a material relationship with us that could compromise his or her ability to exercise independent judgment in carrying out his or her responsibilities. As a result of this review, our Board of Directors has determined that each of Mr. Oren, Ms. FitzGerald, Ms. Epperly, Dr. Manchester, Mr. Gold and Mr. Momtazee, representing six of the eight individuals serving as members of our Board of Directors, are independent, as that term is defined under the applicable rules and regulations of the SEC and the listing rules of Nasdaq. We comply with the corporate governance requirements of the SEC and listing rules of Nasdaq. We also comply with the requirements of Rule 10A-3 of the Exchange Act and the listing rules of Nasdaq, which rules require that our Audit Committee be composed of at least three members meeting the requirements specified thereunder.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established an Audit Committee, a Compensation Committee and a Nominating and Governance Committee, each of which has the composition and responsibilities described below. From time to time, our Board of Directors may establish other committees to facilitate the management of our business. The charters for each of the Audit Committee, Compensation Committee and Nominating and Governance Committee are available on our website at </w:t>
      </w:r>
      <w:r>
        <w:rPr>
          <w:rFonts w:ascii="Times New Roman;Times;serif" w:hAnsi="Times New Roman;Times;serif"/>
          <w:i/>
          <w:color w:val="000000"/>
          <w:sz w:val="20"/>
        </w:rPr>
        <w:t>https://investor.roivant.com/corporate-governance</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Audit Committee are Ms. Epperly, who serves as Chair, Dr. Manchester and Ms. FitzGerald.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Audit Committee meets the requirements for independence under the current listing standards of Nasdaq and SEC rules and regulations. Each member of our Audit Committee is financially literate. In addition, our Board of Directors has determined that Ms. Epperly is an “audit committee financial expert” as defined in Item 407(d)(5)(ii) of Regulation S-K promulgated under the Securities Act. This designation will not impose any duties, obligations or liabilities that are greater than are generally imposed on members of our Audit Committee and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73886x1_def14a_105-about_pg5"/>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is directly responsible for, among other things: </w:t>
      </w:r>
    </w:p>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a firm to serve as the independent registered public accounting firm to audit our financial statements; </w:t>
            </w:r>
          </w:p>
        </w:tc>
      </w:tr>
    </w:tbl>
    <w:tbl>
      <w:tblPr>
        <w:tblW w:w="6835" w:type="dxa"/>
        <w:jc w:val="left"/>
        <w:tblInd w:w="0" w:type="dxa"/>
        <w:tblLayout w:type="fixed"/>
        <w:tblCellMar>
          <w:top w:w="0" w:type="dxa"/>
          <w:left w:w="0" w:type="dxa"/>
          <w:bottom w:w="0" w:type="dxa"/>
          <w:right w:w="0" w:type="dxa"/>
        </w:tblCellMar>
      </w:tblPr>
      <w:tblGrid>
        <w:gridCol w:w="140"/>
        <w:gridCol w:w="6695"/>
      </w:tblGrid>
      <w:tr>
        <w:trPr/>
        <w:tc>
          <w:tcPr>
            <w:tcW w:w="14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ensuring the independence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that firm, our interim and year-end operating results; </w:t>
            </w:r>
          </w:p>
        </w:tc>
      </w:tr>
    </w:tbl>
    <w:tbl>
      <w:tblPr>
        <w:tblW w:w="10030" w:type="dxa"/>
        <w:jc w:val="left"/>
        <w:tblInd w:w="0" w:type="dxa"/>
        <w:tblLayout w:type="fixed"/>
        <w:tblCellMar>
          <w:top w:w="0" w:type="dxa"/>
          <w:left w:w="0" w:type="dxa"/>
          <w:bottom w:w="0" w:type="dxa"/>
          <w:right w:w="0" w:type="dxa"/>
        </w:tblCellMar>
      </w:tblPr>
      <w:tblGrid>
        <w:gridCol w:w="140"/>
        <w:gridCol w:w="9890"/>
      </w:tblGrid>
      <w:tr>
        <w:trPr/>
        <w:tc>
          <w:tcPr>
            <w:tcW w:w="14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establishing procedures for employees to anonymously submit concerns about questionable accounting or audit matters;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considering the adequacy of our internal controls and internal audit function (if any);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information security (including cybersecurity) and technology risk management programs;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material related party transactions or those that require disclosure;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all audit and non-audit services to be performed by the independent registered public accounting firm.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our Audit Committee held four meetings.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are Mr. Gold, who serves as Chair, and Mr. Oren.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is a non-employee director, as defined by Rule 16b-3 promulgated under the Exchange Act, and meets the requirements for independence under the current listing standards of Nasdaq and SEC rules and regulations.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among other things: </w:t>
      </w:r>
    </w:p>
    <w:tbl>
      <w:tblPr>
        <w:tblW w:w="9580" w:type="dxa"/>
        <w:jc w:val="left"/>
        <w:tblInd w:w="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Chief Executive Officer and each of our other executive officers;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directors; </w:t>
            </w:r>
          </w:p>
        </w:tc>
      </w:tr>
    </w:tbl>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incentive compensation and equity-based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of Directors with respect to, incentive compensation and equity-based incentive plans; </w:t>
            </w:r>
          </w:p>
        </w:tc>
      </w:tr>
    </w:tbl>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overall compensation philosophy; </w:t>
            </w:r>
          </w:p>
        </w:tc>
      </w:tr>
    </w:tbl>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risks arising from the Company’s employee compensation policies and practices;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Compensation Committee Report and reviewing the Company’s Compensation Disclosure and Analysis (CD&amp;A), each as required by SEC rules to be included in our annual proxy statement.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our Compensation Committee held six meetings.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members of our Nominating and Governance Committee are Mr. Oren, who serves as Chair, Ms. FitzGerald and Mr. Momtazee.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Nominating and Governance Committee meets the requirements for independence under the current listing standards of Nasdaq and SEC rules and regulations.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is responsible for, among other things: </w:t>
      </w:r>
    </w:p>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and recommending candidates for membership on our Board of Directors; </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our corporate governance guidelines and policies;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73886x1_def14a_105-about_pg6"/>
        <w:bookmarkEnd w:id="17"/>
        <w:r>
          <w:rPr>
            <w:rStyle w:val="InternetLink"/>
            <w:rFonts w:ascii="Times New Roman;Times;Serif" w:hAnsi="Times New Roman;Times;Serif"/>
            <w:b/>
            <w:caps w:val="false"/>
            <w:smallCaps w:val="false"/>
            <w:color w:val="000000"/>
            <w:sz w:val="16"/>
          </w:rPr>
          <w:t>TABLE OF CONTENTS</w:t>
        </w:r>
      </w:hyperlink>
    </w:p>
    <w:tbl>
      <w:tblPr>
        <w:tblW w:w="9760" w:type="dxa"/>
        <w:jc w:val="left"/>
        <w:tblInd w:w="0" w:type="dxa"/>
        <w:tblLayout w:type="fixed"/>
        <w:tblCellMar>
          <w:top w:w="0" w:type="dxa"/>
          <w:left w:w="0" w:type="dxa"/>
          <w:bottom w:w="0" w:type="dxa"/>
          <w:right w:w="0" w:type="dxa"/>
        </w:tblCellMar>
      </w:tblPr>
      <w:tblGrid>
        <w:gridCol w:w="140"/>
        <w:gridCol w:w="9620"/>
      </w:tblGrid>
      <w:tr>
        <w:trPr/>
        <w:tc>
          <w:tcPr>
            <w:tcW w:w="14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proposed waivers of the code of conduct for directors, executive officers and other senior financial officers;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process of evaluating the performance of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strategy, initiatives and policies concerning corporate social responsibility, including environmental, social and governance matters; and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assisting our Board of Directors on corporate governance matters.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our Nominating and Governance Committee held three meetings.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Currently, the role of Chair of the Board of Directors is separated from the role of Chief Executive Officer. Our Chief Executive Officer is responsible for recommending strategic decisions, capital allocation and other matters to the Board of Directors and for ensuring the execution of the recommended plans. The Chair is responsible for leading the Board of Directors in its fundamental role of providing advice to and oversight of management. Our Board of Directors believes that having separate positions is appropriate for us at this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for Employees, 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Code of Business Conduct and Ethics (the “Code of Conduct”) that is currently applicable to all of our employees, executive officers and directors. The Code of Conduct is available on our website at </w:t>
      </w:r>
      <w:r>
        <w:rPr>
          <w:rFonts w:ascii="Times New Roman;Times;serif" w:hAnsi="Times New Roman;Times;serif"/>
          <w:i/>
          <w:color w:val="000000"/>
          <w:sz w:val="20"/>
        </w:rPr>
        <w:t>https://investor.roivant.com/corporate-governance</w:t>
      </w:r>
      <w:r>
        <w:rPr>
          <w:rFonts w:ascii="Times New Roman;Times;serif" w:hAnsi="Times New Roman;Times;serif"/>
          <w:color w:val="000000"/>
          <w:sz w:val="20"/>
        </w:rPr>
        <w:t xml:space="preserve">. The Nominating and Governance Committee of our Board of Directors is responsible for overseeing the Code of Conduct and must approve any waivers of the Code of Conduct for executive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make any substantive amendments to, or grant any waivers from, the Code of Conduct for our Principal Executive Officer, Principal Financial Officer, Principal Accounting Officer or persons performing similar functions, or any officer or member of our Board of Directors, we will disclose the nature of such amendment or waiver on our website or in a Current Report on Form 8-K.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the Board of Directors reviews potential candidates for our Board of Directors. In conducting this assessment, the Board of Directors takes into account a variety of factors, including the current composition of the Board of Directors, the opportunities and challenges then facing the Company and its business, the current business environment the Company is operating in, including the political and macroeconomic climate, and, in respect of any particular candidate, that candidate’s skill set, background and expertise, as well as any other factors that it deems appropriate to maintain a balance of knowledge, experience and capabilities on the Board of Directors. For incumbent directors, the Board of Directors reviews those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Board of Directors also determines whether the nominee must be independent under applicable SEC rules and Nasdaq listing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is responsible for identifying, reviewing, evaluating and recommending candidates for nomination to our Board of Directors, including candidates to fill any vacancies that may occur. Our Nominating and Governance Committee assesses the qualifications of candidates in light of the policies and principles in our corporate governance guidelines. Our Nominating and Governance Committee may conduct interviews, detailed questionnaires and background checks or use any other means that it deems appropriate to gather information to evaluate potential candidates. Based on the results of the evaluation process, our Nominating and Governance Committee recommends candidates to the Board of Directors for approval as director nominees for election to the Board of Directors. Our Nominating and Governance Committee utilizes a variety of methods for identifying and evaluating nominees for director and has the ability to retain advisers, as well.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with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send correspondence to the Board of Directors at our principal executive offices at the address set forth above. The Company will forward all correspondence addressed to the Board of Directors or any individual Board member. Shareholders may also communicate online with our Board of Directors as a group by accessing our website at </w:t>
      </w:r>
      <w:r>
        <w:rPr>
          <w:rFonts w:ascii="Times New Roman;Times;serif" w:hAnsi="Times New Roman;Times;serif"/>
          <w:i/>
          <w:color w:val="000000"/>
          <w:sz w:val="20"/>
        </w:rPr>
        <w:t>https://investor.roivant.com/contact-ir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73886x1_def14a_105-about_pg7"/>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Recommendations of Director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will consider director candidates recommended by the Company’s shareholders. The Nominating and Governance Committee will evaluate any candidates recommended by shareholders against the same criteria and pursuant to the same policies and procedures applicable to the evaluation of candidates proposed by directors or management. To make a recommendation, please submit by accessing our website at </w:t>
      </w:r>
      <w:r>
        <w:rPr>
          <w:rFonts w:ascii="Times New Roman;Times;serif" w:hAnsi="Times New Roman;Times;serif"/>
          <w:i/>
          <w:color w:val="000000"/>
          <w:sz w:val="20"/>
        </w:rPr>
        <w:t>https://investor.roivant.com/contact-ir</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make a nomination for the 2027 annual general meeting of shareholders, please refer to the timing requirements specified in the section of this Proxy Statement entitled “Questions and Answers About the Annual Meeting—When are shareholder proposals and director nominations due for next year’s annual general meeting of shareholders?.”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approved a Non-Employee Directors Compensation Policy pursuant to which our non-employee directors are eligible to receive compensation for their service on the Board of Directors, as described below. The compensation payable to our non-employee directors under this policy is subject to the limitations on non-employee director compensation set forth in the Roivant Sciences Ltd. 2021 Equity Incentive Plan (the “2021 EIP”), which shall not exceed $750,000 (or $1,000,000 for such director’s first fiscal year of service on our Board) in total value (both equity and cash awards).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Retainers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Fiscal 2025, our non-employee directors were entitled to receive annual cash retainers for their service, payable in equal quarterly installments as follows: </w:t>
      </w:r>
    </w:p>
    <w:tbl>
      <w:tblPr>
        <w:tblW w:w="5225" w:type="dxa"/>
        <w:jc w:val="left"/>
        <w:tblInd w:w="0" w:type="dxa"/>
        <w:tblLayout w:type="fixed"/>
        <w:tblCellMar>
          <w:top w:w="0" w:type="dxa"/>
          <w:left w:w="0" w:type="dxa"/>
          <w:bottom w:w="0" w:type="dxa"/>
          <w:right w:w="0" w:type="dxa"/>
        </w:tblCellMar>
      </w:tblPr>
      <w:tblGrid>
        <w:gridCol w:w="4070"/>
        <w:gridCol w:w="170"/>
        <w:gridCol w:w="170"/>
        <w:gridCol w:w="815"/>
      </w:tblGrid>
      <w:tr>
        <w:trPr/>
        <w:tc>
          <w:tcPr>
            <w:tcW w:w="4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0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Role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Member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w:t>
            </w:r>
          </w:p>
        </w:tc>
      </w:tr>
      <w:tr>
        <w:trPr/>
        <w:tc>
          <w:tcPr>
            <w:tcW w:w="40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We do not currently have a director designated as a Lead Independent Director, as the position of Board Chair is held by an independent director.</w:t>
            </w:r>
            <w:r>
              <w:rPr>
                <w:rFonts w:ascii="Times New Roman;Times;serif" w:hAnsi="Times New Roman;Times;serif"/>
                <w:i/>
                <w:caps w:val="false"/>
                <w:smallCaps w:val="false"/>
                <w:color w:val="000000"/>
                <w:sz w:val="16"/>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last day of any fiscal year, a non-employee director may elect that either 50% or 100% of his or her annual cash retainers payable in the following fiscal year be paid in the form of unrestricted common shares.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Initial Equity Retainer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non-employee director’s initial commencement of service on our Board of Directors, each non-employee director will be entitled to receive an initial, one-time award of stock options under the 2021 EIP with an aggregate grant date value of $600,000. The initial option award will vest over a three-year period, with 1/3 vesting on the first anniversary of the applicable vesting commencement date and the remaining portion of the award vesting in 24 equal monthly installments, subject to the non-employee director’s continuous service through the applicable vesting date, except that, in the event of a change in control (as defined under the 2021 EIP), such stock options will become fully vested and exercisable.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Equity Retainers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date of our annual general meeting of shareholders, each non-employee director (i) who has completed at least three (3) months of continuous service as a non-employee director as of the date of such meeting and (ii) whose term is scheduled to continue at least through the date of the next annual general meeting of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9" w:name="ny20073886x1_def14a_105-about_pg8"/>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will be entitled to receive (1) an annual award of stock options under the 2021 EIP with an aggregate grant date value of $200,000 (calculated using a Black-Scholes valuation methodology) and (2) an annual award of restricted stock units (“RSUs”) under the 2021 EIP with an aggregate grant date value of $200,000. If the non-employee director commences service on our Board on a date other than at the annual general meeting of shareholders, then they will be entitled to receive a prorated annual equity award on the date of the next annual general meeting of shareholders following his or her start date, if he or she otherwise satisfies the eligibility requirements. Each annual equity award will vest and, if applicable, become exercisable in full on the one-year anniversary of the applicable vesting commencement date, subject to the non-employee director’s continuous service through such vesting date, except that, in the event of a change in control, the annual equity awards will become fully vested and, if applicable, exercisable.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Table for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reflects certain information with respect to the compensation of the non-executive members of the Board of Directors in respect of Fiscal 2025. Compensation information for our executive directors, Mr. Gline and Dr. Sukhatme, is set forth below under “Executive Compensation.” </w:t>
      </w:r>
    </w:p>
    <w:tbl>
      <w:tblPr>
        <w:tblW w:w="8405" w:type="dxa"/>
        <w:jc w:val="left"/>
        <w:tblInd w:w="0" w:type="dxa"/>
        <w:tblLayout w:type="fixed"/>
        <w:tblCellMar>
          <w:top w:w="0" w:type="dxa"/>
          <w:left w:w="0" w:type="dxa"/>
          <w:bottom w:w="0" w:type="dxa"/>
          <w:right w:w="0" w:type="dxa"/>
        </w:tblCellMar>
      </w:tblPr>
      <w:tblGrid>
        <w:gridCol w:w="1640"/>
        <w:gridCol w:w="170"/>
        <w:gridCol w:w="170"/>
        <w:gridCol w:w="935"/>
        <w:gridCol w:w="170"/>
        <w:gridCol w:w="170"/>
        <w:gridCol w:w="935"/>
        <w:gridCol w:w="170"/>
        <w:gridCol w:w="170"/>
        <w:gridCol w:w="935"/>
        <w:gridCol w:w="170"/>
        <w:gridCol w:w="170"/>
        <w:gridCol w:w="1085"/>
        <w:gridCol w:w="170"/>
        <w:gridCol w:w="170"/>
        <w:gridCol w:w="1175"/>
      </w:tblGrid>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6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Cash</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511,352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$503,852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$107,000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$548,352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$497,352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Epperly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$516,352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Meghan FitzGerald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$199,995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$241,357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$509,852</w:t>
            </w:r>
          </w:p>
        </w:tc>
      </w:tr>
      <w:tr>
        <w:trPr/>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accordance with the Company’s Non-Employee Director Compensation Policy, each of Mr. Oren, Mr. Momtazee and Ms. Epperly elected to receive unrestricted common shares in lieu of 100% of the cash retainers payable to them for service on the Board of Directors during Fiscal 2025, as reflected in this column. As a result of these elections, Mr. Oren received 5,863 common shares, Mr. Momtazee received 3,068 common shares and Ms. Epperly received 4,150 common shares, in each case in lieu of their cash retainers for Fiscal 2025.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these columns reflect the aggregate grant date fair value of the RSU and option awards, as applicable, granted to our non-employee directors as computed in accordance with Financial Accounting Standards Board’s Accounting Standards Codification Topic 718 (“Topic 718”), excluding the grant date fair value of any common shares granted to our non-employee directors in lieu of the cash retainers payable to them for service on the Board of Directors, as reported in the column titled “Fees Earned or Paid in Cash.”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provides information regarding the aggregate outstanding equity awards held as of March 31, 2026 by our non-executive directors listed below: </w:t>
            </w:r>
          </w:p>
        </w:tc>
      </w:tr>
    </w:tbl>
    <w:tbl>
      <w:tblPr>
        <w:tblW w:w="3785" w:type="dxa"/>
        <w:jc w:val="left"/>
        <w:tblInd w:w="0" w:type="dxa"/>
        <w:tblLayout w:type="fixed"/>
        <w:tblCellMar>
          <w:top w:w="0" w:type="dxa"/>
          <w:left w:w="0" w:type="dxa"/>
          <w:bottom w:w="0" w:type="dxa"/>
          <w:right w:w="0" w:type="dxa"/>
        </w:tblCellMar>
      </w:tblPr>
      <w:tblGrid>
        <w:gridCol w:w="1400"/>
        <w:gridCol w:w="170"/>
        <w:gridCol w:w="170"/>
        <w:gridCol w:w="545"/>
        <w:gridCol w:w="170"/>
        <w:gridCol w:w="170"/>
        <w:gridCol w:w="1160"/>
      </w:tblGrid>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14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Daniel Gold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160,065</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Keith Manchester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160,065</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Ilan Oren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160,065</w:t>
            </w:r>
            <w:r>
              <w:rPr>
                <w:rFonts w:ascii="Times New Roman;Times;serif" w:hAnsi="Times New Roman;Times;serif"/>
                <w:color w:val="000000"/>
                <w:position w:val="5"/>
                <w:sz w:val="13"/>
                <w:sz w:val="16"/>
              </w:rPr>
              <w:t>(b)</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Momtazee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157,112</w:t>
            </w:r>
            <w:r>
              <w:rPr>
                <w:rFonts w:ascii="Times New Roman;Times;serif" w:hAnsi="Times New Roman;Times;serif"/>
                <w:color w:val="000000"/>
                <w:position w:val="5"/>
                <w:sz w:val="13"/>
                <w:sz w:val="16"/>
              </w:rPr>
              <w:t>(c)</w:t>
            </w:r>
            <w:r>
              <w:rPr>
                <w:rFonts w:ascii="Times New Roman;Times;serif" w:hAnsi="Times New Roman;Times;serif"/>
                <w:color w:val="000000"/>
                <w:sz w:val="16"/>
              </w:rPr>
              <w:t xml:space="preserve"> </w:t>
            </w:r>
          </w:p>
        </w:tc>
      </w:tr>
      <w:tr>
        <w:trPr/>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Melissa Epperly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275,131</w:t>
            </w:r>
            <w:r>
              <w:rPr>
                <w:rFonts w:ascii="Times New Roman;Times;serif" w:hAnsi="Times New Roman;Times;serif"/>
                <w:color w:val="000000"/>
                <w:position w:val="5"/>
                <w:sz w:val="13"/>
                <w:sz w:val="16"/>
              </w:rPr>
              <w:t>(d)</w:t>
            </w:r>
            <w:r>
              <w:rPr>
                <w:rFonts w:ascii="Times New Roman;Times;serif" w:hAnsi="Times New Roman;Times;serif"/>
                <w:color w:val="000000"/>
                <w:sz w:val="16"/>
              </w:rPr>
              <w:t xml:space="preserve"> </w:t>
            </w:r>
          </w:p>
        </w:tc>
      </w:tr>
      <w:tr>
        <w:trPr/>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Meghan FitzGerald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22" w:right="0" w:hanging="0"/>
              <w:jc w:val="left"/>
              <w:rPr>
                <w:rFonts w:ascii="Times New Roman;Times;serif" w:hAnsi="Times New Roman;Times;serif"/>
                <w:color w:val="000000"/>
                <w:sz w:val="16"/>
              </w:rPr>
            </w:pPr>
            <w:r>
              <w:rPr>
                <w:rFonts w:ascii="Times New Roman;Times;serif" w:hAnsi="Times New Roman;Times;serif"/>
                <w:color w:val="000000"/>
                <w:sz w:val="16"/>
              </w:rPr>
              <w:t>123,532</w:t>
            </w:r>
            <w:r>
              <w:rPr>
                <w:rFonts w:ascii="Times New Roman;Times;serif" w:hAnsi="Times New Roman;Times;serif"/>
                <w:color w:val="000000"/>
                <w:position w:val="5"/>
                <w:sz w:val="13"/>
                <w:sz w:val="16"/>
              </w:rPr>
              <w:t>(e)</w:t>
            </w:r>
          </w:p>
        </w:tc>
      </w:tr>
      <w:tr>
        <w:trPr/>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an annual retainer award of RSUs granted on September 10, 2025, which was unvested as of March 31, 2026. These awards will fully time-vest on September 10,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71,850 stock options granted on September 15, 2022 with an exercise price of $3.50 per share, all of which were vested as of March 31, 2026; (ii) 26,595 stock options granted on September 12, 2023 with an exercise price of $11.22 per share, all of which were vested as of March 31, 2026; (iii) 27,894 stock options granted on September 10, 2024 with an exercise price of $12.19 per share, all of which were vested as of March 31, 2026; and (iv) 33,726 stock options granted on September 10, 2025 with an exercise price of $13.77 per share, none of which were vested as of March 31, 2026.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68,897 stock options granted on September 15, 2022 with an exercise price of $3.50 per share, all of which were vested as of March 31, 2026; (ii) 26,595 stock options granted on September 12, 2023 with an exercise price of $11.22 per share, all of which were vested as of March 31, 2026; (iii) 27,894 stock options granted on September 10, 2024 with an exercise price of $12.19 per share, all of which were vested as of March 31, 2026; and (iv) 33,726 stock options granted on September 10, 2025 with an exercise price of $13.77 per share, none of which were vested as of March 31,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186,916 stock options granted on July 20, 2022 with an exercise price of $4.46 per share, all of which were vested as of March 31, 2026; (ii) 26,595 stock options granted on September 12, 2023 with an exercise price of $11.22 per share, all of which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0" w:name="ny20073886x1_def14a_105-about_pg9"/>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were vested as of March 31, 2026; (iii) 27,894 stock options granted on September 10, 2024 with an exercise price of $12.19 per share, all of which were vested as of March 31, 2026; and (iv) 33,726 stock options granted on September 10, 2025 with an exercise price of $13.77 per share, none of which were vested as of March 31, 2026.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48,578 stock options granted on April 20, 2023 with an exercise price of $8.80 per share, all of which were vested as of March 31, 2026; (ii) 13,334 stock options granted on September 12, 2023 with an exercise price of $11.22 per share, all of which were vested as of March 31, 2026; (iii) 27,894 stock options granted on September 10, 2024 with an exercise price of $12.19 per share, all of which were vested as of March 31, 2026; and (iv) 33,726 stock options granted on September 10, 2025 with an exercise price of $13.77 per share, none of which were vested as of March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1" w:name="ny20073886x1_def14a_106-corporate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CR"/>
      <w:bookmarkEnd w:id="22"/>
      <w:r>
        <w:rPr>
          <w:rFonts w:ascii="Times New Roman;Times;serif" w:hAnsi="Times New Roman;Times;serif"/>
          <w:b/>
          <w:color w:val="000000"/>
          <w:sz w:val="20"/>
        </w:rPr>
        <w:t xml:space="preserve">CORPORATE RESPONSIBILITY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Roivant, we believe that operating responsibly enables us to create value for the Company, for patients and for all stakeholders. Our corporate social responsibility (“CSR”) program highlights our efforts across three key commitments: </w:t>
      </w:r>
    </w:p>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Accelerating Transformation Through Agility and Disciplined Governance </w:t>
            </w:r>
          </w:p>
        </w:tc>
      </w:tr>
    </w:tbl>
    <w:tbl>
      <w:tblPr>
        <w:tblW w:w="3055" w:type="dxa"/>
        <w:jc w:val="left"/>
        <w:tblInd w:w="0" w:type="dxa"/>
        <w:tblLayout w:type="fixed"/>
        <w:tblCellMar>
          <w:top w:w="0" w:type="dxa"/>
          <w:left w:w="0" w:type="dxa"/>
          <w:bottom w:w="0" w:type="dxa"/>
          <w:right w:w="0" w:type="dxa"/>
        </w:tblCellMar>
      </w:tblPr>
      <w:tblGrid>
        <w:gridCol w:w="140"/>
        <w:gridCol w:w="2915"/>
      </w:tblGrid>
      <w:tr>
        <w:trPr/>
        <w:tc>
          <w:tcPr>
            <w:tcW w:w="14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Empowering People and Pathways </w:t>
            </w:r>
          </w:p>
        </w:tc>
      </w:tr>
    </w:tbl>
    <w:tbl>
      <w:tblPr>
        <w:tblW w:w="3460" w:type="dxa"/>
        <w:jc w:val="left"/>
        <w:tblInd w:w="0" w:type="dxa"/>
        <w:tblLayout w:type="fixed"/>
        <w:tblCellMar>
          <w:top w:w="0" w:type="dxa"/>
          <w:left w:w="0" w:type="dxa"/>
          <w:bottom w:w="0" w:type="dxa"/>
          <w:right w:w="0" w:type="dxa"/>
        </w:tblCellMar>
      </w:tblPr>
      <w:tblGrid>
        <w:gridCol w:w="140"/>
        <w:gridCol w:w="3320"/>
      </w:tblGrid>
      <w:tr>
        <w:trPr/>
        <w:tc>
          <w:tcPr>
            <w:tcW w:w="14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Intentional Environmental Stewardship </w:t>
            </w:r>
          </w:p>
        </w:tc>
      </w:tr>
    </w:tbl>
    <w:tbl>
      <w:tblPr>
        <w:tblW w:w="6670" w:type="dxa"/>
        <w:jc w:val="left"/>
        <w:tblInd w:w="0" w:type="dxa"/>
        <w:tblLayout w:type="fixed"/>
        <w:tblCellMar>
          <w:top w:w="0" w:type="dxa"/>
          <w:left w:w="0" w:type="dxa"/>
          <w:bottom w:w="0" w:type="dxa"/>
          <w:right w:w="0" w:type="dxa"/>
        </w:tblCellMar>
      </w:tblPr>
      <w:tblGrid>
        <w:gridCol w:w="200"/>
        <w:gridCol w:w="64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64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Accelerating Transformation Through Agility and Disciplined Governance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designed the Vant model to scale responsibly and unlock strategic advantages. Governance advantages enabled by the Vant model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Creating nimble, entrepreneurial Vants:</w:t>
            </w:r>
            <w:r>
              <w:rPr>
                <w:rFonts w:ascii="Times New Roman;Times;serif" w:hAnsi="Times New Roman;Times;serif"/>
                <w:color w:val="000000"/>
                <w:sz w:val="20"/>
              </w:rPr>
              <w:t xml:space="preserve"> Vants operate similarly to independent biotechnology companies where each management team is 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Allocating capital to maximize R&amp;D efficiency:</w:t>
            </w:r>
            <w:r>
              <w:rPr>
                <w:rFonts w:ascii="Times New Roman;Times;serif" w:hAnsi="Times New Roman;Times;serif"/>
                <w:color w:val="000000"/>
                <w:sz w:val="20"/>
              </w:rPr>
              <w:t xml:space="preserve"> We apply an objective, rigorous decision-making framework across the drug development process 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Maintaining a diversified pipeline with various risk profiles: </w:t>
            </w:r>
            <w:r>
              <w:rPr>
                <w:rFonts w:ascii="Times New Roman;Times;serif" w:hAnsi="Times New Roman;Times;serif"/>
                <w:color w:val="000000"/>
                <w:sz w:val="20"/>
              </w:rPr>
              <w:t xml:space="preserve">We have built a broad and differentiated pipeline that includes several drug candidates across different therapeutic areas, phases of development, modalities and geographies. This approach limits our exposure to concentrated scientific and biological risks and allows us to pursue multiple innovative hypotheses across our portfolio as we seek to develop therapies for patient populations with high unmet need. </w:t>
            </w:r>
          </w:p>
        </w:tc>
      </w:tr>
    </w:tbl>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Empowering People and Pathways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Roivant, our goal is to improve the lives of patients by accelerating the development and commercialization of medicines that matter. Our success is predicated on attracting and retaining top talent, generating new ideas and promoting an open and collaborative culture.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embrace professional development across all dimensions and levels of the organization, and we strive to ensure every employee is supported in reaching their full potential. We seek to hire motivated people with a wide range of backgrounds, identities, experiences and skillsets.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fostering an inclusive culture where all employees are valued, respected and empowered to create value for patients. At RSI, for example, this includes: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Inclusion, Diversity, and Community (“ID&amp;C”)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ID&amp;C committee is led by our Chief Operating Officer, Roivant Platforms and comprised of a diverse set of employees from across Roivant. Committee members actively promote employee engagement and education initiatives, including company-wide trainings and guest speakers. Committee members also provide support to our employee resource groups (“ERGs”) and identify and implement community engagement initiatives, including our Annual Day of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3" w:name="ny20073886x1_def14a_106-corporate_pg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Employee Resource Groups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2020, we have established a number of ERGs to cultivate community among our employees. Each ERG is employee-led with at least one executive sponsor from the management team.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Women@Roivant </w:t>
            </w:r>
            <w:r>
              <w:rPr>
                <w:rFonts w:ascii="Times New Roman;Times;serif" w:hAnsi="Times New Roman;Times;serif"/>
                <w:color w:val="000000"/>
                <w:sz w:val="20"/>
              </w:rPr>
              <w:t xml:space="preserve">aims to support and develop the next generation of women leaders at Roivant while building, engaging and strengthening internal and external communities.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BIPOC </w:t>
            </w:r>
            <w:r>
              <w:rPr>
                <w:rFonts w:ascii="Times New Roman;Times;serif" w:hAnsi="Times New Roman;Times;serif"/>
                <w:color w:val="000000"/>
                <w:sz w:val="20"/>
              </w:rPr>
              <w:t xml:space="preserve">aims to promote and celebrate our cultural diversity and provide a community of support and serve as a haven of belonging for our BIPOC community.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ROI-GBIV </w:t>
            </w:r>
            <w:r>
              <w:rPr>
                <w:rFonts w:ascii="Times New Roman;Times;serif" w:hAnsi="Times New Roman;Times;serif"/>
                <w:color w:val="000000"/>
                <w:sz w:val="20"/>
              </w:rPr>
              <w:t xml:space="preserve">aims to raise awareness of LGBTQ+ perspectives and serve as an employee support system providing education, personal and career growth, idea sharing and networking.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Asian@Roivant </w:t>
            </w:r>
            <w:r>
              <w:rPr>
                <w:rFonts w:ascii="Times New Roman;Times;serif" w:hAnsi="Times New Roman;Times;serif"/>
                <w:color w:val="000000"/>
                <w:sz w:val="20"/>
              </w:rPr>
              <w:t xml:space="preserve">aims to provide community and leadership development for our Asian American and Pacific Islander employees.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Human Capital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human capital objectives include sourcing, recruiting, retaining, incentivizing and developing our existing and future employees. We believe we can achieve our human capital objectives by implementing the following approaches: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Strategic Recruitment and Development Efforts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Hire high-caliber talent across all levels using both a dedicated in-house talent acquisition team and top-tier executive search firms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Recruit multidisciplinary talent from a broad range of industries, including biopharmaceuticals, financial services, technology and consulting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Unlock unique career progression across Roivant and Vants through “Vant mobility” and offer unparalleled leadership opportunities for employees through the Vant model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Investment in Early Career Development and Community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 in early career development through a number of important initiatives: </w:t>
            </w:r>
          </w:p>
        </w:tc>
      </w:tr>
    </w:tbl>
    <w:tbl>
      <w:tblPr>
        <w:tblW w:w="9565" w:type="dxa"/>
        <w:jc w:val="left"/>
        <w:tblInd w:w="0" w:type="dxa"/>
        <w:tblLayout w:type="fixed"/>
        <w:tblCellMar>
          <w:top w:w="0" w:type="dxa"/>
          <w:left w:w="0" w:type="dxa"/>
          <w:bottom w:w="0" w:type="dxa"/>
          <w:right w:w="0" w:type="dxa"/>
        </w:tblCellMar>
      </w:tblPr>
      <w:tblGrid>
        <w:gridCol w:w="200"/>
        <w:gridCol w:w="9365"/>
      </w:tblGrid>
      <w:tr>
        <w:trPr/>
        <w:tc>
          <w:tcPr>
            <w:tcW w:w="20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robust Roivant Analyst (“RA”) program, hiring recent college graduates from top private and public institutions </w:t>
            </w:r>
          </w:p>
        </w:tc>
      </w:tr>
    </w:tbl>
    <w:tbl>
      <w:tblPr>
        <w:tblW w:w="9895" w:type="dxa"/>
        <w:jc w:val="left"/>
        <w:tblInd w:w="0" w:type="dxa"/>
        <w:tblLayout w:type="fixed"/>
        <w:tblCellMar>
          <w:top w:w="0" w:type="dxa"/>
          <w:left w:w="0" w:type="dxa"/>
          <w:bottom w:w="0" w:type="dxa"/>
          <w:right w:w="0" w:type="dxa"/>
        </w:tblCellMar>
      </w:tblPr>
      <w:tblGrid>
        <w:gridCol w:w="200"/>
        <w:gridCol w:w="9695"/>
      </w:tblGrid>
      <w:tr>
        <w:trPr/>
        <w:tc>
          <w:tcPr>
            <w:tcW w:w="20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Life Science Cares’ Project Onramp to broaden access to early career opportunities in the life sciences </w:t>
            </w:r>
          </w:p>
        </w:tc>
      </w:tr>
    </w:tbl>
    <w:tbl>
      <w:tblPr>
        <w:tblW w:w="6640" w:type="dxa"/>
        <w:jc w:val="left"/>
        <w:tblInd w:w="0" w:type="dxa"/>
        <w:tblLayout w:type="fixed"/>
        <w:tblCellMar>
          <w:top w:w="0" w:type="dxa"/>
          <w:left w:w="0" w:type="dxa"/>
          <w:bottom w:w="0" w:type="dxa"/>
          <w:right w:w="0" w:type="dxa"/>
        </w:tblCellMar>
      </w:tblPr>
      <w:tblGrid>
        <w:gridCol w:w="200"/>
        <w:gridCol w:w="6440"/>
      </w:tblGrid>
      <w:tr>
        <w:trPr/>
        <w:tc>
          <w:tcPr>
            <w:tcW w:w="20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Girls Who Invest to help attract and support women investors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Competitive Incentives and Benchmarking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highly competitive short- and long-term incentives through both Roivant and Vant share-based compensation programs and meaningful performance-based cash bonuses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Undertake rigorous benchmarking analyses in partnership with third parties to ensure competitive compensation practices and conduct annual pay equity analyses to detect, analyze and remediate any compensation disparities where appropriate </w:t>
            </w:r>
          </w:p>
        </w:tc>
      </w:tr>
    </w:tbl>
    <w:tbl>
      <w:tblPr>
        <w:tblW w:w="9295" w:type="dxa"/>
        <w:jc w:val="left"/>
        <w:tblInd w:w="0" w:type="dxa"/>
        <w:tblLayout w:type="fixed"/>
        <w:tblCellMar>
          <w:top w:w="0" w:type="dxa"/>
          <w:left w:w="0" w:type="dxa"/>
          <w:bottom w:w="0" w:type="dxa"/>
          <w:right w:w="0" w:type="dxa"/>
        </w:tblCellMar>
      </w:tblPr>
      <w:tblGrid>
        <w:gridCol w:w="140"/>
        <w:gridCol w:w="9155"/>
      </w:tblGrid>
      <w:tr>
        <w:trPr/>
        <w:tc>
          <w:tcPr>
            <w:tcW w:w="14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a professional development stipend to each employee for use towards individual growth and development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4" w:name="ny20073886x1_def14a_106-corporate_pg3"/>
        <w:bookmarkEnd w:id="24"/>
        <w:r>
          <w:rPr>
            <w:rStyle w:val="InternetLink"/>
            <w:rFonts w:ascii="Times New Roman;Times;Serif" w:hAnsi="Times New Roman;Times;Serif"/>
            <w:b/>
            <w:caps w:val="false"/>
            <w:smallCaps w:val="false"/>
            <w:color w:val="000000"/>
            <w:sz w:val="16"/>
          </w:rPr>
          <w:t>TABLE OF CONTENTS</w:t>
        </w:r>
      </w:hyperlink>
    </w:p>
    <w:tbl>
      <w:tblPr>
        <w:tblW w:w="3670" w:type="dxa"/>
        <w:jc w:val="left"/>
        <w:tblInd w:w="0" w:type="dxa"/>
        <w:tblLayout w:type="fixed"/>
        <w:tblCellMar>
          <w:top w:w="0" w:type="dxa"/>
          <w:left w:w="0" w:type="dxa"/>
          <w:bottom w:w="0" w:type="dxa"/>
          <w:right w:w="0" w:type="dxa"/>
        </w:tblCellMar>
      </w:tblPr>
      <w:tblGrid>
        <w:gridCol w:w="200"/>
        <w:gridCol w:w="34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34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Intentional Environmental Stewardship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mindful about minimizing our environmental footprint. At RSI, for example, our efforts to minimize our environmental impact include the following: </w:t>
      </w:r>
    </w:p>
    <w:tbl>
      <w:tblPr>
        <w:tblW w:w="5575" w:type="dxa"/>
        <w:jc w:val="left"/>
        <w:tblInd w:w="0" w:type="dxa"/>
        <w:tblLayout w:type="fixed"/>
        <w:tblCellMar>
          <w:top w:w="0" w:type="dxa"/>
          <w:left w:w="0" w:type="dxa"/>
          <w:bottom w:w="0" w:type="dxa"/>
          <w:right w:w="0" w:type="dxa"/>
        </w:tblCellMar>
      </w:tblPr>
      <w:tblGrid>
        <w:gridCol w:w="140"/>
        <w:gridCol w:w="5435"/>
      </w:tblGrid>
      <w:tr>
        <w:trPr/>
        <w:tc>
          <w:tcPr>
            <w:tcW w:w="14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Implementation of an Environmental Management System policy </w:t>
            </w:r>
          </w:p>
        </w:tc>
      </w:tr>
    </w:tbl>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 with third-party vendor to repurpose and recycle our electronics and IT materials and related toxic waste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Installation of water refill stations, reducing reliance on bottled water </w:t>
            </w:r>
          </w:p>
        </w:tc>
      </w:tr>
    </w:tbl>
    <w:tbl>
      <w:tblPr>
        <w:tblW w:w="8080" w:type="dxa"/>
        <w:jc w:val="left"/>
        <w:tblInd w:w="0" w:type="dxa"/>
        <w:tblLayout w:type="fixed"/>
        <w:tblCellMar>
          <w:top w:w="0" w:type="dxa"/>
          <w:left w:w="0" w:type="dxa"/>
          <w:bottom w:w="0" w:type="dxa"/>
          <w:right w:w="0" w:type="dxa"/>
        </w:tblCellMar>
      </w:tblPr>
      <w:tblGrid>
        <w:gridCol w:w="140"/>
        <w:gridCol w:w="7940"/>
      </w:tblGrid>
      <w:tr>
        <w:trPr/>
        <w:tc>
          <w:tcPr>
            <w:tcW w:w="14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Utilization of waste management services, recycling and energy/electricity savings in our offices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Board oversight of our CSR efforts has been delegated to the Nominating and Governance Committee, whose charter includes evaluating and overseeing our CSR principles, initiatives and risks. Internally, ESG is managed by the ID&amp;C Committee led by our Chief Operating Officer, Roivant Platforms and includes key members from our Operations, Legal, Finance and People teams. The ID&amp;C Committee aims to sustain a dynamic workplace where belonging and inclusion is experienced through service, community engagement, and collective impact.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more information on our CSR program, please visit </w:t>
      </w:r>
      <w:r>
        <w:rPr>
          <w:rFonts w:ascii="Times New Roman;Times;serif" w:hAnsi="Times New Roman;Times;serif"/>
          <w:i/>
          <w:color w:val="000000"/>
          <w:sz w:val="20"/>
        </w:rPr>
        <w:t>roivant.com/about/corporate-responsibility.</w:t>
      </w:r>
      <w:r>
        <w:rPr>
          <w:rFonts w:ascii="Times New Roman;Times;serif" w:hAnsi="Times New Roman;Times;serif"/>
          <w:color w:val="000000"/>
          <w:sz w:val="20"/>
        </w:rPr>
        <w:t xml:space="preserve"> None of the content on our website, or any other websites or reports referenced or discussed in this Proxy Statement, are deemed to be part of, or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5" w:name="ny20073886x1_def14a_107-executive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EO"/>
      <w:bookmarkEnd w:id="26"/>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as of July 29, 2026, regarding Roivant’s executive officers. The executive officers of Roivant are employees of Roivant Sciences, Inc. (“RSI”), a wholly owned subsidiary of Roivant. Set forth below is biographical information for our executive officers (excluding Mr. Gline and Dr. Sukhatme, for whom biographical information is set forth above under the heading “Information About Roivant’s Directors”). </w:t>
      </w:r>
    </w:p>
    <w:tbl>
      <w:tblPr>
        <w:tblW w:w="7445" w:type="dxa"/>
        <w:jc w:val="left"/>
        <w:tblInd w:w="0" w:type="dxa"/>
        <w:tblLayout w:type="fixed"/>
        <w:tblCellMar>
          <w:top w:w="0" w:type="dxa"/>
          <w:left w:w="0" w:type="dxa"/>
          <w:bottom w:w="0" w:type="dxa"/>
          <w:right w:w="0" w:type="dxa"/>
        </w:tblCellMar>
      </w:tblPr>
      <w:tblGrid>
        <w:gridCol w:w="2105"/>
        <w:gridCol w:w="170"/>
        <w:gridCol w:w="170"/>
        <w:gridCol w:w="335"/>
        <w:gridCol w:w="170"/>
        <w:gridCol w:w="170"/>
        <w:gridCol w:w="4325"/>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Director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Investment Officer and Director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Immunovant CEO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Vant Chair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Humes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Accounting Officer</w:t>
            </w:r>
          </w:p>
        </w:tc>
      </w:tr>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2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Pulik </w:t>
      </w:r>
      <w:r>
        <w:rPr>
          <w:rFonts w:ascii="Times New Roman;Times;serif" w:hAnsi="Times New Roman;Times;serif"/>
          <w:b w:val="false"/>
          <w:i w:val="false"/>
          <w:caps w:val="false"/>
          <w:smallCaps w:val="false"/>
          <w:color w:val="000000"/>
          <w:sz w:val="20"/>
        </w:rPr>
        <w:t xml:space="preserve">has served as our Chief Financial Officer since October 2021. Prior to joining Roivant, Mr. Pulik was the Global Head of Business Development &amp; Licensing and Portfolio Management, Oncology at Novartis and a member of Novartis’s Innovation Management Board and the Novartis Oncology Leadership Team, from August 2019 to September 2021. Mr. Pulik joined Novartis in 2012 as a Senior Director, Mergers &amp; Acquisitions based in Basel, Switzerland working on the strategy and execution of the deals that shaped Novartis. In 2015, Mr. Pulik was appointed as Vice President, Head of North America Investor Relations for Novartis. Prior to these roles at Novartis, Mr. Pulik worked at Bank of America Merrill Lynch, Monitor Group and UBS Investment Bank, focusing on mergers and acquisitions and strategy in the healthcare sector. Mr. Pulik received a B.S. in Finance from The Wharton School and a B.A. in Economics and International Relations at the University of Pennsylvania.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Eric Venker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President and as Chief Executive Officer of our subsidiary, Immunovant, since April 2025. Dr. Venker previously served as our President and Chief Operating Officer, from January 2021, and as our Chief Operating Officer, from November 2018. From October 2017 to October 2018, Dr. Venker served as Chief of Staff to our Chief Executive Officer, and from 2014 to 2015, as an Analyst at Roivant. From 2015 to 2017, Dr. Venker was a physician at New York Presbyterian Hospital/Columbia University Medical Center, where he trained in internal medicine. From 2011 to 2015, Dr. Venker was a Clinical Pharmacist at Yale-New Haven Hospital. Dr. Venker also serves on the boards of directors of Immunovant, Inc. and several of Roivant’s private biopharmaceutical companies. Dr. Venker previously served on the boards of Sio Gene Therapies, Inc. and Arbutus Biopharma Corporation. He received his Pharm.D. from St. Louis College of Pharmacy and his M.D. from Yale School of Medicine.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Frank Torti </w:t>
      </w:r>
      <w:r>
        <w:rPr>
          <w:rFonts w:ascii="Times New Roman;Times;serif" w:hAnsi="Times New Roman;Times;serif"/>
          <w:b w:val="false"/>
          <w:i w:val="false"/>
          <w:caps w:val="false"/>
          <w:smallCaps w:val="false"/>
          <w:color w:val="000000"/>
          <w:sz w:val="20"/>
        </w:rPr>
        <w:t xml:space="preserve">has served as our President and Vant Chair since July 2025 and, prior to that role, as Vant Chair since January 2020. From August 2018 to December 2019, Dr. Torti served as our Vant Investment Chair. In these roles, Dr. Torti has served as the chief executive officer, chair or a member of the board of directors of the biopharmaceutical companies in the Roivant family and is responsible for the operations and management of those companies. Dr. Torti has also served as Chair of Immunovant’s board of directors since June 2019 and as its Executive Chair since August 2021, and also serves on the board of several of Roivant’s private biopharmaceutical companies. Dr. Torti was the founding CEO and Chair of our subsidiary Telavant from its inception in November 2022 until its sale to Roche for $7.25 billion in December 2023. Prior to joining Roivant, from August 2007 to August 2018 Dr. Torti served as a Partner of New Enterprise Associates, or NEA, specializing in investments in healthcare. Prior to joining NEA, Dr. Torti worked for the Duke University Center for Clinical &amp; Genetic Economics from 2002 to 2005 in various capacities, where he was involved in clinical trials research and economic evaluations of multinational clinical trials. Dr. Torti previously served as chairman of the board of directors of Arbutus Biopharma from November 2018 until February 2025, as a director of Urovant Sciences Ltd., from August 2018 to December 2019, and as a director of Myovant Sciences Ltd., from November 2018 to December 2019. Dr. Torti earned an M.D. from the University of North Carolina School of Medicine, an M.B.A. from Harvard Business School and a B.A. from the University of North Carolina.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7" w:name="ny20073886x1_def14a_107-executive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Jennifer Humes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Accounting Officer since February 2025, leading Roivant’s accounting and financial operations and related internal controls functions. Prior to joining Roivant, Ms. Humes was the Global Investment Banking Controller at JPMorganChase, where she led a global team responsible for the accounting, reporting and internal controls over financial reporting for the global banking business. Prior to that, Ms. Humes was in accounting policy at JPMorganChase and at Citibank, where she supported various wholesale and consumer businesses. She began her career in public accounting at PwC and Deloitte, spending time in both the auditing and technical accounting advisory practices in Minneapolis, San Diego, London and New York. Ms. Humes received a B.A. in Accounting from The University of St. Thomas.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8" w:name="ny20073886x1_def14a_108-comp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tEC"/>
      <w:bookmarkEnd w:id="29"/>
      <w:r>
        <w:rPr>
          <w:rFonts w:ascii="Times New Roman;Times;serif" w:hAnsi="Times New Roman;Times;serif"/>
          <w:b/>
          <w:color w:val="000000"/>
          <w:sz w:val="20"/>
        </w:rPr>
        <w:t xml:space="preserve">EXECUTIVE COMPENSATION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Compensation Discussion and Analysis (“CD&amp;A”) discusses the philosophy, objectives, components, process and other aspects of our Fiscal 2025 executive compensation program. This CD&amp;A is intended to be read in conjunction with the tables that immediately follow this section, which provide further compensation information for our Fiscal 2025 named executive officers (“NEOs”). Each of our NEOs is an employee of RSI.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2025, our NEOs were as follows: </w:t>
      </w:r>
    </w:p>
    <w:tbl>
      <w:tblPr>
        <w:tblW w:w="5720" w:type="dxa"/>
        <w:jc w:val="left"/>
        <w:tblInd w:w="0" w:type="dxa"/>
        <w:tblLayout w:type="fixed"/>
        <w:tblCellMar>
          <w:top w:w="0" w:type="dxa"/>
          <w:left w:w="0" w:type="dxa"/>
          <w:bottom w:w="0" w:type="dxa"/>
          <w:right w:w="0" w:type="dxa"/>
        </w:tblCellMar>
      </w:tblPr>
      <w:tblGrid>
        <w:gridCol w:w="2105"/>
        <w:gridCol w:w="170"/>
        <w:gridCol w:w="170"/>
        <w:gridCol w:w="3275"/>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Investment Officer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Immunovant CEO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Vant Chair</w:t>
            </w:r>
          </w:p>
        </w:tc>
      </w:tr>
      <w:tr>
        <w:trPr/>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75" w:type="dxa"/>
            <w:tcBorders/>
            <w:shd w:fill="CCEEFF" w:val="clear"/>
            <w:vAlign w:val="center"/>
          </w:tcPr>
          <w:p>
            <w:pPr>
              <w:pStyle w:val="TableContents"/>
              <w:bidi w:val="0"/>
              <w:spacing w:before="0" w:after="0"/>
              <w:jc w:val="left"/>
              <w:rPr/>
            </w:pPr>
            <w:r>
              <w:rPr/>
              <w:t> </w:t>
            </w:r>
          </w:p>
        </w:tc>
      </w:tr>
    </w:tbl>
    <w:tbl>
      <w:tblPr>
        <w:tblW w:w="8980" w:type="dxa"/>
        <w:jc w:val="left"/>
        <w:tblInd w:w="0" w:type="dxa"/>
        <w:tblLayout w:type="fixed"/>
        <w:tblCellMar>
          <w:top w:w="0" w:type="dxa"/>
          <w:left w:w="0" w:type="dxa"/>
          <w:bottom w:w="0" w:type="dxa"/>
          <w:right w:w="0" w:type="dxa"/>
        </w:tblCellMar>
      </w:tblPr>
      <w:tblGrid>
        <w:gridCol w:w="260"/>
        <w:gridCol w:w="87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also serves as the Chief Executive Officer of our publicly-traded subsidiary, Immunovant Inc. (“Immunovant”).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 Overview and Fiscal 2025 Performance Highlights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 is a biopharmaceutical company that aims to improve the lives of patients by accelerating the development and commercialization of medicines that matter. Roivant’s pipeline includes brepocitinib, a potent small molecule inhibitor of JAK1 and TYK2 currently under review at the FDA for the treatment of dermatomyositis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delivered strong results in Fiscal 2025, underscoring the strength of our execution and the impact of our long-term investments in our pipeline. Our key business highlights for Fiscal 2025 included the following: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0"/>
              <w:jc w:val="left"/>
              <w:rPr>
                <w:color w:val="000000"/>
              </w:rPr>
            </w:pPr>
            <w:r>
              <w:rPr>
                <w:color w:val="000000"/>
              </w:rPr>
              <w:t>•</w:t>
            </w:r>
          </w:p>
        </w:tc>
        <w:tc>
          <w:tcPr>
            <w:tcW w:w="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Roivant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Reported consolidated cash, cash equivalents and marketable securities of $4.3 billion as of March 31, 2026, supporting cash runway into profitability. </w:t>
            </w:r>
          </w:p>
        </w:tc>
      </w:tr>
    </w:tbl>
    <w:tbl>
      <w:tblPr>
        <w:tblW w:w="1330" w:type="dxa"/>
        <w:jc w:val="left"/>
        <w:tblInd w:w="0" w:type="dxa"/>
        <w:tblLayout w:type="fixed"/>
        <w:tblCellMar>
          <w:top w:w="0" w:type="dxa"/>
          <w:left w:w="0" w:type="dxa"/>
          <w:bottom w:w="0" w:type="dxa"/>
          <w:right w:w="0" w:type="dxa"/>
        </w:tblCellMar>
      </w:tblPr>
      <w:tblGrid>
        <w:gridCol w:w="140"/>
        <w:gridCol w:w="1190"/>
      </w:tblGrid>
      <w:tr>
        <w:trPr/>
        <w:tc>
          <w:tcPr>
            <w:tcW w:w="14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Brepocitinib</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Announced positive data in the Phase 3 study of brepocitinib in dermatomyositis (“DM”). Brepocitinib demonstrated clinically meaningful and statistically significant improvement compared to placebo. The FDA accepted brepocitinib’s New Drug Application (“NDA”) in DM with Priority Review. </w:t>
            </w:r>
          </w:p>
        </w:tc>
      </w:tr>
    </w:tbl>
    <w:tbl>
      <w:tblPr>
        <w:tblW w:w="8575" w:type="dxa"/>
        <w:jc w:val="left"/>
        <w:tblInd w:w="0" w:type="dxa"/>
        <w:tblLayout w:type="fixed"/>
        <w:tblCellMar>
          <w:top w:w="0" w:type="dxa"/>
          <w:left w:w="0" w:type="dxa"/>
          <w:bottom w:w="0" w:type="dxa"/>
          <w:right w:w="0" w:type="dxa"/>
        </w:tblCellMar>
      </w:tblPr>
      <w:tblGrid>
        <w:gridCol w:w="200"/>
        <w:gridCol w:w="8375"/>
      </w:tblGrid>
      <w:tr>
        <w:trPr/>
        <w:tc>
          <w:tcPr>
            <w:tcW w:w="20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in the ongoing Phase 3 study of brepocitinib in non-infectious uveitis (“NIU”). </w:t>
            </w:r>
          </w:p>
        </w:tc>
      </w:tr>
    </w:tbl>
    <w:tbl>
      <w:tblPr>
        <w:tblW w:w="8125" w:type="dxa"/>
        <w:jc w:val="left"/>
        <w:tblInd w:w="0" w:type="dxa"/>
        <w:tblLayout w:type="fixed"/>
        <w:tblCellMar>
          <w:top w:w="0" w:type="dxa"/>
          <w:left w:w="0" w:type="dxa"/>
          <w:bottom w:w="0" w:type="dxa"/>
          <w:right w:w="0" w:type="dxa"/>
        </w:tblCellMar>
      </w:tblPr>
      <w:tblGrid>
        <w:gridCol w:w="200"/>
        <w:gridCol w:w="7925"/>
      </w:tblGrid>
      <w:tr>
        <w:trPr/>
        <w:tc>
          <w:tcPr>
            <w:tcW w:w="20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Announced positive results in the Phase 2 study of brepocitinib in cutaneous sarcoidosis (“CS”). </w:t>
            </w:r>
          </w:p>
        </w:tc>
      </w:tr>
    </w:tbl>
    <w:tbl>
      <w:tblPr>
        <w:tblW w:w="7810" w:type="dxa"/>
        <w:jc w:val="left"/>
        <w:tblInd w:w="0" w:type="dxa"/>
        <w:tblLayout w:type="fixed"/>
        <w:tblCellMar>
          <w:top w:w="0" w:type="dxa"/>
          <w:left w:w="0" w:type="dxa"/>
          <w:bottom w:w="0" w:type="dxa"/>
          <w:right w:w="0" w:type="dxa"/>
        </w:tblCellMar>
      </w:tblPr>
      <w:tblGrid>
        <w:gridCol w:w="200"/>
        <w:gridCol w:w="7610"/>
      </w:tblGrid>
      <w:tr>
        <w:trPr/>
        <w:tc>
          <w:tcPr>
            <w:tcW w:w="20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Enrolled the first subjects in a Phase 2b/3 trial of brepocitinib in lichen planopilaris (“LPP”). </w:t>
            </w:r>
          </w:p>
        </w:tc>
      </w:tr>
    </w:tbl>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Anti-FcRn Franchise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Roivant-led Immunovant financing alongside key institutional investors in December 2025 generated gross proceeds to Immunovant of approximately $550 million, extending Immunovant’s cash runway to a potential launch of IMVT-1402 in Graves’ disease (“GD”).</w:t>
            </w:r>
          </w:p>
        </w:tc>
      </w:tr>
    </w:tbl>
    <w:tbl>
      <w:tblPr>
        <w:tblW w:w="9190" w:type="dxa"/>
        <w:jc w:val="left"/>
        <w:tblInd w:w="0" w:type="dxa"/>
        <w:tblLayout w:type="fixed"/>
        <w:tblCellMar>
          <w:top w:w="0" w:type="dxa"/>
          <w:left w:w="0" w:type="dxa"/>
          <w:bottom w:w="0" w:type="dxa"/>
          <w:right w:w="0" w:type="dxa"/>
        </w:tblCellMar>
      </w:tblPr>
      <w:tblGrid>
        <w:gridCol w:w="200"/>
        <w:gridCol w:w="8990"/>
      </w:tblGrid>
      <w:tr>
        <w:trPr/>
        <w:tc>
          <w:tcPr>
            <w:tcW w:w="20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in Phase 2b study for IMVT-1402 in difficult-to-treat rheumatoid arthritis (“D2T RA”).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Presented positive six-month off-treatment data from the proof-of-concept Phase 2 clinical trial of batoclimab for the treatment of uncontrolled GD at the American Thyroid Association Annual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0" w:name="ny20073886x1_def14a_108-comp_pg2"/>
        <w:bookmarkEnd w:id="30"/>
        <w:r>
          <w:rPr>
            <w:rStyle w:val="InternetLink"/>
            <w:rFonts w:ascii="Times New Roman;Times;Serif" w:hAnsi="Times New Roman;Times;Serif"/>
            <w:b/>
            <w:caps w:val="false"/>
            <w:smallCaps w:val="false"/>
            <w:color w:val="000000"/>
            <w:sz w:val="16"/>
          </w:rPr>
          <w:t>TABLE OF CONTENTS</w:t>
        </w:r>
      </w:hyperlink>
    </w:p>
    <w:tbl>
      <w:tblPr>
        <w:tblW w:w="1270" w:type="dxa"/>
        <w:jc w:val="left"/>
        <w:tblInd w:w="0" w:type="dxa"/>
        <w:tblLayout w:type="fixed"/>
        <w:tblCellMar>
          <w:top w:w="0" w:type="dxa"/>
          <w:left w:w="0" w:type="dxa"/>
          <w:bottom w:w="0" w:type="dxa"/>
          <w:right w:w="0" w:type="dxa"/>
        </w:tblCellMar>
      </w:tblPr>
      <w:tblGrid>
        <w:gridCol w:w="140"/>
        <w:gridCol w:w="1130"/>
      </w:tblGrid>
      <w:tr>
        <w:trPr/>
        <w:tc>
          <w:tcPr>
            <w:tcW w:w="140" w:type="dxa"/>
            <w:tcBorders/>
            <w:vAlign w:val="center"/>
          </w:tcPr>
          <w:p>
            <w:pPr>
              <w:pStyle w:val="TableContents"/>
              <w:bidi w:val="0"/>
              <w:spacing w:before="0" w:after="0"/>
              <w:jc w:val="left"/>
              <w:rPr>
                <w:color w:val="000000"/>
              </w:rPr>
            </w:pPr>
            <w:r>
              <w:rPr>
                <w:color w:val="000000"/>
              </w:rPr>
              <w:t>•</w:t>
            </w:r>
          </w:p>
        </w:tc>
        <w:tc>
          <w:tcPr>
            <w:tcW w:w="1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Mosliciguat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Completed enrollment within one year of first patient dosing in the Phase 2 study of mosliciguat in 135 patients with pulmonary hypertension associated with interstitial lung disease (“PH-ILD”).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Patent Infringement Litigation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Announced a $2.25 billion global settlement with Moderna, ending all pending U.S. and international patent-infringement litigation filed by Genevant Sciences GmbH (“Genevant”) and Arbutus against Moderna.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settlement, Moderna will pay Genevant and Arbutus $950 million in July 2026 and up to an additional $1.3 billion contingent upon resolution of Moderna’s Section 1498 appeal favorable to Genevant and Arbutus.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 construction ruling in Genevant and Arbutus’s lawsuit against Pfizer and BioNTech in the U.S. District Court for the District of New Jersey for patent infringement in the manufacture and sale of their COVID-19 vaccine was issued in September 2025, construing the disputed claim terms in a manner that Genevant generally considers to be favorable.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of Executive Compensation Program </w:t>
      </w:r>
    </w:p>
    <w:p>
      <w:pPr>
        <w:pStyle w:val="TextBody"/>
        <w:bidi w:val="0"/>
        <w:spacing w:before="140" w:after="283"/>
        <w:ind w:left="0" w:right="0" w:hanging="0"/>
        <w:jc w:val="left"/>
        <w:rPr>
          <w:rFonts w:ascii="Times New Roman;Times;serif" w:hAnsi="Times New Roman;Times;serif"/>
          <w:i/>
          <w:color w:val="000000"/>
          <w:sz w:val="20"/>
        </w:rPr>
      </w:pPr>
      <w:bookmarkStart w:id="31" w:name="tOECP"/>
      <w:bookmarkEnd w:id="31"/>
      <w:r>
        <w:rPr>
          <w:rFonts w:ascii="Times New Roman;Times;serif" w:hAnsi="Times New Roman;Times;serif"/>
          <w:i/>
          <w:color w:val="000000"/>
          <w:sz w:val="20"/>
        </w:rPr>
        <w:t xml:space="preserve">Executive Compensation Philosophy and Goals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Roivant’s executive compensation program is grounded in a “pay-for-performance” philosophy that seeks to align the interests of our NEOs with those of our shareholders by tying a meaningful portion of our NEOs’ total compensation to the achievement of both near-term operational milestones and long-term value creation. We also recognize that our ability to execute on our business strategy depends on attracting, motivating and retaining exceptional leaders who bring to Roivant deep expertise from the biopharmaceutical industry and a broad range of adjacent disciplines. Accordingly, our Compensation Committee structures total compensation for our NEOs to be competitive with that of our peer companies while ensuring that realized pay reflects actual performance outcomes over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this philosophy, the Compensation Committee has designed our executive compensation program to achieve the following primary goals: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Align executive and shareholder interests through pay-for-performance.</w:t>
            </w:r>
            <w:r>
              <w:rPr>
                <w:rFonts w:ascii="Times New Roman;Times;serif" w:hAnsi="Times New Roman;Times;serif"/>
                <w:color w:val="000000"/>
                <w:sz w:val="20"/>
              </w:rPr>
              <w:t xml:space="preserve"> A significant percentage of each NEO’s target total compensation is variable and at-risk, including compensation that is tied to the achievement of pre-established Company performance goals. By weighting compensation toward annual cash incentives and long-term equity awards – including performance-based equity awards for certain of our NEOs – we seek to ensure that realized pay reflects the value created for shareholders, generating a direct linkage between executive compensation and Company results. In addition, full-time employees at Roivant, regardless of their level, typically receive incentive equity awards as part of their compensation, aligning their interests with those of our shareholders and giving them a personal stake in the success of our mission.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Balance short-term execution with long-term value creation.</w:t>
            </w:r>
            <w:r>
              <w:rPr>
                <w:rFonts w:ascii="Times New Roman;Times;serif" w:hAnsi="Times New Roman;Times;serif"/>
                <w:color w:val="000000"/>
                <w:sz w:val="20"/>
              </w:rPr>
              <w:t xml:space="preserve"> Our compensation program is designed to incentivize and reward both near-term operational achievements and the sustained, long-term growth of our business. Annual cash bonuses tied to annual corporate performance objectives focus executives on critical near-term priorities, while long-term equity awards that vest over multi-year periods reinforce a durable commitment to delivering value to stockholders and patients alike.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Attract, motivate and retain top talent from a broad range of industries.</w:t>
            </w:r>
            <w:r>
              <w:rPr>
                <w:rFonts w:ascii="Times New Roman;Times;serif" w:hAnsi="Times New Roman;Times;serif"/>
                <w:color w:val="000000"/>
                <w:sz w:val="20"/>
              </w:rPr>
              <w:t xml:space="preserve"> We compete for executive talent across a wide range of highly competitive industries, including biopharmaceuticals, financial services, technology and consulting, among others. We seek high-caliber executive officers and other employees who have a range of experiences, expertise, capabilities and backgrounds to lead our business and pursue our strategy. In recruiting and retaining our NEOs and determining their compensation, the Compensation Committee references the amounts and structures of compensation received by senior leaders in the companies in our compensation peer group and in industry surveys, as well as in other sectors in which we compete for talent, including financial services, venture capital and private equity.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Promote sound governance and disciplined risk management.</w:t>
            </w:r>
            <w:r>
              <w:rPr>
                <w:rFonts w:ascii="Times New Roman;Times;serif" w:hAnsi="Times New Roman;Times;serif"/>
                <w:color w:val="000000"/>
                <w:sz w:val="20"/>
              </w:rPr>
              <w:t xml:space="preserve"> Our compensation program incorporates features designed to discourage excessive or imprudent risk-taking and to reinforce strong governance standards. These include a fully-independent Compensation Committee with advice from an independent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2" w:name="ny20073886x1_def14a_108-comp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consultant retained by the Compensation Committee, multi-year equity vesting schedules, performance-based equity awards with rigorous goal-setting, a robust compensation recoupment (or “clawback”) policy and restrictions on hedging of Company securities. Together, these practices support a long-term orientation and reinforce accountability at the senior leadership level.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achieve these objectives, the Compensation Committee regularly reviews our compensation policies and program design to ensure that they are closely aligned with the interests of our shareholders and our business goals, and that the total compensation paid to our NEOs is competitive for a company of our size and stage of development, as well as the complexity of our business.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Fiscal 2025 Compensation Highlights</w:t>
      </w:r>
    </w:p>
    <w:p>
      <w:pPr>
        <w:pStyle w:val="TextBody"/>
        <w:bidi w:val="0"/>
        <w:spacing w:before="310" w:after="283"/>
        <w:ind w:left="0" w:right="0" w:hanging="0"/>
        <w:jc w:val="left"/>
        <w:rPr>
          <w:rFonts w:ascii="Times New Roman;Times;serif" w:hAnsi="Times New Roman;Times;serif"/>
          <w:color w:val="000000"/>
          <w:sz w:val="20"/>
        </w:rPr>
      </w:pPr>
      <w:bookmarkStart w:id="33" w:name="tSECP"/>
      <w:bookmarkEnd w:id="33"/>
      <w:r>
        <w:rPr>
          <w:rFonts w:ascii="Times New Roman;Times;serif" w:hAnsi="Times New Roman;Times;serif"/>
          <w:color w:val="000000"/>
          <w:sz w:val="20"/>
          <w:u w:val="single"/>
        </w:rPr>
        <w:t>Senior Executive Compensation Program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disclosed in last year’s proxy statement, the Compensation Committee previously approved a multi-year senior executive compensation program for Mr. Gline, Dr. Sukhatme, Dr. Venker and Dr. Torti (the “Senior Executive Compensation Program”). The incentive equity awards granted under the Senior Executive Compensation Program, which included grants of stock options, RSUs and PSUs that varied among the executives, both in terms of the types and number of awards received by the executives, sought to directly link the long-term incentive compensation of these senior executives with ambitious large-scale strategic objectives and shareholder return, and to secure their continued leadership, expertise and energy.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 long-term nature of our strategy and business, the RSU and PSU grants made to Mr. Gline and Dr. Sukhatme (in Fiscal 2024) and to Dr. Torti (in Fiscal 2025) were intended to represent five years of equity compensation for these executives and the recipients must remain our employees in order for the awards to service-vest (in addition to the completed performance vesting of the awards). The PSU grants are also subject to a two-year post-vesting holding period before any vested common shares can be sold by the executive. To underscore the “all in” nature of these awards, the Compensation Committee granted these multi-year awards with the expectation that these NEOs will receive no additional Roivant incentive equity awards for the duration of the five-year performance period (covering both the period during which the PSUs could satisfy the applicable share price hurdles and the vesting period of the RSUs awarded under the Senior Executive Compensation Program). Accordingly, Mr. Gline and Dr. Sukhatme were not granted any Roivant incentive equity awards in Fiscal 2025. Dr. Torti was not granted any Roivant incentive equity awards subsequent to the July 2025 RSU and PSU awards previously disclosed and discussed in more detail below. (Dr. Torti is also entitled to periodically receive incentive equity awards (options and RSUs) in certain of our Vant subsidiaries for which he serves as a director; see “Agreements with Our NEOs—Frank Torti” for more information.) For more information on the Senior Executive Compensation Program, see “Update on Senior Executive Compensation Program” below. </w:t>
      </w:r>
    </w:p>
    <w:p>
      <w:pPr>
        <w:pStyle w:val="TextBody"/>
        <w:bidi w:val="0"/>
        <w:spacing w:before="3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Shareholder Engagement and Say-on-Pay Vote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management team regularly engages in dialogue with our shareholders and views direct shareholder engagement as a critical process for receiving and understanding feedback on the subjects that matter most to our shareholders. We view regular and constructive dialogue with our shareholders as an integral component of our corporate governance framework, and we are committed to proactive engagement designed to understand shareholder perspectives and inform the Board’s ongoing evaluation of our governance and compensation practices. We take shareholders’ feedback seriously and are committed to listening to and addressing any concerns they raise.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hold an annual advisory shareholder vote on the compensation of our NEOs, also referred to as a “Say-on-Pay” vote. At our annual meeting of shareholders for Fiscal 2024, held in September 2025 (the “Fiscal 2024 AGM”), the Say-on-Pay proposal received 60.9% support, below the 89.3% support received at our annual meeting of shareholders for Fiscal 2023. Our Board of Directors was disappointed with the results of the Say-on-Pay vote at our Fiscal 2024 AGM and our management team has engaged in a robust shareholder outreach campaign with the primary objective of obtaining feedback on our corporate governance and executive compensation practices, including the Senior Executive Compensation Program. We extended invitations to more than a dozen of our largest institutional investors, as well as some smaller investors, together representing approximately 60% of our outstanding common shares as of March 31, 2026, and met with shareholders representing approximately 50% of our outstanding common shares as of March 31, 2026. During our outreach efforts, a number of shareholders declined engagement or did not respond to our outreach efforts. A number of these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4" w:name="ny20073886x1_def14a_108-comp_pg4"/>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explained that they affirmatively declined our engagement because they did not have concerns with our approach to corporate governance or our executive-compensation program, or otherwise did not have governance-related matters they wished to discuss with us at this time. These outreach efforts were led by our CFO, Richard Pulik, our Head of Investor Relations, Keyur Parekh, and our General Counsel, Sam Kaplan, who, along with our CEO, Matt Gline, attended these shareholder meetings. In these meetings, we invited shareholders to provide their views on the Fiscal 2024 Say-on-Pay vote, our overall executive compensation philosophy, the structure and design of the Senior Executive Compensation Program, the alignment of pay with performance, our disclosure regarding compensation decisions and related corporate governance matters. Following these meetings, management reported the feedback received to the Compensation Committee for its consideration as part of its ongoing oversight of our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shareholders that we spoke with were broadly supportive of our governance practices and the overall structure of our executive compensation program. Investors acknowledged our impressive recent share price performance and recognized the rationale for the long-term incentive structure of the Senior Executive Compensation Program, particularly given the long-term nature of our business strategy and our commitment not to provide additional incentive equity awards to the executives during the existing awards’ performance period, absent fundamental changes to our business that require the re-evaluation of individual or executive team retention and incentives. Overall, investors indicated that continued execution of our business strategy, sustained share price performance and adherence to these compensation commitments would be important factors in their ongoing assessment of the program. Shareholders did not provide any specific go-forward requests or recommendations on how to modify our governance or compensation programs. The Board and the Compensation Committee value the perspectives shared by our shareholders and will continue to consider shareholder feedback, market practices and the Company’s business objectives when evaluating our executive compensation program. We intend to continue these engagement efforts with shareholders in advance of the annual meeting of shareholders for Fiscal 2025.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Compensation Program Design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designed to be competitive and balance our goal of attracting, motivating and retaining top-performing executives with our goal of aligning our executives’ long-term interests with those of our shareholders. Our Compensation Committee regularly evaluates the effectiveness of our executive compensation program to ensure that it is consistent with our short-term and long-term goals and the dynamic nature of our business. Our executive compensation program incorporates the following corporate governance best practices that promote the interests of our shareholders and are consistent with the high standards of risk management: </w:t>
      </w:r>
    </w:p>
    <w:tbl>
      <w:tblPr>
        <w:tblW w:w="10205" w:type="dxa"/>
        <w:jc w:val="left"/>
        <w:tblInd w:w="0" w:type="dxa"/>
        <w:tblLayout w:type="fixed"/>
        <w:tblCellMar>
          <w:top w:w="0" w:type="dxa"/>
          <w:left w:w="0" w:type="dxa"/>
          <w:bottom w:w="0" w:type="dxa"/>
          <w:right w:w="0" w:type="dxa"/>
        </w:tblCellMar>
      </w:tblPr>
      <w:tblGrid>
        <w:gridCol w:w="185"/>
        <w:gridCol w:w="260"/>
        <w:gridCol w:w="170"/>
        <w:gridCol w:w="170"/>
        <w:gridCol w:w="1873"/>
        <w:gridCol w:w="170"/>
        <w:gridCol w:w="170"/>
        <w:gridCol w:w="6991"/>
        <w:gridCol w:w="216"/>
      </w:tblGrid>
      <w:tr>
        <w:trPr/>
        <w:tc>
          <w:tcPr>
            <w:tcW w:w="185" w:type="dxa"/>
            <w:tcBorders/>
            <w:vAlign w:val="center"/>
          </w:tcPr>
          <w:p>
            <w:pPr>
              <w:pStyle w:val="TableContents"/>
              <w:bidi w:val="0"/>
              <w:spacing w:before="0" w:after="0"/>
              <w:jc w:val="left"/>
              <w:rPr/>
            </w:pPr>
            <w:r>
              <w:rPr/>
              <w:t> </w:t>
            </w:r>
          </w:p>
        </w:tc>
        <w:tc>
          <w:tcPr>
            <w:tcW w:w="9804" w:type="dxa"/>
            <w:gridSpan w:val="7"/>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7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Maintain Independent Compensation Committee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9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solely of independent directors under applicable SEC and Nasdaq rules.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7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 Independent Compensation Consultant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9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engaged an independent compensation consultant, Aon, to provide information and advice for use in designing our executive compensation program.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7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Follow “Pay for Performance” Philosophy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9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majority of our NEOs’ compensation by potential value is variable and at-risk, with a meaningful portion that is performance-based, underscoring the pay for performance nature of the program.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Analyze Peer Data</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develop a peer group of companies based on industry, revenue, development stage and market capitalization to reference for compensation decisions. We also reference compensation from markets and industries in which we compete for talent, including financial services, private equity and venture capital.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7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91"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5" w:name="ny20073886x1_def14a_108-comp_pg5"/>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345"/>
        <w:gridCol w:w="170"/>
        <w:gridCol w:w="170"/>
        <w:gridCol w:w="2163"/>
        <w:gridCol w:w="170"/>
        <w:gridCol w:w="170"/>
        <w:gridCol w:w="6616"/>
        <w:gridCol w:w="216"/>
      </w:tblGrid>
      <w:tr>
        <w:trPr/>
        <w:tc>
          <w:tcPr>
            <w:tcW w:w="185" w:type="dxa"/>
            <w:tcBorders/>
            <w:vAlign w:val="center"/>
          </w:tcPr>
          <w:p>
            <w:pPr>
              <w:pStyle w:val="TableContents"/>
              <w:bidi w:val="0"/>
              <w:spacing w:before="0" w:after="0"/>
              <w:jc w:val="left"/>
              <w:rPr/>
            </w:pPr>
            <w:r>
              <w:rPr/>
              <w:t> </w:t>
            </w:r>
          </w:p>
        </w:tc>
        <w:tc>
          <w:tcPr>
            <w:tcW w:w="9804" w:type="dxa"/>
            <w:gridSpan w:val="7"/>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Annual Compensation Review</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conducts a review, at least annually, of our executive compensation program and strategy, including a review of the compensation peer group.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 Annual Say-on-Pay Vote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 an annual advisory “Say-on-Pay” shareholder vote on our NEO compensation.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Double-Trigger Change-in-Control Provisions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equity awards generally have “double-trigger” change of control provisions, providing for acceleration on an involuntary termination of employment without “cause” or by the executive officer for “good reason” following a change of control.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Maintain a Clawback Policy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maintain a clawback policy which provides for the recoupment of certain incentive-based compensation provided to our executive officers in the event of an accounting restatement resulting from material noncompliance with financial reporting requirements under U.S. federal securities laws.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Annual Compensation Risk Assessment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conduct an annual compensation risk assessment to ensure that our compensation programs do not present any risks that are reasonably likely to have a material adverse effect on the Company.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What We Don’t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Hedging of Company Securities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prohibit employees and non-employee directors from engaging in hedging, margin or short sale transactions in Company securities.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Excessive Perks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large perquisites to executive officers.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Excise Tax Gross-Ups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provide excise tax gross-ups.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Guaranteed Bonuses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guarantee our NEOs any minimum levels of guaranteed payments in the form of an annual cash bonus, which is entirely performance-based.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43" w:type="dxa"/>
            </w:tcMar>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Special Health and Welfare Benefits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participate in our health and welfare benefits programs on the same basis as our other employees.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5" w:type="dxa"/>
            <w:tcBorders/>
            <w:vAlign w:val="center"/>
          </w:tcPr>
          <w:p>
            <w:pPr>
              <w:pStyle w:val="TableContents"/>
              <w:bidi w:val="0"/>
              <w:spacing w:before="0" w:after="283"/>
              <w:ind w:left="35" w:right="0" w:hanging="0"/>
              <w:jc w:val="left"/>
              <w:rPr>
                <w:color w:val="000000"/>
              </w:rPr>
            </w:pPr>
            <w:r>
              <w:rPr>
                <w:color w:val="000000"/>
              </w:rPr>
              <w:drawing>
                <wp:inline distT="0" distB="0" distL="0" distR="0">
                  <wp:extent cx="200025" cy="200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0025" cy="2000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Executive Retirement Plans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do not offer pension or retirement plans to our executive officers that are different from or in addition to those offered to our other employees.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4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6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1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5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Determination Process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which consists entirely of independent directors under applicable SEC and Nasdaq rules, is responsible for our overall executive compensation program, including determining the base salaries, annual cash bonuses and equity awards provided to our executive officers, and reports to our Board of Directors on its discussions, decisions and other actions. As part of this process, the Compensation Committee (i) specifies the annual performance goals and objectives that are used, in part, to determine annual compensation levels, (ii) annually reviews and approves peer group selections, (iii) annually evaluates achievement against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6" w:name="ny20073886x1_def14a_108-comp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prespecified performance goals and objectives and (iv) periodically reviews and approves employment, severance, change in control and other compensation-related agreements and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end of each fiscal year, the Compensation Committee evaluates the Company’s achievement against the pre-specified performance goals and objectives and approves the primary elements of our NEOs’ compensation: base salary increases, annual cash bonus payments and equity awards granted. With input from our executive officers, the Compensation Committee annually establishes the performance-based metrics and targets that comprise the annual performance goals and objectives used, in part, to determine annual compensation levels for our NEOs. For each goal, the Compensation Committee sets appropriate objectives designed to motivate achievement and without incentivizing excessive risk taking.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regularly reviews the elements of our executive compensation program to verify the alignment of the program with our business strategy and with the items that we believe drive the creation of shareholder value, and to determine whether any changes would be appropriate.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the Independent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recognizes that there is value in procuring independent, objective expertise and counsel in connection with fulfilling its duties. Pursuant to its charter, the Compensation Committee has the authority to select and retain independent advisors and counsel to assist it with carrying out its duties and responsibilities. The Compensation Committee has exercised this authority to engage Aon’s Human Capital Solutions practice, a division of Aon plc (“Aon”), as its independent compensation consultant and has worked with Aon to develop a compensation peer group and to provide a competitive market analysis of the base salary, annual cash incentive awards and long-term incentive compensation of our executive officers compared against the compensation peer group. Aon also advises the Compensation Committee on share utilization and reviews other market practices and trends with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Compensation Committee took the review and recommendations of Aon, as well as the practices of our compensation peer group, into consideration when making decisions about our executive compensation program, ultimately, the Compensation Committee made its own independent determinations regarding compensation for our NEOs for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assessed the independence of Aon pursuant to SEC and Nasdaq rules. In doing so, the Compensation Committee considered each of the factors set forth by the SEC and Nasdaq with respect to a compensation consultant’s independence and reviewed Aon’s own self-evaluation of, and conclusions regarding, its independence. Based on its consideration of the foregoing and other relevant factors, the Compensation Committee concluded that there were no conflicts of interest and that Aon was independent under applicable SEC and Nasdaq rules.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works closely with our CEO and other members of our management team on the Company’s compensation program. The Compensation Committee seeks management’s input on a variety of matters, including establishing annual corporate goals and objectives, management’s assessment of its performance against those goals, peer group composition and management’s perspective on market compensation trends and other compensation-related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CEO reviews the performance of our other executive officers with the Compensation Committee as part of the Compensation Committee’s annual compensation setting process. The Compensation Committee solicits and reviews our CEO’s recommendations for base salary increases, annual cash bonuses, equity awards and any other compensation opportunities for our other NEOs and considers our CEO’s recommendations in determining such compensation. Based on this input and the other factors discussed above, the Compensation Committee then makes its own determination regarding compensation for our executive officers. Our CEO recuses himself from all determinations regarding his own compensation.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Role of Market Data &amp; Peer Group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ensure that our executive compensation program is both competitive and aligned with industry norms and best practices, the Compensation Committee reviews a wide range of market data, including the compensation levels and practices of a group of peer companies. In addition to benchmarking against the industry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7" w:name="ny20073886x1_def14a_108-comp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peers included in our peer group, our Compensation Committee considers and evaluates compensation information from the other sectors in which we regularly compete for talent, including financial services, venture capital and private equity, when determining compensation for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with the assistance of Aon, identified and approved a peer group in September 2025 for use in connection with decisions about executive compensation for Fiscal 2025 that were made in March and April 2026. This compensation peer group, set out below, consists of public biotechnology and pharmaceutical companies against which we may compete for talent and that are similar to us across a number of metrics, including market capitalization, stage of development, geographical location and number of employees. We believe that the compensation practices of our peer group provided us with useful compensation reference points for evaluating and determining the compensation of our NEOs for Fiscal 2025. </w:t>
      </w:r>
    </w:p>
    <w:tbl>
      <w:tblPr>
        <w:tblW w:w="7410" w:type="dxa"/>
        <w:jc w:val="left"/>
        <w:tblInd w:w="0" w:type="dxa"/>
        <w:tblLayout w:type="fixed"/>
        <w:tblCellMar>
          <w:top w:w="0" w:type="dxa"/>
          <w:left w:w="0" w:type="dxa"/>
          <w:bottom w:w="0" w:type="dxa"/>
          <w:right w:w="0" w:type="dxa"/>
        </w:tblCellMar>
      </w:tblPr>
      <w:tblGrid>
        <w:gridCol w:w="185"/>
        <w:gridCol w:w="2150"/>
        <w:gridCol w:w="170"/>
        <w:gridCol w:w="170"/>
        <w:gridCol w:w="1970"/>
        <w:gridCol w:w="170"/>
        <w:gridCol w:w="170"/>
        <w:gridCol w:w="2210"/>
        <w:gridCol w:w="215"/>
      </w:tblGrid>
      <w:tr>
        <w:trPr/>
        <w:tc>
          <w:tcPr>
            <w:tcW w:w="185" w:type="dxa"/>
            <w:tcBorders/>
            <w:vAlign w:val="center"/>
          </w:tcPr>
          <w:p>
            <w:pPr>
              <w:pStyle w:val="TableContents"/>
              <w:bidi w:val="0"/>
              <w:spacing w:before="0" w:after="0"/>
              <w:jc w:val="left"/>
              <w:rPr/>
            </w:pPr>
            <w:r>
              <w:rPr/>
              <w:t> </w:t>
            </w:r>
          </w:p>
        </w:tc>
        <w:tc>
          <w:tcPr>
            <w:tcW w:w="7010"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0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Compensation Peer Group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ACADIA Pharmaceuticals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CRISPR Therapeutics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Jazz Pharmaceuticals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Amicus Therapeutics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Cytokinetics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Madrigal Pharmaceuticals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Apellis Pharmaceuticals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Denali Therapeutics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Neurocrine Biosciences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Ascendis Pharma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Exelixis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Revolution Medicines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Axsome Therapeutics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Halozyme Therapeutics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Sarepta Therapeutics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Blueprint Medicines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Incyte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Therapeutics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BridgeBio Pharma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Insmed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Vaxcyte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Centessa Pharmaceuticals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Ionis Pharmaceuticals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Compared to the compensation peer group used for Fiscal 2024, Arcutis Biotherapeutics, Inc., Cerevel Therapeutics Holdings, Inc., ImmunoGen, Inc., Intra-Cellular Therapies, Inc., Karuna Therapeutics, Inc. and MoonLake Immunotherapeutics were removed from our compensation peer group for Fiscal 2025, and Centessa Pharmaceuticals, Inc., Cytokinetics, Incorporated, Insmed Incorporated and Madrigal Pharmaceuticals, Inc. were added to our compensation peer group for Fiscal 2025. Cerevel Therapeutics Holdings, ImmunoGen, Karuna Therapeutics and Intra-Cellular Therapies were removed following their respective acquisitions by third parties, and Arcutis Biotherapeutics and MoonLake Immunotherapeutics were removed because they no longer satisfied our peer selection criteria, including with respect to market capitalization.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best practices for corporate governance, the Compensation Committee reviews our peer group annually. In July 2026, the Compensation Committee, with the assistance of Aon, identified and approved an updated peer group for use in connection with decisions about executive compensation for Fiscal 2026, which are expected to be approved in March and April 2027. This compensation peer group for Fiscal 2026 is set out below. </w:t>
      </w:r>
    </w:p>
    <w:tbl>
      <w:tblPr>
        <w:tblW w:w="7455" w:type="dxa"/>
        <w:jc w:val="left"/>
        <w:tblInd w:w="0" w:type="dxa"/>
        <w:tblLayout w:type="fixed"/>
        <w:tblCellMar>
          <w:top w:w="0" w:type="dxa"/>
          <w:left w:w="0" w:type="dxa"/>
          <w:bottom w:w="0" w:type="dxa"/>
          <w:right w:w="0" w:type="dxa"/>
        </w:tblCellMar>
      </w:tblPr>
      <w:tblGrid>
        <w:gridCol w:w="185"/>
        <w:gridCol w:w="2150"/>
        <w:gridCol w:w="170"/>
        <w:gridCol w:w="170"/>
        <w:gridCol w:w="2015"/>
        <w:gridCol w:w="170"/>
        <w:gridCol w:w="170"/>
        <w:gridCol w:w="2210"/>
        <w:gridCol w:w="215"/>
      </w:tblGrid>
      <w:tr>
        <w:trPr/>
        <w:tc>
          <w:tcPr>
            <w:tcW w:w="185" w:type="dxa"/>
            <w:tcBorders/>
            <w:vAlign w:val="center"/>
          </w:tcPr>
          <w:p>
            <w:pPr>
              <w:pStyle w:val="TableContents"/>
              <w:bidi w:val="0"/>
              <w:spacing w:before="0" w:after="0"/>
              <w:jc w:val="left"/>
              <w:rPr/>
            </w:pPr>
            <w:r>
              <w:rPr/>
              <w:t> </w:t>
            </w:r>
          </w:p>
        </w:tc>
        <w:tc>
          <w:tcPr>
            <w:tcW w:w="7055"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05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2026 Compensation Peer Group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ACADIA Pharmaceuticals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Cytokinetics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Jazz Pharmaceuticals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Argenx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Denali Therapeutics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Madrigal Pharmaceuticals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Ascendis Pharma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Exelixis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Neurocrine Biosciences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Axsome Therapeutics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Halozyme Therapeutics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Revolution Medicines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BioMarin Pharmaceutical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Incyte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Therapeutics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BridgeBio Pharma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Insmed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Vaxcyte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CRISPR Therapeutics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Ionis Pharmaceuticals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Compared to the compensation peer group used for Fiscal 2025, Amicus Therapeutics, Apellis Pharmaceuticals, Blueprint Medicines, Centessa Pharmaceuticals and Sarepta Therapeutics were removed from our compensation peer group for Fiscal 2026, and Argenx and BioMarin Pharmaceutical were added to our compensation peer group for Fiscal 2026. Sarepta Therapeutics fell below the market capitalization scope for our Fiscal 2026 compensation peer group; the remaining removed companies were acquired or had announced their intention to be acquired.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8" w:name="ny20073886x1_def14a_108-comp_pg8"/>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Elements of the Fiscal 2025 Executive Compensation Program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How Our Pay Program Works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elements of our Fiscal 2025 executive compensation program, each as discussed in more detail below, are: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0"/>
              <w:jc w:val="left"/>
              <w:rPr>
                <w:color w:val="000000"/>
              </w:rPr>
            </w:pPr>
            <w:r>
              <w:rPr>
                <w:color w:val="000000"/>
              </w:rPr>
              <w:t>•</w:t>
            </w:r>
          </w:p>
        </w:tc>
        <w:tc>
          <w:tcPr>
            <w:tcW w:w="1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base salary; </w:t>
            </w:r>
          </w:p>
        </w:tc>
      </w:tr>
    </w:tbl>
    <w:tbl>
      <w:tblPr>
        <w:tblW w:w="6415" w:type="dxa"/>
        <w:jc w:val="left"/>
        <w:tblInd w:w="0" w:type="dxa"/>
        <w:tblLayout w:type="fixed"/>
        <w:tblCellMar>
          <w:top w:w="0" w:type="dxa"/>
          <w:left w:w="0" w:type="dxa"/>
          <w:bottom w:w="0" w:type="dxa"/>
          <w:right w:w="0" w:type="dxa"/>
        </w:tblCellMar>
      </w:tblPr>
      <w:tblGrid>
        <w:gridCol w:w="140"/>
        <w:gridCol w:w="6275"/>
      </w:tblGrid>
      <w:tr>
        <w:trPr/>
        <w:tc>
          <w:tcPr>
            <w:tcW w:w="14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short-term incentive compensation in the form of an annual cash bonus; and </w:t>
            </w:r>
          </w:p>
        </w:tc>
      </w:tr>
    </w:tbl>
    <w:tbl>
      <w:tblPr>
        <w:tblW w:w="5410" w:type="dxa"/>
        <w:jc w:val="left"/>
        <w:tblInd w:w="0" w:type="dxa"/>
        <w:tblLayout w:type="fixed"/>
        <w:tblCellMar>
          <w:top w:w="0" w:type="dxa"/>
          <w:left w:w="0" w:type="dxa"/>
          <w:bottom w:w="0" w:type="dxa"/>
          <w:right w:w="0" w:type="dxa"/>
        </w:tblCellMar>
      </w:tblPr>
      <w:tblGrid>
        <w:gridCol w:w="140"/>
        <w:gridCol w:w="5270"/>
      </w:tblGrid>
      <w:tr>
        <w:trPr/>
        <w:tc>
          <w:tcPr>
            <w:tcW w:w="14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long-term incentive compensation in the form of equity awards.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specific policy regarding the percentage allocation between short-term and long-term, or fixed and variable, compensation elements. The Compensation Committee regularly reviews each executive officer’s total compensation package to ensure it is consistent with our compensation philosophy and objectives, as well as overall industry and market trends, and that each component is serving a purpose in supporting the execution of our strategy and is consistent with the philosophy of our executive compensation program. </w:t>
      </w:r>
    </w:p>
    <w:tbl>
      <w:tblPr>
        <w:tblW w:w="10205" w:type="dxa"/>
        <w:jc w:val="left"/>
        <w:tblInd w:w="0" w:type="dxa"/>
        <w:tblLayout w:type="fixed"/>
        <w:tblCellMar>
          <w:top w:w="0" w:type="dxa"/>
          <w:left w:w="0" w:type="dxa"/>
          <w:bottom w:w="0" w:type="dxa"/>
          <w:right w:w="0" w:type="dxa"/>
        </w:tblCellMar>
      </w:tblPr>
      <w:tblGrid>
        <w:gridCol w:w="185"/>
        <w:gridCol w:w="1611"/>
        <w:gridCol w:w="170"/>
        <w:gridCol w:w="170"/>
        <w:gridCol w:w="3753"/>
        <w:gridCol w:w="170"/>
        <w:gridCol w:w="170"/>
        <w:gridCol w:w="3760"/>
        <w:gridCol w:w="216"/>
      </w:tblGrid>
      <w:tr>
        <w:trPr/>
        <w:tc>
          <w:tcPr>
            <w:tcW w:w="185" w:type="dxa"/>
            <w:tcBorders/>
            <w:vAlign w:val="center"/>
          </w:tcPr>
          <w:p>
            <w:pPr>
              <w:pStyle w:val="TableContents"/>
              <w:bidi w:val="0"/>
              <w:spacing w:before="0" w:after="0"/>
              <w:jc w:val="left"/>
              <w:rPr/>
            </w:pPr>
            <w:r>
              <w:rPr/>
              <w:t> </w:t>
            </w:r>
          </w:p>
        </w:tc>
        <w:tc>
          <w:tcPr>
            <w:tcW w:w="161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6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Element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Rationale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Base Salary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3"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Fixed cash compensation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Base salaries for the NEOs are determined based on each NEO’s role, seniority, tenure, individual skills, experience, performance and positioning relative to the market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6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Base salaries are intended to provide stable, certain compensation to our NEOs, allowing us to attract and retain skilled executive talent and maintain a consistent leadership team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43" w:type="dxa"/>
            </w:tcMar>
            <w:vAlign w:val="center"/>
          </w:tcPr>
          <w:p>
            <w:pPr>
              <w:pStyle w:val="TableContents"/>
              <w:bidi w:val="0"/>
              <w:spacing w:before="12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Short-Term Incentives: Annual Cash Bonus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3" w:type="dxa"/>
            <w:tcBorders>
              <w:bottom w:val="single" w:sz="8" w:space="0" w:color="000000"/>
            </w:tcBorders>
            <w:tcMar>
              <w:bottom w:w="43" w:type="dxa"/>
            </w:tcMar>
            <w:vAlign w:val="center"/>
          </w:tcPr>
          <w:p>
            <w:pPr>
              <w:pStyle w:val="TableContents"/>
              <w:bidi w:val="0"/>
              <w:spacing w:before="120" w:after="283"/>
              <w:ind w:left="0" w:right="0" w:hanging="0"/>
              <w:jc w:val="left"/>
              <w:rPr>
                <w:color w:val="000000"/>
              </w:rPr>
            </w:pPr>
            <w:r>
              <w:rPr>
                <w:color w:val="000000"/>
              </w:rPr>
              <w:t>• </w:t>
            </w:r>
          </w:p>
          <w:p>
            <w:pPr>
              <w:pStyle w:val="TableContents"/>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Variable annual cash compensation based on (i) Company performance against pre-specified annual corporate performance objectives and (ii) at the Compensation Committee’s discretion, individual performance by the NEOs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60" w:type="dxa"/>
            <w:tcBorders>
              <w:bottom w:val="single" w:sz="8" w:space="0" w:color="000000"/>
            </w:tcBorders>
            <w:tcMar>
              <w:bottom w:w="43" w:type="dxa"/>
            </w:tcMar>
            <w:vAlign w:val="center"/>
          </w:tcPr>
          <w:p>
            <w:pPr>
              <w:pStyle w:val="TableContents"/>
              <w:bidi w:val="0"/>
              <w:spacing w:before="120" w:after="283"/>
              <w:ind w:left="0" w:right="0" w:hanging="0"/>
              <w:jc w:val="left"/>
              <w:rPr>
                <w:color w:val="000000"/>
              </w:rPr>
            </w:pPr>
            <w:r>
              <w:rPr>
                <w:color w:val="000000"/>
              </w:rPr>
              <w:t>• </w:t>
            </w:r>
          </w:p>
          <w:p>
            <w:pPr>
              <w:pStyle w:val="TableContents"/>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 xml:space="preserve">Annual incentive opportunities are designed to align the short-term incentives of our NEOs with the achievement of pre-specified short-term (annual) corporate goals and objectives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1" w:type="dxa"/>
            <w:tcBorders/>
            <w:vAlign w:val="center"/>
          </w:tcPr>
          <w:p>
            <w:pPr>
              <w:pStyle w:val="TableContents"/>
              <w:bidi w:val="0"/>
              <w:spacing w:before="12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Long-Term Incentives: Equity-Based Compensation</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3" w:type="dxa"/>
            <w:tcBorders/>
            <w:vAlign w:val="center"/>
          </w:tcPr>
          <w:p>
            <w:pPr>
              <w:pStyle w:val="TableContents"/>
              <w:bidi w:val="0"/>
              <w:spacing w:before="120" w:after="283"/>
              <w:ind w:left="0" w:right="0" w:hanging="0"/>
              <w:jc w:val="left"/>
              <w:rPr>
                <w:color w:val="000000"/>
              </w:rPr>
            </w:pPr>
            <w:r>
              <w:rPr>
                <w:color w:val="000000"/>
              </w:rPr>
              <w:t>• </w:t>
            </w:r>
          </w:p>
          <w:p>
            <w:pPr>
              <w:pStyle w:val="TableContents"/>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Variable equity-based compensation, including the following instruments:</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Stock Options</w:t>
            </w:r>
            <w:r>
              <w:rPr>
                <w:rFonts w:ascii="Times New Roman;Times;serif" w:hAnsi="Times New Roman;Times;serif"/>
                <w:color w:val="000000"/>
                <w:sz w:val="20"/>
              </w:rPr>
              <w:t xml:space="preserve">: Stock options are a right to purchase shares at a price equal to the share price on the grant date; time-based vesting (generally four years) based on continued service with the Company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Restricted Stock Units (RSUs)</w:t>
            </w:r>
            <w:r>
              <w:rPr>
                <w:rFonts w:ascii="Times New Roman;Times;serif" w:hAnsi="Times New Roman;Times;serif"/>
                <w:color w:val="000000"/>
                <w:sz w:val="20"/>
              </w:rPr>
              <w:t xml:space="preserve">: RSUs vest and settle into common shares; time-based vesting (generally four years) based on continued service with the Company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u w:val="single"/>
              </w:rPr>
              <w:t>Performance Stock Units (PSUs)</w:t>
            </w:r>
            <w:r>
              <w:rPr>
                <w:rFonts w:ascii="Times New Roman;Times;serif" w:hAnsi="Times New Roman;Times;serif"/>
                <w:color w:val="000000"/>
                <w:sz w:val="20"/>
              </w:rPr>
              <w:t>: PSUs vest and settle into common shares following the achievement of both (i) performance-based vesting conditions tied to the Company’s share price and (ii) time-based vesting conditions; also subject to post-vesting holding period</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60" w:type="dxa"/>
            <w:tcBorders/>
            <w:vAlign w:val="center"/>
          </w:tcPr>
          <w:p>
            <w:pPr>
              <w:pStyle w:val="TableContents"/>
              <w:bidi w:val="0"/>
              <w:spacing w:before="120" w:after="283"/>
              <w:ind w:left="0" w:right="0" w:hanging="0"/>
              <w:jc w:val="left"/>
              <w:rPr>
                <w:color w:val="000000"/>
              </w:rPr>
            </w:pPr>
            <w:r>
              <w:rPr>
                <w:color w:val="000000"/>
              </w:rPr>
              <w:t>• </w:t>
            </w:r>
          </w:p>
          <w:p>
            <w:pPr>
              <w:pStyle w:val="TableContents"/>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Equity-based compensation is designed to motivate NEOs to achieve long-term (multi-year) corporate goals and objectives and to deliver increased and sustained long-term value to shareholders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Equity-based compensation is also designed to attract, retain and motivate NEOs for the long term</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Our long-term incentive equity awards, particularly the PSUs granted to Mr. Gline and Dr. Sukhatme (in Fiscal 2024) and Dr. Torti (in Fiscal 2025), are designed to directly link executive compensation with shareholder value creation and create alignment with shareholders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60"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9" w:name="ny20073886x1_def14a_108-comp_pg9"/>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Arrangements for NEOs with Vant Roles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Dr. Venker and Dr. Torti’s roles at certain of the Vants, including Dr. Venker’s role as Immunovant’s Chief Executive Officer and each of their service on the board of directors of the Vants, each of Dr. Venker and Dr. Torti receive a portion of their compensation from the Vants directly, as described in more detail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in addition to the compensation he receives from Roivant, Dr. Venker also receives compensation from Immunovant, including a base salary, annual cash bonus and Immunovant incentive equity awards. Immunovant’s Compensation Committee follows a separate, independent process for compensation determinations for its executive officers, including for Dr. Venker in his capacity as Chief Executive Officer of Immunovant, and Dr. Venker’s compensation in such capacity is not determined by Roivant’s Compensation Committee. However, in order to provide a comprehensive view of the compensation paid by Roivant and Immunovant to Dr. Venker in Fiscal 2025, we have also included in the discussion below and in the compensation tables that follow certain information on Dr. Venker’s compensation from Immunovant for Fiscal 2025. For additional information on Immunovant’s compensation practices and the compensation decisions made by the Immunovant Compensation Committee in respect of Dr. Venker’s role as Chief Executive Officer of Immunovant for Fiscal 2025, please refer to the Proxy Statement for Immunovant’s Annual Meeting of Shareholders filed with the SEC on July 22,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Torti serves as the chairman of the board of a number of our public and private biopharmaceutical subsidiaries (including Immunovant), in addition to his role as Roivant’s President and Vant Chair. These Vants typically compensate Dr. Torti for his board service in either or both cash board fees and incentive equity awards (options or RSUs) in the subsidiary. For more information on Dr. Torti’s compensation, including compensation from the Vants, please see the Summary Compensation Table below. For additional information on the compensation paid to or earned by Dr. Torti in his role as a director of Immunovant, please refer to the Proxy Statement for Immunovant’s Annual Meeting of Shareholders filed with the SEC on July 22, 2026.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pay base salaries to our NEOs as the sole fixed portion of their compensation to provide them with a dependable source of personal income and to attract, retain and motivate top-performing individuals and maintain a consistent leadership team. Base salaries are individually determined according to each NEO’s seniority, tenure, areas of responsibility, role and capabilities, and they vary among NEOs based on a variety of considerations, including skills, knowledge, achievements and the competitive market for the 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annually reviews the base salaries of our NEOs and approves changes to base salaries, inclusive of market adjustments, as appropriate to ensure their salaries are competitive given current market data for their roles and in consideration of the highly competitive market for talent in biotechnology and other industries from which we recruit executives, as well as Company and individual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salaries for each of our NEOs in effect at the end of Fiscal 2025, and the adjustment from Fiscal 2024, are as follows. </w:t>
      </w:r>
    </w:p>
    <w:tbl>
      <w:tblPr>
        <w:tblW w:w="5975" w:type="dxa"/>
        <w:jc w:val="left"/>
        <w:tblInd w:w="0" w:type="dxa"/>
        <w:tblLayout w:type="fixed"/>
        <w:tblCellMar>
          <w:top w:w="0" w:type="dxa"/>
          <w:left w:w="0" w:type="dxa"/>
          <w:bottom w:w="0" w:type="dxa"/>
          <w:right w:w="0" w:type="dxa"/>
        </w:tblCellMar>
      </w:tblPr>
      <w:tblGrid>
        <w:gridCol w:w="2105"/>
        <w:gridCol w:w="170"/>
        <w:gridCol w:w="170"/>
        <w:gridCol w:w="950"/>
        <w:gridCol w:w="170"/>
        <w:gridCol w:w="170"/>
        <w:gridCol w:w="950"/>
        <w:gridCol w:w="170"/>
        <w:gridCol w:w="170"/>
        <w:gridCol w:w="950"/>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color w:val="000000"/>
              </w:rPr>
            </w:pPr>
            <w:r>
              <w:rPr>
                <w:color w:val="000000"/>
              </w:rPr>
              <w:t xml:space="preserve">—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color w:val="000000"/>
              </w:rPr>
            </w:pPr>
            <w:r>
              <w:rPr>
                <w:color w:val="000000"/>
              </w:rPr>
              <w:t xml:space="preserve">—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$747,000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was appointed to serve as Immunovant’s Chief Executive Officer effective April 21, 2025; he continues to serve in a role at RSI with the title of President and Immunovant CEO. Dr. Venker’s base salary for Fiscal 2025 consisted of (i) an RSI base salary of $75,000 and (ii) an Immunovant base salary of $672,000. Dr. Venker’s Fiscal 2024 salary was paid entirely by RSI.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reflected here, Dr. Torti’s Fiscal 2024 base salary included (i) $350,000 in base salary from RSI and (ii) $345,000 in additional cash compensation from Vant subsidiaries of Roivant. As part of Dr. Torti’s amended and restated employment agreement with RSI, dated July 28, 2025, Dr. Torti’s base salary was increased to $725,000 and most cash compensation previously paid to Dr. Torti from Vant subsidiaries was eliminated. For more information on Dr. Torti’s total Fiscal 2025 compensation, please refer to the Summary Compensation Table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0" w:name="ny20073886x1_def14a_108-comp_pg10"/>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change in Dr. Venker’s base salary from Fiscal 2024 (paid entirely by RSI) to Fiscal 2025 (paid by RSI and Immunovant), reflected an increase in Dr. Venker’s responsibilities commensurate with his appointment as Immunovant’s CEO in April 2025 and aligned with the base salary paid to Immunovant’s prior CEO.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Short-Term Incentives: Annual Cash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short-term incentive compensation opportunities to our NEOs in the form of annual cash bonuses. These annual cash bonuses are designed to align the short-term incentives of our NEOs with the achievement of pre-specified, short-term (i.e., annual) corporate goals and objectives and reward them for achievement against those objectives. These goals and objectives vary from year to year based on a variety of factors, but generally include specified clinical development and regulatory milestones for our Vants, as well as other strategic objectives that the Compensation Committee views as key steps in the execution of our overall business strategy, with the ultimate goal of increasing shareholder value. A summary of the corporate goals and objectives for Fiscal 2025 and the Compensation Committee’s assessment of the Company’s achievement against those objectives are discussed in more detail below. The Compensation Committee sets these goals and objectives on an annual basis and, with input from management, assesses performance against them shortly following our fiscal year-end. Performance is measured objective-by-objective. That performance is then aggregated across the objectives, resulting in a single corporate level achievement measure. That numerical corporate level achievement measure is then applied against a pre-specified target annual cash bonus opportunity for each NEO, discussed in more detail below, to arrive at an annual cash bonus payment for each NEO. The Compensation Committee may also adjust its annual cash bonus determination based on an individual-level assessment of an NEO’s performance (though it determined not to do so in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Dr. Venker’s unique status as both an executive officer of Roivant and Chief Executive Officer of our subsidiary, Immunovant, please refer to the section entitled “Fiscal 2025 Immunovant Annual Cash Bonus Payment to Dr. Venker” for more information on the bonus Dr. Venker received from Immunovant in respect of Fiscal 2025. With respect to Dr. Venker, the discussion below under “Achievement of Corporate Goals for Fiscal 2025 &amp; Fiscal 2025 Annual Cash Bonus Determinations” pertains only to the annual cash bonus paid by Roivant to Dr. Venker with respect to the portion of Fiscal 2025 prior to his appointment as Immunovant’s Chief Executive Officer.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 Annual Cash Bonus Opportunities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NEO has a target annual cash bonus opportunity, expressed as a percentage of the NEO’s base salary, specified in his or her employment agreement. Those target annual cash bonus opportunities are typically established through benchmarking against target bonus opportunities provided to executives in similar positions at companies in Roivant’s peer group. Set out below are the Fiscal 2025 target annual cash bonus opportunities for our NEOs: </w:t>
      </w:r>
    </w:p>
    <w:tbl>
      <w:tblPr>
        <w:tblW w:w="5795" w:type="dxa"/>
        <w:jc w:val="left"/>
        <w:tblInd w:w="0" w:type="dxa"/>
        <w:tblLayout w:type="fixed"/>
        <w:tblCellMar>
          <w:top w:w="0" w:type="dxa"/>
          <w:left w:w="0" w:type="dxa"/>
          <w:bottom w:w="0" w:type="dxa"/>
          <w:right w:w="0" w:type="dxa"/>
        </w:tblCellMar>
      </w:tblPr>
      <w:tblGrid>
        <w:gridCol w:w="2105"/>
        <w:gridCol w:w="170"/>
        <w:gridCol w:w="170"/>
        <w:gridCol w:w="3350"/>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2025 Target Bonus Opportunity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 % of Base Salary)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0" w:type="dxa"/>
            <w:tcBorders/>
            <w:shd w:fill="CCEEFF" w:val="clear"/>
            <w:vAlign w:val="center"/>
          </w:tcPr>
          <w:p>
            <w:pPr>
              <w:pStyle w:val="TableContents"/>
              <w:bidi w:val="0"/>
              <w:spacing w:before="0" w:after="283"/>
              <w:ind w:left="13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ind w:left="13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0" w:type="dxa"/>
            <w:tcBorders/>
            <w:shd w:fill="CCEEFF" w:val="clear"/>
            <w:vAlign w:val="center"/>
          </w:tcPr>
          <w:p>
            <w:pPr>
              <w:pStyle w:val="TableContents"/>
              <w:bidi w:val="0"/>
              <w:spacing w:before="0" w:after="283"/>
              <w:ind w:left="13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0" w:type="dxa"/>
            <w:tcBorders/>
            <w:shd w:fill="CCEEFF" w:val="clear"/>
            <w:vAlign w:val="center"/>
          </w:tcPr>
          <w:p>
            <w:pPr>
              <w:pStyle w:val="TableContents"/>
              <w:bidi w:val="0"/>
              <w:spacing w:before="0" w:after="283"/>
              <w:ind w:left="1332"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r>
      <w:tr>
        <w:trPr/>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was appointed to serve as Immunovant’s Chief Executive Officer effective April 21, 2025; he continues to serve in a role at RSI with the title of President and Immunovant CEO. Dr. Venker was eligible to receive an annual cash bonus from RSI covering the period from April 1, 2025 through April 20, 2025 (inclusive), prior to his start-date as Immunovant’s Chief Executive Officer, at his then-in-effect target annual cash bonus opportunity of 75% of his then-in-effect RSI base salary of $620,000. Following his appointment as Immunovant’s Chief Executive Officer, Dr. Venker is no longer eligible for an annual cash bonus from RSI and is only eligible for an annual cash bonus from Immunovant in connection with his service to Immunovant. His target annual cash bonus opportunity at Immunovant is 72.25% of his Immunovant base salary of $672,000. For more information on the annual cash bonus Dr. Venker received from Immunovant in respect of Fiscal 2025, see the section entitled “—Fiscal 2025 Immunovant Annual Cash Bonus Payment to Dr. Venker” below. </w:t>
            </w:r>
          </w:p>
        </w:tc>
      </w:tr>
    </w:tbl>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Corporate Goals for Fiscal 2025</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Annually, the Compensation Committee sets pre-specified corporate goals and objectives for the fiscal year that are used to establish a corporate level achievement measure for our NEOs’ annual cash bonus opportunity. These corporate goals vary from year to year, but are largely based on specified commercial, clinical development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1" w:name="ny20073886x1_def14a_108-comp_pg1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regulatory milestones for our Vants, as well as goals related to the in-licensing of new product candidates, value-creation at our healthcare technology Vants and other strategic objectives that the Compensation Committee views as key steps in the execution of our overall business strategy, with the ultimate goal of increasing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formulated the corporate goals and objectives for Fiscal 2025 after obtaining input from our CEO and other senior executives on our key strategic objectives for Fiscal 2025, as well as related risks and uncertainties. Based on this information, the Compensation Committee established performance-based corporate goals and objectives for Fiscal 2025 that it considered rigorous and challenging and that took into account the relevant risks and opportunities. The Fiscal 2025 corporate goals were also weighted based on their importance to the business and the value the achievement of those goals could provide to shareholders.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corporate goals for Fiscal 2025 focused on the following key objectives: </w:t>
      </w:r>
    </w:p>
    <w:tbl>
      <w:tblPr>
        <w:tblW w:w="10205" w:type="dxa"/>
        <w:jc w:val="left"/>
        <w:tblInd w:w="0" w:type="dxa"/>
        <w:tblLayout w:type="fixed"/>
        <w:tblCellMar>
          <w:top w:w="0" w:type="dxa"/>
          <w:left w:w="0" w:type="dxa"/>
          <w:bottom w:w="0" w:type="dxa"/>
          <w:right w:w="0" w:type="dxa"/>
        </w:tblCellMar>
      </w:tblPr>
      <w:tblGrid>
        <w:gridCol w:w="185"/>
        <w:gridCol w:w="170"/>
        <w:gridCol w:w="170"/>
        <w:gridCol w:w="8495"/>
        <w:gridCol w:w="170"/>
        <w:gridCol w:w="170"/>
        <w:gridCol w:w="845"/>
      </w:tblGrid>
      <w:tr>
        <w:trPr/>
        <w:tc>
          <w:tcPr>
            <w:tcW w:w="902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9020"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Goal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Execute on regulatory, clinical development and other key initiatives at the Vants, including submission of regulatory filings, positive data readouts from ongoing clinical trials and initiation and enrolment of new clinical trials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Identify and in-license new mid- or late-stage clinical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5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strategic goals and objectives, including investor relations and corporate development goals, and goals related to value creation at our healthcare technology Vants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50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approved our corporate goals and objectives for Fiscal 2025 in July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Shortly after the end of each fiscal year, the Compensation Committee, with input from our CEO and other members of senior management, reviews our corporate performance against these pre-specified corporate goals and objectives. The goals each include a “base case” achievement level (100% achievement); in certain cases, they also include a “stretch case” achievement level (150% achievement) and an “outstanding case” achievement level (200% achievement). If achievement is below the established base case threshold level of corporate performance, the Compensation Committee sets the score for that metric between 0% and 100%, based on the Compensation Committee’s assessment of corporate performance against that objective. If we achieve the particular base case objective, the Compensation Committee will authorize a payment of up to 100% of the portion of the overall opportunity allocated to that goal. If we exceed the objective by achieving certain stretch case or outstanding case goals, the Compensation Committee may authorize a higher payment for that objective of up to 200% of the overall opportunity allocated to that element. </w:t>
      </w:r>
    </w:p>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Achievement of Corporate Goals for Fiscal 2025 &amp; Fiscal 2025 Annual Cash Bonus Determinations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April 2026, the Compensation Committee met to consider how we had performed against the pre-specified corporate goals and objectives established by the Compensation Committee for Fiscal 2025. The Compensation Committee’s scoring of our performance against these goals is set out below, along with a summary of the relevant corporate achievements related to those goals. </w:t>
      </w:r>
    </w:p>
    <w:tbl>
      <w:tblPr>
        <w:tblW w:w="10205" w:type="dxa"/>
        <w:jc w:val="left"/>
        <w:tblInd w:w="0" w:type="dxa"/>
        <w:tblLayout w:type="fixed"/>
        <w:tblCellMar>
          <w:top w:w="0" w:type="dxa"/>
          <w:left w:w="0" w:type="dxa"/>
          <w:bottom w:w="0" w:type="dxa"/>
          <w:right w:w="0" w:type="dxa"/>
        </w:tblCellMar>
      </w:tblPr>
      <w:tblGrid>
        <w:gridCol w:w="185"/>
        <w:gridCol w:w="170"/>
        <w:gridCol w:w="170"/>
        <w:gridCol w:w="276"/>
        <w:gridCol w:w="234"/>
        <w:gridCol w:w="234"/>
        <w:gridCol w:w="6654"/>
        <w:gridCol w:w="170"/>
        <w:gridCol w:w="170"/>
        <w:gridCol w:w="800"/>
        <w:gridCol w:w="170"/>
        <w:gridCol w:w="170"/>
        <w:gridCol w:w="802"/>
      </w:tblGrid>
      <w:tr>
        <w:trPr/>
        <w:tc>
          <w:tcPr>
            <w:tcW w:w="7923"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r>
      <w:tr>
        <w:trPr/>
        <w:tc>
          <w:tcPr>
            <w:tcW w:w="7923" w:type="dxa"/>
            <w:gridSpan w:val="7"/>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Goal &amp;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Score </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98"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Goal</w:t>
            </w:r>
            <w:r>
              <w:rPr>
                <w:rFonts w:ascii="Times New Roman;Times;serif" w:hAnsi="Times New Roman;Times;serif"/>
                <w:b w:val="false"/>
                <w:color w:val="000000"/>
                <w:sz w:val="20"/>
              </w:rPr>
              <w:t>: Execute on regulatory, clinical development and other key initiatives at the Vants, including submission of regulatory filings, positive data readouts from ongoing clinical trials and initiation and enrolment of new clinical trials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Corporate Achievements</w:t>
            </w:r>
            <w:r>
              <w:rPr>
                <w:rFonts w:ascii="Times New Roman;Times;serif" w:hAnsi="Times New Roman;Times;serif"/>
                <w:b w:val="false"/>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center"/>
              <w:rPr>
                <w:color w:val="000000"/>
              </w:rPr>
            </w:pPr>
            <w:r>
              <w:rPr>
                <w:color w:val="000000"/>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6" w:type="dxa"/>
            <w:tcBorders/>
            <w:shd w:fill="CCEEFF" w:val="clear"/>
            <w:vAlign w:val="center"/>
          </w:tcPr>
          <w:p>
            <w:pPr>
              <w:pStyle w:val="TableContents"/>
              <w:bidi w:val="0"/>
              <w:spacing w:before="0" w:after="283"/>
              <w:jc w:val="center"/>
              <w:rPr>
                <w:color w:val="000000"/>
              </w:rPr>
            </w:pPr>
            <w:r>
              <w:rPr>
                <w:color w:val="000000"/>
              </w:rPr>
              <w:t>○</w:t>
            </w:r>
          </w:p>
        </w:tc>
        <w:tc>
          <w:tcPr>
            <w:tcW w:w="234" w:type="dxa"/>
            <w:tcBorders/>
            <w:shd w:fill="CCEEFF" w:val="clear"/>
            <w:vAlign w:val="center"/>
          </w:tcPr>
          <w:p>
            <w:pPr>
              <w:pStyle w:val="TableContents"/>
              <w:bidi w:val="0"/>
              <w:spacing w:before="0" w:after="0"/>
              <w:jc w:val="left"/>
              <w:rPr/>
            </w:pPr>
            <w:r>
              <w:rPr/>
              <w:t> </w:t>
            </w:r>
          </w:p>
        </w:tc>
        <w:tc>
          <w:tcPr>
            <w:tcW w:w="234" w:type="dxa"/>
            <w:tcBorders/>
            <w:shd w:fill="CCEEFF" w:val="clear"/>
            <w:vAlign w:val="center"/>
          </w:tcPr>
          <w:p>
            <w:pPr>
              <w:pStyle w:val="TableContents"/>
              <w:bidi w:val="0"/>
              <w:spacing w:before="0" w:after="0"/>
              <w:jc w:val="left"/>
              <w:rPr/>
            </w:pPr>
            <w:r>
              <w:rPr/>
              <w:t> </w:t>
            </w:r>
          </w:p>
        </w:tc>
        <w:tc>
          <w:tcPr>
            <w:tcW w:w="66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Strong enrollment in Immunovant’s clinical programs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 w:type="dxa"/>
            <w:tcBorders/>
            <w:vAlign w:val="center"/>
          </w:tcPr>
          <w:p>
            <w:pPr>
              <w:pStyle w:val="TableContents"/>
              <w:bidi w:val="0"/>
              <w:spacing w:before="0" w:after="283"/>
              <w:jc w:val="center"/>
              <w:rPr>
                <w:color w:val="000000"/>
              </w:rPr>
            </w:pPr>
            <w:r>
              <w:rPr>
                <w:color w:val="000000"/>
              </w:rPr>
              <w:t>○</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6654"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Announced positive data for brepocitinib in DM and NDA submission accepted with Priority Review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center"/>
              <w:rPr>
                <w:color w:val="000000"/>
              </w:rPr>
            </w:pPr>
            <w:r>
              <w:rPr>
                <w:color w:val="000000"/>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6" w:type="dxa"/>
            <w:tcBorders/>
            <w:shd w:fill="CCEEFF" w:val="clear"/>
            <w:vAlign w:val="center"/>
          </w:tcPr>
          <w:p>
            <w:pPr>
              <w:pStyle w:val="TableContents"/>
              <w:bidi w:val="0"/>
              <w:spacing w:before="0" w:after="283"/>
              <w:jc w:val="center"/>
              <w:rPr>
                <w:color w:val="000000"/>
              </w:rPr>
            </w:pPr>
            <w:r>
              <w:rPr>
                <w:color w:val="000000"/>
              </w:rPr>
              <w:t>○</w:t>
            </w:r>
          </w:p>
        </w:tc>
        <w:tc>
          <w:tcPr>
            <w:tcW w:w="234" w:type="dxa"/>
            <w:tcBorders/>
            <w:shd w:fill="CCEEFF" w:val="clear"/>
            <w:vAlign w:val="center"/>
          </w:tcPr>
          <w:p>
            <w:pPr>
              <w:pStyle w:val="TableContents"/>
              <w:bidi w:val="0"/>
              <w:spacing w:before="0" w:after="0"/>
              <w:jc w:val="left"/>
              <w:rPr/>
            </w:pPr>
            <w:r>
              <w:rPr/>
              <w:t> </w:t>
            </w:r>
          </w:p>
        </w:tc>
        <w:tc>
          <w:tcPr>
            <w:tcW w:w="234" w:type="dxa"/>
            <w:tcBorders/>
            <w:shd w:fill="CCEEFF" w:val="clear"/>
            <w:vAlign w:val="center"/>
          </w:tcPr>
          <w:p>
            <w:pPr>
              <w:pStyle w:val="TableContents"/>
              <w:bidi w:val="0"/>
              <w:spacing w:before="0" w:after="0"/>
              <w:jc w:val="left"/>
              <w:rPr/>
            </w:pPr>
            <w:r>
              <w:rPr/>
              <w:t> </w:t>
            </w:r>
          </w:p>
        </w:tc>
        <w:tc>
          <w:tcPr>
            <w:tcW w:w="66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Strong enrollment in Priovant’s clinical programs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 w:type="dxa"/>
            <w:tcBorders/>
            <w:vAlign w:val="center"/>
          </w:tcPr>
          <w:p>
            <w:pPr>
              <w:pStyle w:val="TableContents"/>
              <w:bidi w:val="0"/>
              <w:spacing w:before="0" w:after="283"/>
              <w:jc w:val="center"/>
              <w:rPr>
                <w:color w:val="000000"/>
              </w:rPr>
            </w:pPr>
            <w:r>
              <w:rPr>
                <w:color w:val="000000"/>
              </w:rPr>
              <w:t>○</w:t>
            </w:r>
          </w:p>
        </w:tc>
        <w:tc>
          <w:tcPr>
            <w:tcW w:w="234"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before="0" w:after="0"/>
              <w:jc w:val="left"/>
              <w:rPr/>
            </w:pPr>
            <w:r>
              <w:rPr/>
              <w:t> </w:t>
            </w:r>
          </w:p>
        </w:tc>
        <w:tc>
          <w:tcPr>
            <w:tcW w:w="66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Strong enrollment in Pulmovant’s clinical programs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center"/>
              <w:rPr>
                <w:color w:val="000000"/>
              </w:rPr>
            </w:pPr>
            <w:r>
              <w:rPr>
                <w:color w:val="000000"/>
              </w:rPr>
              <w:t>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6" w:type="dxa"/>
            <w:tcBorders/>
            <w:shd w:fill="CCEEFF" w:val="clear"/>
            <w:vAlign w:val="center"/>
          </w:tcPr>
          <w:p>
            <w:pPr>
              <w:pStyle w:val="TableContents"/>
              <w:bidi w:val="0"/>
              <w:spacing w:before="0" w:after="283"/>
              <w:jc w:val="center"/>
              <w:rPr>
                <w:color w:val="000000"/>
              </w:rPr>
            </w:pPr>
            <w:r>
              <w:rPr>
                <w:color w:val="000000"/>
              </w:rPr>
              <w:t>○</w:t>
            </w:r>
          </w:p>
        </w:tc>
        <w:tc>
          <w:tcPr>
            <w:tcW w:w="234" w:type="dxa"/>
            <w:tcBorders/>
            <w:shd w:fill="CCEEFF" w:val="clear"/>
            <w:vAlign w:val="center"/>
          </w:tcPr>
          <w:p>
            <w:pPr>
              <w:pStyle w:val="TableContents"/>
              <w:bidi w:val="0"/>
              <w:spacing w:before="0" w:after="0"/>
              <w:jc w:val="left"/>
              <w:rPr/>
            </w:pPr>
            <w:r>
              <w:rPr/>
              <w:t> </w:t>
            </w:r>
          </w:p>
        </w:tc>
        <w:tc>
          <w:tcPr>
            <w:tcW w:w="234" w:type="dxa"/>
            <w:tcBorders/>
            <w:shd w:fill="CCEEFF" w:val="clear"/>
            <w:vAlign w:val="center"/>
          </w:tcPr>
          <w:p>
            <w:pPr>
              <w:pStyle w:val="TableContents"/>
              <w:bidi w:val="0"/>
              <w:spacing w:before="0" w:after="0"/>
              <w:jc w:val="left"/>
              <w:rPr/>
            </w:pPr>
            <w:r>
              <w:rPr/>
              <w:t> </w:t>
            </w:r>
          </w:p>
        </w:tc>
        <w:tc>
          <w:tcPr>
            <w:tcW w:w="66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Positive outcome in Genevant’s LNP litigation against Moderna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Goal</w:t>
            </w:r>
            <w:r>
              <w:rPr>
                <w:rFonts w:ascii="Times New Roman;Times;serif" w:hAnsi="Times New Roman;Times;serif"/>
                <w:b w:val="false"/>
                <w:color w:val="000000"/>
                <w:sz w:val="20"/>
              </w:rPr>
              <w:t xml:space="preserve">: Identify and in-license new mid- or late-stage clinical assets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80"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1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98"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Corporate Achievement</w:t>
            </w:r>
            <w:r>
              <w:rPr>
                <w:rFonts w:ascii="Times New Roman;Times;serif" w:hAnsi="Times New Roman;Times;serif"/>
                <w:b w:val="false"/>
                <w:color w:val="000000"/>
                <w:sz w:val="20"/>
              </w:rPr>
              <w:t>: No achievement (no new in-licensing transactions in Fiscal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center"/>
              <w:rPr>
                <w:color w:val="000000"/>
              </w:rPr>
            </w:pPr>
            <w:r>
              <w:rPr>
                <w:color w:val="000000"/>
              </w:rPr>
              <w:t> </w:t>
            </w:r>
          </w:p>
        </w:tc>
      </w:tr>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98" w:type="dxa"/>
            <w:gridSpan w:val="4"/>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2" w:name="ny20073886x1_def14a_108-comp_pg12"/>
        <w:bookmarkEnd w:id="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52"/>
        <w:gridCol w:w="415"/>
        <w:gridCol w:w="415"/>
        <w:gridCol w:w="6636"/>
        <w:gridCol w:w="170"/>
        <w:gridCol w:w="170"/>
        <w:gridCol w:w="800"/>
        <w:gridCol w:w="170"/>
        <w:gridCol w:w="170"/>
        <w:gridCol w:w="807"/>
      </w:tblGrid>
      <w:tr>
        <w:trPr/>
        <w:tc>
          <w:tcPr>
            <w:tcW w:w="791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0"/>
              <w:jc w:val="left"/>
              <w:rPr/>
            </w:pPr>
            <w:r>
              <w:rPr/>
              <w:t> </w:t>
            </w:r>
          </w:p>
        </w:tc>
      </w:tr>
      <w:tr>
        <w:trPr/>
        <w:tc>
          <w:tcPr>
            <w:tcW w:w="7918"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Goal &amp;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Score </w:t>
            </w:r>
          </w:p>
        </w:tc>
      </w:tr>
      <w:tr>
        <w:trPr/>
        <w:tc>
          <w:tcPr>
            <w:tcW w:w="45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415"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c>
          <w:tcPr>
            <w:tcW w:w="663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Goal</w:t>
            </w:r>
            <w:r>
              <w:rPr>
                <w:rFonts w:ascii="Times New Roman;Times;serif" w:hAnsi="Times New Roman;Times;serif"/>
                <w:b w:val="false"/>
                <w:color w:val="000000"/>
                <w:sz w:val="20"/>
              </w:rPr>
              <w:t>: Other strategic goals and objectives, including investor relations and corporate development goals, and goals related to value creation at our healthcare technology Vants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452" w:type="dxa"/>
            <w:tcBorders/>
            <w:vAlign w:val="center"/>
          </w:tcPr>
          <w:p>
            <w:pPr>
              <w:pStyle w:val="TableContents"/>
              <w:bidi w:val="0"/>
              <w:spacing w:before="0" w:after="283"/>
              <w:ind w:left="0" w:right="0" w:hanging="0"/>
              <w:jc w:val="left"/>
              <w:rPr>
                <w:color w:val="000000"/>
              </w:rPr>
            </w:pPr>
            <w:r>
              <w:rPr>
                <w:color w:val="000000"/>
              </w:rPr>
              <w:t>•</w:t>
            </w:r>
          </w:p>
        </w:tc>
        <w:tc>
          <w:tcPr>
            <w:tcW w:w="415"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663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Corporate Achievement</w:t>
            </w:r>
            <w:r>
              <w:rPr>
                <w:rFonts w:ascii="Times New Roman;Times;serif" w:hAnsi="Times New Roman;Times;serif"/>
                <w:b w:val="false"/>
                <w:color w:val="000000"/>
                <w:sz w:val="20"/>
              </w:rPr>
              <w:t>: Partial achievement across multiple categories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7" w:type="dxa"/>
            <w:tcBorders/>
            <w:vAlign w:val="center"/>
          </w:tcPr>
          <w:p>
            <w:pPr>
              <w:pStyle w:val="TableContents"/>
              <w:bidi w:val="0"/>
              <w:spacing w:before="0" w:after="0"/>
              <w:jc w:val="center"/>
              <w:rPr>
                <w:color w:val="000000"/>
              </w:rPr>
            </w:pPr>
            <w:r>
              <w:rPr>
                <w:color w:val="000000"/>
              </w:rPr>
              <w:t> </w:t>
            </w:r>
          </w:p>
        </w:tc>
      </w:tr>
      <w:tr>
        <w:trPr/>
        <w:tc>
          <w:tcPr>
            <w:tcW w:w="45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415"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c>
          <w:tcPr>
            <w:tcW w:w="663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Total</w:t>
            </w:r>
            <w:r>
              <w:rPr>
                <w:rFonts w:ascii="Times New Roman;Times;serif" w:hAnsi="Times New Roman;Times;serif"/>
                <w:b w:val="false"/>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r>
      <w:tr>
        <w:trPr/>
        <w:tc>
          <w:tcPr>
            <w:tcW w:w="452"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c>
          <w:tcPr>
            <w:tcW w:w="663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7"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made an independent determination regarding our performance against the corporate goals for Fiscal 2025, as reflected in the “Weighted Score” column above, taking into account and receiving input from our CEO and senior management team. Based on this assessment, the Compensation Committee determined that our corporate performance for Fiscal 2025 equated to an aggregated, weighted achievement level of 128%.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Having determined the Fiscal 2025 achievement level for our corporate goals, the Compensation Committee then translated that achievement level into annual cash bonus payments for our NEOs based on the process described above. For Fiscal 2025, all NEOs received payments based on our corporate achievement level, without adjustment for individual performance. The dollar amount of both the target and actual annual cash bonus payments for our NEOs for Fiscal 2025, as approved by the Compensation Committee, are as follows: </w:t>
      </w:r>
    </w:p>
    <w:tbl>
      <w:tblPr>
        <w:tblW w:w="9110" w:type="dxa"/>
        <w:jc w:val="left"/>
        <w:tblInd w:w="0" w:type="dxa"/>
        <w:tblLayout w:type="fixed"/>
        <w:tblCellMar>
          <w:top w:w="0" w:type="dxa"/>
          <w:left w:w="0" w:type="dxa"/>
          <w:bottom w:w="0" w:type="dxa"/>
          <w:right w:w="0" w:type="dxa"/>
        </w:tblCellMar>
      </w:tblPr>
      <w:tblGrid>
        <w:gridCol w:w="2105"/>
        <w:gridCol w:w="170"/>
        <w:gridCol w:w="170"/>
        <w:gridCol w:w="950"/>
        <w:gridCol w:w="170"/>
        <w:gridCol w:w="170"/>
        <w:gridCol w:w="1025"/>
        <w:gridCol w:w="170"/>
        <w:gridCol w:w="170"/>
        <w:gridCol w:w="1025"/>
        <w:gridCol w:w="170"/>
        <w:gridCol w:w="170"/>
        <w:gridCol w:w="1040"/>
        <w:gridCol w:w="170"/>
        <w:gridCol w:w="170"/>
        <w:gridCol w:w="1265"/>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Payment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$928,000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$577,130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$704,000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33,066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$928,000</w:t>
            </w:r>
          </w:p>
        </w:tc>
      </w:tr>
      <w:tr>
        <w:trPr/>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 was appointed to serve as Immunovant’s Chief Executive Officer effective April 21, 2025; he continues to serve in a role at RSI with the title of President and Immunovant CEO. Dr. Venker was eligible to receive an annual cash bonus from RSI covering the period from April 1, 2025 through April 20, 2025 (inclusive), prior to his start-date as Immunovant’s Chief Executive Officer, at his then-in-effect target annual cash bonus opportunity of 75% of his then-in-effect RSI base salary of $620,000, resulting in a pro-rated RSI annual cash bonus payment for Fiscal 2025 of $33,066 using the 128% corporate performance score described above. Following his appointment as Immunovant’s Chief Executive Officer, Dr. Venker is no longer eligible for an annual cash bonus from RSI and is only eligible for an annual cash bonus from Immunovant in connection with his service to Immunovant. His target annual cash bonus opportunity at Immunovant is 72.25% of his Immunovant base salary of $672,000. For more information on the annual cash bonus Dr. Venker received from Immunovant in respect of Fiscal 2025, see the section entitled “—Fiscal 2025 Immunovant Annual Cash Bonus Payment to Dr. Venker” below. </w:t>
            </w:r>
          </w:p>
        </w:tc>
      </w:tr>
    </w:tbl>
    <w:p>
      <w:pPr>
        <w:pStyle w:val="TextBody"/>
        <w:bidi w:val="0"/>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Fiscal 2025 Immunovant Annual Cash Bonus Payment to Dr. Venker</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Immunovant’s Compensation Committee follows a separate, independent process for compensation determinations (including for annual performance-based cash compensation) for its executive officers, including for Dr. Venker in his capacity as Chief Executive Officer of Immunovant. As Immunovant disclosed in its Proxy Statement for its Annual Meeting of Shareholders, filed with the SEC on July 22, 2026, Immunovant’s Compensation Committee has established an annual bonus program with pre-established corporate performance goals relating to progression of Immunovant’s registrational trials evaluating IMVT-1402 in endocrinology and neurology indications, progression of Immunovant’s proof of concept trials evaluating IMVT-1402 in rheumatology and dermatology indications; and progression of chemistry, manufacturing and controls activities aligned with Immunovant’s strategic goals. These goals were set in a manner intended to be challenging but achievable with strong management performance. Payouts under the annual bonus program could range from 0% to 200% of target, based on performance. After assessing achievement against the goals established under the annual bonus program, Immunovant’s Compensation Committee recommended to its Board of Directors that achievement be certified at 110% of target performance. Based on that achievement level and his target bonus opportunity of 72.25% of his base salary of $672,000, Dr. Venker received an annual cash bonus payment from Immunovant of $503,345 (prorated for Dr. Venker’s start date of April 21,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3" w:name="ny20073886x1_def14a_108-comp_pg13"/>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One-Time Cash Retention Bonus Payments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generally intends to provide short-term compensation in the form of one-time cash retention bonuses only in rare circumstances as warranted by the situation and in a very judicious and limited manner. The Compensation Committee views any such grants to the NEOs as a special and exceptional event to meet the Company’s needs during a specific period or for a specific purpose, such as to support the retention of key executives during periods of significant business transformation, recognize extraordinary contributions, address succession planning considerations or respond to other unique circumstances that are not adequately addressed through the Company’s annual compensation framework. Any such award is evaluated on a case-by-case basis, taking into account the underlying business rationale, the executive’s role and responsibilities, retention considerations and alignment with long-term shareholder value creation. Consistent with this philosophy, the Compensation Committee continues to carefully evaluate the executive compensation program to ensure that it appropriately aligns executive and shareholder interests and maintains a strong connection between pay and performance. Where one-time awards are granted, the Committee is committed to providing transparent disclosure regarding the rationale for and structure of such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Board of Directors established a broad-based employee cash retention bonus program (the “Cash Bonus Program”) for eligible employees of the Company. The aggregate amount of the special one-time cash retention bonuses under this program payable to Mr. Pulik was $2,800,000. This cash retention bonus vested and became payable as follows: (i) 50% of the retention bonus vested and was paid in Fiscal 2023, (ii) 25% of the retention bonus vested and was paid in Fiscal 2024 and (iii) the remaining 25% of the retention vested and was paid in Fiscal 2025. The amounts reported in the Summary Compensation Table below for Fiscal 2025 include the portion of the cash retention bonus award made to Mr. Pulik ($700,000) that vested and was paid in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 terms of the Cash Bonus Program described above, which was approved by the Company’s Board of Directors in December 2023, Mr. Gline and Dr. Venker received one-time cash retention awards, 75% of which vested and were paid in Fiscal 2024. The amounts reported in the Summary Compensation Table below for Fiscal 2025 include the portion of the cash retention bonus award made to Mr. Gline ($1,431,250) and Dr. Venker ($1,866,250) that vested and was paid in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connection with Dr. Torti’s entry into a new employment agreement in July 2025 and his appointment as our President and Vant Chair, and in recognition of the fact that Dr. Torti did not participate in the Cash Bonus Program described above, the Compensation Committee approved a one-time, lump sum cash retention award to Dr. Torti of $7.5 million.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Long-Term Incentives: Equity-Based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designed the long-term incentive equity opportunities for the NEOs to motivate them to achieve multi-year strategic goals and deliver sustained long-term value to shareholders, while at the same time monitoring the overall dilutive effect of the equity granted. These long-term incentive equity awards create a strong link between corporate performance and individual compensation, and thus a direct alignment between the interests of our NEOs and other employees and the interests of our shareholders. Long-term incentive equity awards also promote retention, because NEOs and other employees will only receive value if they remain employed by us over the required term. These incentive equity awards also foster an ownership culture among our executive officers and other employees by making them shareholders with a personal stake in the value they are incentivized to create and sustain. While ever-cognizant of the level of potential dilution of existing shareholders, the Compensation Committee balances that consideration with the goal of attracting, motivating and retaining executive officers and other employees by granting equity widely within the Company, giving the entire team a common incentive to work together to create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these goals in mind, as in prior years, the Compensation Committee took a multi-faceted and customized approach to annual incentive equity awards for our NEOs in Fiscal 2025: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No New Incentive Equity Awards for NEOs Receiving Multi-Year Grants in Fiscal 2024: </w:t>
            </w:r>
            <w:r>
              <w:rPr>
                <w:rFonts w:ascii="Times New Roman;Times;serif" w:hAnsi="Times New Roman;Times;serif"/>
                <w:color w:val="000000"/>
                <w:sz w:val="20"/>
              </w:rPr>
              <w:t xml:space="preserve">Our Chief Executive Officer, Matthew Gline, and our President and Chief Investment Officer, Mayukh Sukhatme, M.D., were not eligible for new annual incentive equity awards in Fiscal 2025, as they received front-loaded, multi-year incentive equity awards, including PSUs, under the Senior Executive Compensation Program in Fiscal 2024. For more information on those awards, please refer to the section entitled “—Update on Senior Executive Compensation Program” below.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4" w:name="ny20073886x1_def14a_108-comp_pg14"/>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Senior Executive Compensation Program Awards Granted to Dr. Torti: </w:t>
            </w:r>
            <w:r>
              <w:rPr>
                <w:rFonts w:ascii="Times New Roman;Times;serif" w:hAnsi="Times New Roman;Times;serif"/>
                <w:color w:val="000000"/>
                <w:sz w:val="20"/>
              </w:rPr>
              <w:t xml:space="preserve">In recognition of his important role at the Company, our President and Vant Chair, Frank Torti, M.D., was granted front-loaded, multi-year incentive equity awards consisting of RSUs and PSUs pursuant to the Senior Executive Compensation Program, consistent with the awards granted to Mr. Gline and Dr. Sukhatme in Fiscal 2024. For more information on those awards, please refer to the section entitled “—Update on Senior Executive Compensation Program”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Mix of Roivant and Immunovant Incentive Equity Awards Granted to Dr. Venker: </w:t>
            </w:r>
            <w:r>
              <w:rPr>
                <w:rFonts w:ascii="Times New Roman;Times;serif" w:hAnsi="Times New Roman;Times;serif"/>
                <w:color w:val="000000"/>
                <w:sz w:val="20"/>
              </w:rPr>
              <w:t xml:space="preserve">In connection with his transition to the role of Immunovant’s Chief Executive Officer in Fiscal 2025, and in recognition of the significant role he continues to play at Roivant as our President, Eric Venker, M.D., received a mix of incentive equity awards from both Roivant and Immunovant. The Immunovant equity awards were independently approved by the Immunovant Compensation Committee. For more information on those awards, please refer to the section entitled “—Roivant and Immunovant Equity Awards Granted to Dr. Venker” below.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Standard Annual Incentive Equity Awards for Other Senior Executives: </w:t>
            </w:r>
            <w:r>
              <w:rPr>
                <w:rFonts w:ascii="Times New Roman;Times;serif" w:hAnsi="Times New Roman;Times;serif"/>
                <w:color w:val="000000"/>
                <w:sz w:val="20"/>
              </w:rPr>
              <w:t xml:space="preserve">Our Chief Financial Officer, Richard Pulik, received annual RSU and stock option awards benchmarked against awards to CFOs in our peer group. For more information on those awards, please refer to the section entitled “—Equity Awards Granted to Mr. Pulik” below.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Update on Senior Executive Compensation Program</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2024, the Compensation Committee granted multi-year performance- and time-based equity awards under the Senior Executive Compensation Program to Mr. Gline, Dr. Sukhatme and Dr. Venker. These awards were made in recognition of the fact that Roivant has a unique operating model that is differentiated from “big pharma” and other biotech companies. Historically, our success has been driven by the leadership, vision, energies and efforts of a small number of senior executives, including Mr. Gline, Dr. Sukhatme and Dr. Venker. The Senior Executive Compensation Program was designed to incentivize Mr. Gline, Dr. Sukhatme and Dr. Venker to drive long-term, transformational shareholder value creation and to provide strong, consistent leadership for the Company by retaining them and motivating them to lead the next phase of Roivant’s growth and, consistent with our “pay for performance” philosophy, to align their incentives with our long-term, large-scale strategic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last year’s proxy statement, in Fiscal 2025, in recognition of Dr. Torti’s central role at the Company and his appointment as an executive officer of the Company, the Compensation Committee expanded the Senior Executive Compensation Program to include multi-year grants of RSUs and PSUs to Dr. Torti. As it did in Fiscal 2024 for the grants made to Mr. Gline, Dr. Sukhatme and Dr. Venker, in granting these awards to Dr. Torti, the Compensation Committee, together with its independent compensation consultant Aon, and in consultation with the independent members of our Board of Directors, considered and evaluated a number of factors,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unique nature of Roivant and its business model, which, in many cases, has similarities to the investor-centric, value-driven approach of venture capital firms, private equity firms or hedge funds;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data provided by Aon, including with respect to transformational incentive equity grants made by other companies both in biopharma and across other industries where senior leaders are provided performance incentives for generating significant returns for their investors;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need to retain and motivate Dr. Torti over the long-term, including in light of the fact that the prior multi-year stock option award granted to Dr. Torti would be fully vested as of March 31, 2026 and needed to be “refreshed” to provide continued long-term incentives for Dr. Torti, with accompanying retention aspects;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need to align Dr. Torti’s incentives with the next stage of Roivant’s growth and development by providing him with opportunities for rewards for achievement of performance goals that directly correlate to the creation of shareholder value.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5" w:name="ny20073886x1_def14a_108-comp_pg15"/>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last year’s proxy statement, below is a summary of the incentive equity awards granted to Dr. Torti in Fiscal 2025, as well as the awards granted to Mr. Gline, Dr. Sukhatme and Dr. Venker in Fiscal 2024, under the Senior Executive Compensation Program: </w:t>
      </w:r>
    </w:p>
    <w:tbl>
      <w:tblPr>
        <w:tblW w:w="10205" w:type="dxa"/>
        <w:jc w:val="left"/>
        <w:tblInd w:w="0" w:type="dxa"/>
        <w:tblLayout w:type="fixed"/>
        <w:tblCellMar>
          <w:top w:w="0" w:type="dxa"/>
          <w:left w:w="0" w:type="dxa"/>
          <w:bottom w:w="0" w:type="dxa"/>
          <w:right w:w="0" w:type="dxa"/>
        </w:tblCellMar>
      </w:tblPr>
      <w:tblGrid>
        <w:gridCol w:w="1972"/>
        <w:gridCol w:w="170"/>
        <w:gridCol w:w="170"/>
        <w:gridCol w:w="2881"/>
        <w:gridCol w:w="170"/>
        <w:gridCol w:w="170"/>
        <w:gridCol w:w="846"/>
        <w:gridCol w:w="170"/>
        <w:gridCol w:w="170"/>
        <w:gridCol w:w="1121"/>
        <w:gridCol w:w="170"/>
        <w:gridCol w:w="170"/>
        <w:gridCol w:w="875"/>
        <w:gridCol w:w="170"/>
        <w:gridCol w:w="170"/>
        <w:gridCol w:w="810"/>
      </w:tblGrid>
      <w:tr>
        <w:trPr/>
        <w:tc>
          <w:tcPr>
            <w:tcW w:w="19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r>
      <w:tr>
        <w:trPr/>
        <w:tc>
          <w:tcPr>
            <w:tcW w:w="197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PSUs (at max)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14,450,000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2,754,821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Mayukh Sukhatme,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Investment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17,000,000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1,836,547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 M.D.</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Immunovant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409,000 </w:t>
            </w:r>
          </w:p>
        </w:tc>
      </w:tr>
      <w:tr>
        <w:trPr/>
        <w:tc>
          <w:tcPr>
            <w:tcW w:w="19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Frank Torti,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Vant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11,900,000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1,836,547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283"/>
              <w:ind w:left="0" w:right="0" w:hanging="0"/>
              <w:jc w:val="left"/>
              <w:rPr>
                <w:color w:val="000000"/>
              </w:rPr>
            </w:pPr>
            <w:r>
              <w:rPr>
                <w:color w:val="000000"/>
              </w:rPr>
              <w:t>—</w:t>
            </w:r>
          </w:p>
        </w:tc>
      </w:tr>
      <w:tr>
        <w:trPr/>
        <w:tc>
          <w:tcPr>
            <w:tcW w:w="19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Venker’s PSUs have not been granted, but rather are subject to, and may in the future be granted in accordance with, the terms of the Venker PSU Opportunity Letter (as defined below). See below under “—Venker PSU Opportunity Letter” for more information. </w:t>
            </w:r>
          </w:p>
        </w:tc>
      </w:tr>
    </w:tbl>
    <w:p>
      <w:pPr>
        <w:pStyle w:val="TextBody"/>
        <w:bidi w:val="0"/>
        <w:spacing w:before="2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PSUs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have historically granted equity incentive awards to our senior executives consisting largely of time-based stock options and RSUs, the Compensation Committee determined to grant multi-year performance-based PSU awards under the Senior Executive Compensation Program to each of Mr. Gline and Dr. Sukhatme (in Fiscal 2024) and to Dr. Torti (in Fiscal 2025) in order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the alignment of our executives’ interests with those of our shareholders by linking performance vesting directly to stock price appreciation;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ensure the stability and continuity of our leadership team following a transformative period for Roivant, using our strong balance sheet to expand our product pipeline and invest in developing and commercializing our existing pipeline and products; and </w:t>
            </w:r>
          </w:p>
        </w:tc>
      </w:tr>
    </w:tbl>
    <w:tbl>
      <w:tblPr>
        <w:tblW w:w="6040" w:type="dxa"/>
        <w:jc w:val="left"/>
        <w:tblInd w:w="0" w:type="dxa"/>
        <w:tblLayout w:type="fixed"/>
        <w:tblCellMar>
          <w:top w:w="0" w:type="dxa"/>
          <w:left w:w="0" w:type="dxa"/>
          <w:bottom w:w="0" w:type="dxa"/>
          <w:right w:w="0" w:type="dxa"/>
        </w:tblCellMar>
      </w:tblPr>
      <w:tblGrid>
        <w:gridCol w:w="140"/>
        <w:gridCol w:w="5900"/>
      </w:tblGrid>
      <w:tr>
        <w:trPr/>
        <w:tc>
          <w:tcPr>
            <w:tcW w:w="14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incentivize extraordinary shareholder value creation over several years.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PSUs granted to Mr. Gline and Dr. Sukhatme (in Fiscal 2024) and to Dr. Torti (in Fiscal 2025) consist of six vesting tranches tied to the same share price hurdles, with the same percentage of PSUs for each of Mr. Gline, Dr. Sukhatme and Dr. Torti allocated to each such tranche as set forth in the table below. Each tranche of PSUs vests on the first date that both the “Performance Condition” and the “Service Condition” applicable to such tranche has been satisfied. The “Performance Condition” will be deemed satisfied for each tranche on the first date, during the performance period commencing on July 26, 2024 (or, in the case of the award to Dr. Torti, July 30, 2025) and ending, in each case, on July 26, 2029 (the “Performance Period”), when the Company’s trailing 30-day volume weighted average trading price per share (“30-Day VWAP”) for trading days during the Performance Period exceeds the specified share price hurdle set forth in the table below: </w:t>
      </w:r>
    </w:p>
    <w:tbl>
      <w:tblPr>
        <w:tblW w:w="5255" w:type="dxa"/>
        <w:jc w:val="left"/>
        <w:tblInd w:w="0" w:type="dxa"/>
        <w:tblLayout w:type="fixed"/>
        <w:tblCellMar>
          <w:top w:w="0" w:type="dxa"/>
          <w:left w:w="0" w:type="dxa"/>
          <w:bottom w:w="0" w:type="dxa"/>
          <w:right w:w="0" w:type="dxa"/>
        </w:tblCellMar>
      </w:tblPr>
      <w:tblGrid>
        <w:gridCol w:w="1370"/>
        <w:gridCol w:w="170"/>
        <w:gridCol w:w="170"/>
        <w:gridCol w:w="830"/>
        <w:gridCol w:w="170"/>
        <w:gridCol w:w="170"/>
        <w:gridCol w:w="2375"/>
      </w:tblGrid>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Price Hurdle (per share)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$17.50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8.82%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11.77%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$22.50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22.06%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Sixth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44" w:right="0" w:hanging="0"/>
              <w:jc w:val="left"/>
              <w:rPr>
                <w:rFonts w:ascii="Times New Roman;Times;serif" w:hAnsi="Times New Roman;Times;serif"/>
                <w:color w:val="000000"/>
                <w:sz w:val="20"/>
              </w:rPr>
            </w:pPr>
            <w:r>
              <w:rPr>
                <w:rFonts w:ascii="Times New Roman;Times;serif" w:hAnsi="Times New Roman;Times;serif"/>
                <w:color w:val="000000"/>
                <w:sz w:val="20"/>
              </w:rPr>
              <w:t>35.29%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778"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r>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six share price hurdles represented share price increases of approximately 39%, 62%, 85%, 108%, 131% and 178%, respectively, over our share price on July 26, 2024, the beginning of the Performance Period for the PSUs, reflecting rigorous price targets relative to our stock price at the time the Compensation Committee first granted the awards. Because the PSUs granted to Dr. Torti in Fiscal 2025 are subject to the same price hurdles and the same July 26, 2029 Performance Period end date, achievement for all three executives is measured against the same absolute share price targets. The awards accordingly were designed to incentivize Mr. Gline, Dr. Sukhatme and Dr. Torti to drive long-term, transformational shareholder value creation, to provide strong, consistent leadership for the Company by retaining these executives and motivating them to lead the next phase of Roivant’s growth and, consistent with our “pay for performance” philosophy, to align their incentives with our long-term, large-scale strategic objectives.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6" w:name="ny20073886x1_def14a_108-comp_pg16"/>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2025, in part through the extraordinary efforts of these executives, the Company’s share price increased by 175%, measured from the last business day of Fiscal 2024 through and including the last business day of Fiscal 2025, and the Company’s market capitalization increased by more than $12.5 billion over the same period. As a result of this share price increase the first five tranches of the PSUs, with share price hurdles ranging from $15.00 per share to $25.00 per share, satisfied the Performance Condition applicable to those tranches. The dates that those tranches of PSUs satisfied the Performance Condition are set forth in the table below: </w:t>
      </w:r>
    </w:p>
    <w:tbl>
      <w:tblPr>
        <w:tblW w:w="5240" w:type="dxa"/>
        <w:jc w:val="left"/>
        <w:tblInd w:w="0" w:type="dxa"/>
        <w:tblLayout w:type="fixed"/>
        <w:tblCellMar>
          <w:top w:w="0" w:type="dxa"/>
          <w:left w:w="0" w:type="dxa"/>
          <w:bottom w:w="0" w:type="dxa"/>
          <w:right w:w="0" w:type="dxa"/>
        </w:tblCellMar>
      </w:tblPr>
      <w:tblGrid>
        <w:gridCol w:w="1370"/>
        <w:gridCol w:w="170"/>
        <w:gridCol w:w="170"/>
        <w:gridCol w:w="3530"/>
      </w:tblGrid>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of Satisfaction of Performance Condition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16, 2025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November 6, 2025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4, 2025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Tranche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6, 2026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Tranche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27, 2026</w:t>
            </w:r>
          </w:p>
        </w:tc>
      </w:tr>
      <w:tr>
        <w:trPr/>
        <w:tc>
          <w:tcPr>
            <w:tcW w:w="13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Sixth Tranche of PSUs, with a share price hurdle of $30.00 per share, subsequently satisfied the Performance Condition applicable to that tranche of PSUs on June 23, 2026, after the end of Fiscal 2025, when the Company’s 30-Day VWAP first exceeded $30.00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these awards help motivate and incentivize our NEOs to achieve transformative value creation for our shareholders. The table</w:t>
      </w:r>
      <w:r>
        <w:rPr>
          <w:rFonts w:ascii="Times New Roman;Times;serif" w:hAnsi="Times New Roman;Times;serif"/>
          <w:color w:val="000000"/>
          <w:position w:val="7"/>
          <w:sz w:val="16"/>
          <w:sz w:val="20"/>
        </w:rPr>
        <w:t xml:space="preserve"> </w:t>
      </w:r>
      <w:r>
        <w:rPr>
          <w:rFonts w:ascii="Times New Roman;Times;serif" w:hAnsi="Times New Roman;Times;serif"/>
          <w:color w:val="000000"/>
          <w:sz w:val="20"/>
        </w:rPr>
        <w:t xml:space="preserve">and graph below each illustrate the cumulative Total Shareholder Return (“TSR”) realized on a hypothetical $100 investment in Roivant made on July 26, 2024, the beginning of the Performance Period for the PSUs, valued as of the date each tranche of PSUs satisfied the Performance Condition and a hypothetical $100 investment in the Nasdaq Biotechnology Index (“NBI”), by comparison: </w:t>
      </w:r>
    </w:p>
    <w:tbl>
      <w:tblPr>
        <w:tblW w:w="10205" w:type="dxa"/>
        <w:jc w:val="left"/>
        <w:tblInd w:w="0" w:type="dxa"/>
        <w:tblLayout w:type="fixed"/>
        <w:tblCellMar>
          <w:top w:w="0" w:type="dxa"/>
          <w:left w:w="0" w:type="dxa"/>
          <w:bottom w:w="0" w:type="dxa"/>
          <w:right w:w="0" w:type="dxa"/>
        </w:tblCellMar>
      </w:tblPr>
      <w:tblGrid>
        <w:gridCol w:w="1123"/>
        <w:gridCol w:w="170"/>
        <w:gridCol w:w="170"/>
        <w:gridCol w:w="1215"/>
        <w:gridCol w:w="170"/>
        <w:gridCol w:w="170"/>
        <w:gridCol w:w="905"/>
        <w:gridCol w:w="170"/>
        <w:gridCol w:w="170"/>
        <w:gridCol w:w="905"/>
        <w:gridCol w:w="170"/>
        <w:gridCol w:w="170"/>
        <w:gridCol w:w="905"/>
        <w:gridCol w:w="170"/>
        <w:gridCol w:w="170"/>
        <w:gridCol w:w="905"/>
        <w:gridCol w:w="170"/>
        <w:gridCol w:w="170"/>
        <w:gridCol w:w="905"/>
        <w:gridCol w:w="170"/>
        <w:gridCol w:w="170"/>
        <w:gridCol w:w="962"/>
      </w:tblGrid>
      <w:tr>
        <w:trPr/>
        <w:tc>
          <w:tcPr>
            <w:tcW w:w="11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left"/>
              <w:rPr/>
            </w:pPr>
            <w:r>
              <w:rPr/>
              <w:t> </w:t>
            </w:r>
          </w:p>
        </w:tc>
      </w:tr>
      <w:tr>
        <w:trPr/>
        <w:tc>
          <w:tcPr>
            <w:tcW w:w="112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First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Satisfaction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Second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Satisfaction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Third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Satisfaction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Fourth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Satisfaction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Fifth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Satisfaction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Tranche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Satisfaction </w:t>
            </w:r>
          </w:p>
        </w:tc>
      </w:tr>
      <w:tr>
        <w:trPr/>
        <w:tc>
          <w:tcPr>
            <w:tcW w:w="1123"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ROIV Share Price</w:t>
            </w:r>
            <w:r>
              <w:rPr>
                <w:rFonts w:ascii="Times New Roman;Times;serif" w:hAnsi="Times New Roman;Times;serif"/>
                <w:color w:val="000000"/>
                <w:position w:val="6"/>
                <w:sz w:val="14"/>
                <w:sz w:val="18"/>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$17.11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$20.57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$21.18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$25.82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$28.94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$32.21 </w:t>
            </w:r>
          </w:p>
        </w:tc>
      </w:tr>
      <w:tr>
        <w:trPr/>
        <w:tc>
          <w:tcPr>
            <w:tcW w:w="1123"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TSR on $100 investment in ROIV</w:t>
            </w:r>
            <w:r>
              <w:rPr>
                <w:rFonts w:ascii="Times New Roman;Times;serif" w:hAnsi="Times New Roman;Time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$100.00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(baseline)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$158.43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$190.46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$196.11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$239.07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$267.96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$298.24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(+198%) </w:t>
            </w:r>
          </w:p>
        </w:tc>
      </w:tr>
      <w:tr>
        <w:trPr/>
        <w:tc>
          <w:tcPr>
            <w:tcW w:w="1123"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TSR on $100 investment in NBI</w:t>
            </w:r>
            <w:r>
              <w:rPr>
                <w:rFonts w:ascii="Times New Roman;Times;serif" w:hAnsi="Times New Roman;Times;serif"/>
                <w:color w:val="000000"/>
                <w:position w:val="6"/>
                <w:sz w:val="14"/>
                <w:sz w:val="18"/>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$100.00</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(baseline)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$105.35</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$108.71</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$117.73</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$122.14</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$123.38</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$126.33</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(+26%)</w:t>
            </w:r>
          </w:p>
        </w:tc>
      </w:tr>
      <w:tr>
        <w:trPr/>
        <w:tc>
          <w:tcPr>
            <w:tcW w:w="11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share prices reflected here are the closing prices for Roivant’s common shares as reported by Nasdaq on the date each of the share price hurdles was first achieved. As noted above, the share price hurdles were based on a 30-Day VWAP, not the closing prices reflected here.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TSR assumes $100 was invested in Roivant at the market close on July 26, 2024 and is calculated by dividing (i) the difference between Roivant’s share price at the market close at the end of each share price hurdle measurement period (October 16, 2025 for the First Tranche; November 6, 2025 for the Second Tranche; December 4, 2025 for the Third Tranche; February 6, 2026 for the Fourth Tranche; February 27, 2026 for the Fifth Tranche; and June 23, 2026 for the Sixth Tranche) and Roivant’s share price at the market close at the beginning of the measurement period (July 26, 2024) by (ii) Roivant’s share price at the market close at the beginning of the measurement period (July 26, 2024). On June 23, 2026, February 27, 2026, February 6, 2026, December 4, 2025, November 6, 2025, October 16, 2025 and July 26, 2024, the per share closing prices for Roivant’s common shares were $32.21, $28.94, $25.82, $21.18, $20.57, $17.11 and $10.80, respectively. No dividends were paid for any periods presented.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TSR assumes $100 was invested in the Nasdaq Biotechnology Index at the market close on July 26, 2024 and is calculated by dividing (i) the difference between the Nasdaq Biotechnology Index price at the market close at the end of each share price hurdle measurement period (October 16, 2025 for the First Tranche; November 6, 2025 for the Second Tranche; December 4, 2025 for the Third Tranche; February 6, 2026 for the Fourth Tranche; February 27, 2026 for the Fifth Tranche; and June 23, 2026 for the Sixth Tranche) and the Nasdaq Biotechnology Index share price at the market close at the beginning of the measurement period (July 26, 2024) by (ii) the Nasdaq Biotechnology Index share price at the market close at the beginning of the measurement period (July 26, 2024). On June 23, 2026, February 27, 2026, February 6, 2026, December 4, 2025, November 6, 2025, October 16, 2025 and July 26, 2024, the per share closing prices for the Nasdaq Biotechnology Index were $6,185.56, $6,041.31, $5,980.36, $5,764.74, $5,322.95, $5,158.30 and $4,896.50, respectively. The closing prices reflect the price-return version of the Nasdaq Biotechnology Index and do not reflect reinvestment of cash dividends paid by index constituents.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7" w:name="ny20073886x1_def14a_108-comp_pg17"/>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15000" cy="2486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0" cy="2486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noted, in addition to the Performance Condition applicable to the PSU, there is both a Service Condition and a post-vesting holding period applicable to the PSUs, as described in more detail below. Accordingly, even in light of the extraordinary value created for our shareholders over the Performance Period, these awards are designed to continue to motivate and retain our senior executives, and to align their interests with those of our shareholders, by ensuring that this value creation is sustained over the long term.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“Service Condition” with respect to each tranche of PSUs will be deemed satisfied on the first anniversary of the date on which the Performance Condition is first satisfied with respect to such tranche, as specified above, subject to the executive’s continuous service through such anniversary. In the event an executive’s employment is terminated (x) by the Company without “cause” (as defined in the executive’s employment agreement), (y) due to the executive’s termination due to death or “disability” (as defined in the award agreement) or (z) due to the executive’s resignation for “good reason” (as defined in the executive’s employment agreement), any tranche of PSUs that has previously satisfied the Performance Condition shall be deemed to fully vest as of the executive’s termination date, and any tranche of PSUs that has not previously satisfied the Performance Condition will be forfeited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further align the long-term interests of our executives with those of our shareholders, the Compensation Committee designed the PSUs to have a post-vesting holding period. Specifically, following the achievement of both the Performance Condition and the Service Condition and the vesting of any tranche of the PSUs, the common shares underlying the applicable vested tranche of PSUs are subject to a further two-year holding period before such common shares may be sold by the executive. The two-year holding period will not apply with respect to any common shares that may be withheld, tendered or sold to satisfy applicable withholding tax obligations, and the two-year holding period will also cease to apply in the event of a change in control or following the executive’s termination due to death or “disability” (as defined in the award agreement). PSUs that have satisfied the Performance Condition prior to the change in control shall remain outstanding and eligible to vest based on satisfaction of the Service Condition following the change in control. </w:t>
      </w:r>
    </w:p>
    <w:p>
      <w:pPr>
        <w:pStyle w:val="TextBody"/>
        <w:bidi w:val="0"/>
        <w:spacing w:before="3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Venker PSU Opportunity Letter</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Compensation Committee has not granted Dr. Venker PSUs under the Senior Executive Compensation Program, the Compensation Committee approved entry into a letter agreement with Dr. Venker (the “Venker PSU Opportunity Letter”) pursuant to which Dr. Venker has the opportunity to receive a future grant of PSUs in the sole discretion of the Compensation Committee based on a quarterly assessment as to whether Dr. Venker has made contributions to the Company’s business that include value delivery beyond and outside the normal operating context (including based on specified criteria established in the future by the Compensation Committee) (the “Contribution Condition”). If the Compensation Committee determines that Dr. Venker has satisfied the Contribution Condition on or prior to the five-year anniversary of the Venker PSU Opportunity Letter, the Compensation Committee will approve a grant to Dr. Venker of up to 11,900,000 PSUs in the aggregate, substantially on the terms described above for Mr. Gline, Dr. Sukhatme and Dr. Torti, provided that for any PSUs so awarded to Dr. Venker: (i) the start date of the “Performance Period” will be the date of the Venker PSU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48" w:name="ny20073886x1_def14a_108-comp_pg18"/>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Opportunity Letter and (ii) the Service Condition requirement for the PSUs will be measured from the actual grant date of the PSUs (not the date of the Venker PSU Opportunity Letter). To the extent that the Compensation Committee determines in its sole discretion that Dr. Venker has not satisfied the Contribution Condition on or prior to the five-year anniversary of the Venker PSU Opportunity Letter, the opportunity to receive such PSUs will be forfeited and cancelled in its entirety without any payment to Dr. Venker. </w:t>
      </w:r>
    </w:p>
    <w:p>
      <w:pPr>
        <w:pStyle w:val="TextBody"/>
        <w:bidi w:val="0"/>
        <w:spacing w:before="3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RSUs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determined to grant time-based vesting RSUs to Mr. Gline, Dr. Sukhatme and Dr. Venker (in Fiscal 2024) and to Dr. Torti (in Fiscal 2025) as part of the Senior Executive Compensation Program because these awards deliver value even during periods of stock market or stock price underperformance, and reinforce an ownership culture and commitment to the Company. Further, this component also helps keep together this team of executives who are critical to our business and the execution of our long-term strategic plan. The RSUs were granted to complement the multi-year PSUs granted to Mr. Gline and Dr. Sukhatme (in Fiscal 2024) and Dr. Torti (in Fiscal 2025)—specifically, while the PSUs incentivize our executives to achieve significant stock price appreciation, the RSUs help ensure that the stock price appreciation is sustained over the long-term, as the ultimate value of the RSUs is directly linked to our future share price. The RSUs also foster an ownership culture among our executive officers by making executive officers become shareholders with a greater personal stake in the value they are incentivized to create. The combination of these awards encourages prudent decision-making and risk management and creates a balanced focus on short-term and long-term performance that supports sustainable, long-term shareholder value creation.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RSUs granted to Dr. Torti in Fiscal 2025 (similar to the RSUs granted to Mr. Gline and Dr. Sukhatme in Fiscal 2024) are designed to equal five years’ worth of annual RSU awards at the 50th percentile of grants to senior officers among our peer companies and are intended, together with the PSUs, to be the only incentive equity awards granted to Dr. Torti until 2030, when the service vesting period for these RSUs concludes. Accordingly, these RSUs are scheduled to vest over approximately a five-year period, with 20% of the RSUs having vested on March 31, 2026, and the remaining RSUs thereafter vesting in a series of 16 successive equal quarterly installments, subject to the executive’s continuous service through the applicable vesting date. This vesting schedule extends the approximately five-year vesting period for these awards into 2030.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Dr. Torti’s continuous service is involuntarily terminated without “cause” within 30 days prior to or 12 months following the date of the consummation of a change in control, all such RSUs held by Dr. Torti will become fully vested. </w:t>
      </w:r>
    </w:p>
    <w:p>
      <w:pPr>
        <w:pStyle w:val="TextBody"/>
        <w:bidi w:val="0"/>
        <w:spacing w:before="350" w:after="283"/>
        <w:ind w:left="0" w:right="0" w:hanging="0"/>
        <w:jc w:val="left"/>
        <w:rPr>
          <w:rFonts w:ascii="Times New Roman;Times;serif" w:hAnsi="Times New Roman;Times;serif"/>
          <w:i/>
          <w:color w:val="000000"/>
          <w:sz w:val="20"/>
        </w:rPr>
      </w:pPr>
      <w:bookmarkStart w:id="49" w:name="tEAGDV"/>
      <w:bookmarkEnd w:id="49"/>
      <w:r>
        <w:rPr>
          <w:rFonts w:ascii="Times New Roman;Times;serif" w:hAnsi="Times New Roman;Times;serif"/>
          <w:i/>
          <w:color w:val="000000"/>
          <w:sz w:val="20"/>
          <w:u w:val="single"/>
        </w:rPr>
        <w:t>Roivant and Immunovant Equity Awards Granted to Dr. Venker</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his appointment as Chief Executive Officer of Immunovant, and in recognition of the important role he will continue to play for Roivant as President, in Fiscal 2025 the Compensation Committees of each of Roivant and Immunovant approved (in respect of the awards granted by the relevant company), the following incentive equity awards to Dr. Venker: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Roivant Award:</w:t>
            </w:r>
            <w:r>
              <w:rPr>
                <w:rFonts w:ascii="Times New Roman;Times;serif" w:hAnsi="Times New Roman;Times;serif"/>
                <w:color w:val="000000"/>
                <w:sz w:val="20"/>
              </w:rPr>
              <w:t xml:space="preserve"> Dr. Venker received an award of 198,413 Roivant RSUs. The RSUs vest over a four-year period, with 25% of the RSUs having vested on May 20, 2026 and the remaining RSUs vesting in 12 equal quarterly installments thereafter, subject to Dr. Venker’s continuous service through the applicable vesting date. In the event Dr. Venker’s continuous service is involuntarily terminated without “cause” within 12 months following the date of the consummation of a change in control of Roivant, all of the RSUs will become fully vested.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Immunovant Awards:</w:t>
            </w:r>
            <w:r>
              <w:rPr>
                <w:rFonts w:ascii="Times New Roman;Times;serif" w:hAnsi="Times New Roman;Times;serif"/>
                <w:color w:val="000000"/>
                <w:sz w:val="20"/>
              </w:rPr>
              <w:t xml:space="preserve"> Dr. Venker received the following incentive equity awards from Immunovant: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Stock Option Award: </w:t>
            </w:r>
            <w:r>
              <w:rPr>
                <w:rFonts w:ascii="Times New Roman;Times;serif" w:hAnsi="Times New Roman;Times;serif"/>
                <w:color w:val="000000"/>
                <w:sz w:val="20"/>
              </w:rPr>
              <w:t xml:space="preserve">Award of 1,489,900 stock options to purchase Immunovant common stock that vest over a four-year period, with 25% of the shares subject to the option vesting one year from April 21, 2025 and the balance vesting in a series of 12 successive equal quarterly installments thereafter, subject to Dr. Venker’s continued service to Immunovant through each applicable vesting date. To support long-term alignment with the interests of Immunovant’s stockholders, the shares of common stock underlying 1,300,000 of these common stock options, following a vesting event, are subject to a two (2) year holding period following such vesting event before such shares can be sold, unless Dr. Venker receives prior written consent from the Board, provided that Dr. Venker may sell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0" w:name="ny20073886x1_def14a_108-comp_pg19"/>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shares pursuant to any sell-to-cover transaction or dispose of such shares withheld to satisfy any applicable tax withholding obligations due to the exercise of the option award. The other 189,900 shares of common stock underlying the stock options granted to Dr. Venker had an aggregate grant date fair value of $2,250,000 (the “Dollar Option Award”), with the number of shares underlying the Dollar Option Award determined using an estimated “Black-Scholes” value based on the 30-day trailing average price of Immunovant’s common stock on the Nasdaq Global Select Market as of the grant date of the award. Pursuant to Dr. Venker’s employment agreement with Immunovant, these options will immediately accelerate and vest in full and become exercisable following a change in control of Immunovant (as defined in the Immunovant, Inc. 2019 Equity Incentive Plan (the “2019 IMVT Plan”)). Dr. Venker’s initial stock option award was generally sized to align with benchmarking (to the 50th percentile) against new CEO hires for comparable companies in Immunovant’s industry.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CVAR Award: </w:t>
            </w:r>
            <w:r>
              <w:rPr>
                <w:rFonts w:ascii="Times New Roman;Times;serif" w:hAnsi="Times New Roman;Times;serif"/>
                <w:color w:val="000000"/>
                <w:sz w:val="20"/>
              </w:rPr>
              <w:t xml:space="preserve">Award of 1,475,000 capped value appreciation rights (“CVARs”) relating to Immunovant common stock. The CVAR award will vest and settle into shares of Immunovant common stock upon the satisfaction of the applicable vesting and other requirements. The service-vesting requirement applicable to the CVAR Award is satisfied as follows: (i) 25% of CVAR Award service-vested on April 1, 2026; and (ii) the remaining 75% of the CVAR Award service-vests in 12 equal quarterly installments thereafter. The performance-vesting requirement applicable to the CVAR Award, which was tied to the achievement of a specified clinical development activity at Immunovant, was met as of March 31, 2026. In addition, a “knock-in” requirement applicable to the CVARs requires that for any tranche of the CVAR award to become vested prior to the expiration date of the award, the price of Immunovant’s common stock on a service-vesting date (or a subsequent annual re-measurement date before expiration) must be equal to or greater than $16.76 per share. These CVARs will immediately accelerate and vest in full if Dr. Venker is involuntarily terminated without cause within twelve months following a change in control of Immunovant (as defined in the 2019 IMVT Plan). Upon satisfaction of these vesting conditions (such portion of the CVAR award, the “Vested CVARs”), the CVAR award will entitle Dr. Venker to a payment equal to the product of (i) the number of Vested CVARs multiplied by (ii) the excess (if any) of (A) the fair market value of a share of Immunovant common stock as of the relevant vesting date (capped at $16.76 per share) over (B) the applicable hurdle price of $14.46 (the “CVAR Amount”). The CVAR award will then settle into a number of shares of Immunovant common stock determined by dividing (i) the applicable CVAR Amount by (ii) the fair market value of a share of common stock on the applicable payment date, which will be issued shortly following the applicable vesting date. Following the vesting of any portion of the CVAR award, 87.25% of the shares of common stock issued to Dr. Venker will be subject to a two-year holding period during which Dr. Venker cannot sell or otherwise transfer such shares (subject to limited exceptions, including for the satisfaction of tax withholding obligations). This award was structured to incentivize the execution of clinical goals designed to be challenging but achievable with strong management performance, with an additional focus on stock price performance.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Equity Awards Granted to Mr. Pulik</w:t>
      </w:r>
      <w:r>
        <w:rPr>
          <w:rFonts w:ascii="Times New Roman;Times;serif" w:hAnsi="Times New Roman;Times;serif"/>
          <w:i/>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takes into account a number of factors when making determinations regarding long-term incentive equity awards to our senior executives, including to our Chief Financial Officer, Mr. Pulik. These considerations include (i) equity grant levels and the overall pay mix in peer group companies; (ii) the senior executives’ role, skills and experience and the critical nature of their contributions to the Company, including in the fiscal year under review; and (iii) the importance of maintaining a consistent leadership team, among other things. The grants vary based on these factors. This portion of total direct compensation is variable and directly aligned with shareholder interests. We continue to manage award amounts, with a goal of maintaining broad-based equity participation, delivering value that is aligned with our compensation philosophy and proactively managing our share usage as well as dilution during a period of rapid growth.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2025, the annual equity grants to Mr. Pulik consisted of stock options and RSUs granted in April 2025,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Stock Option Award: </w:t>
            </w:r>
            <w:r>
              <w:rPr>
                <w:rFonts w:ascii="Times New Roman;Times;serif" w:hAnsi="Times New Roman;Times;serif"/>
                <w:color w:val="000000"/>
                <w:sz w:val="20"/>
              </w:rPr>
              <w:t xml:space="preserve">An award of 180,413 Roivant stock options with an exercise price of $10.04 per share, representing the closing share price on the grant date of the stock option award, and a vesting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1" w:name="ny20073886x1_def14a_108-comp_pg20"/>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commencement date of April 20, 2025. These options vest and become exercisable (i) 25% on the first anniversary of the vesting commencement date and (ii) in thirty-six (36) successive equal monthly installments thereafter, measured from the first anniversary of the vesting commencement date, subject to Mr. Pulik’s continuous service through each applicable vesting date.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RSU Award:</w:t>
            </w:r>
            <w:r>
              <w:rPr>
                <w:rFonts w:ascii="Times New Roman;Times;serif" w:hAnsi="Times New Roman;Times;serif"/>
                <w:color w:val="000000"/>
                <w:sz w:val="20"/>
              </w:rPr>
              <w:t xml:space="preserve"> Award of 141,464 RSUs with a vesting commencement date of April 20, 2025. These RSUs vest (i) 25% on the date thirteen (13) months from the vesting commencement date and (ii) in twelve (12) successive equal quarterly installments thereafter, measured from the date thirteen (13) months from the vesting commencement date, subject to Mr. Pulik’s continuous service through each applicable vesting date.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with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agreements with each of our named executive officers, which are described in further detail below and which generally include the officer’s base compensation, annual target bonus opportunity, entitlement to participate in our health and welfare benefit plans and certain restrictive covenants and severance entitlements on qualifying terminations of employment. These agreements provide for customary non-competition and non-solicitation covenants that apply during the term of the NEO’s employment and at least 12 months thereafter. In addition, the agreements contain standard confidentiality and non-disparagement provisions that apply during the term of the NEO’s employment and perpetually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offer severance benefits because we compete for executive talent in a highly competitive market in which companies routinely offer similar benefits to their officers. These severance benefits may consist of a payment equal to a specified number of months of base salary continuation, payment of premiums for continued health insurance coverage for a specified period of time, an amount determined by reference to the executive’s annual performance-based cash incentive and accelerated vesting of equity or an extension of time in which to exercise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severance benefits outside of the change in control context if our NEO’s employment is terminated without cause, or if the executive terminates employment for good reason, as each of those terms are defined in the employment agreements, subject to the executive officer’s execution of an effective release of claims. The Company believes that it is appropriate to provide severance in these instances to bridge executives to new employment, particularly in view of the restrictive covenant agreements that our executives have signed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enhanced severance benefits in the change in control context because we believe that the occurrence or potential occurrence of a change in control transaction will create uncertainty regarding the continued employment of our executive officers. The Company believes it serves the best interest of the Company and its shareholders to have executives focus on the business merits of mergers and acquisitions without undue concern for their personal financial outcome. As such, we provide severance protections in connection with a change in control, subject to each executive officer’s execution of an effective release of claims, to help ensure that executive officers can objectively evaluate change in control transactions that may be in the best interest of our shareholders, despite the potential negative consequences such transactions may have on them personally.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 severance benefits provided to our executive officers under their offer letters or employment agreements are an important component of each executive officer’s overall compensation as they help us to attract and retain our key executives who could have other job alternatives that may appear to them to be more attractive absent these protections.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Matthew Gline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Gline is party to an employment agreement with RSI, dated May 14, 2021, which provides for at-will employment and no specified term of employment. Pursuant to Mr. Gline’s employment agreement, Mr. Gline’s annual base salary is $725,000, which is subject to adjustment at the discretion of the Board of Directors or the Compensation Committee of the Board of Directors. In addition, Mr. Gline is eligible to receive a discretionary annual performance bonus, with a target equal to 100% of his annual base salary. The actual amount of any annual bonus will be based on an assessment by the Compensation Committee of Mr. Gline’s performance, as well as business conditions at the Company. Mr. Gline will also be eligible to receive discretionary periodic or annual incentive equity awards, based on Mr. Gline’s performance and business conditions at the Company, as determined in the sole discretion of the Compensation Committee. Mr. Gline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2" w:name="ny20073886x1_def14a_108-comp_pg2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Mr. Gline’s employment agreement, in the event Mr. Gline’s employment is terminated by RSI without “cause” (other than due to Mr. Gline’s death or “disability”) or Mr. Gline resigns for “good reason” (each as defined in Mr. Gline’s employment agreement), then, subject to Mr. Gline’s timely execution and non-revocation of a release of claims and continued compliance with applicable restrictive covenants, Mr. Gline will be entitled to receive (i) continued payment of his base salary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Mr. Gline becomes eligible for coverage under a subsequent employer’s group health insurance plan).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Pulik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Pulik is party to an employment agreement with RSI, dated August 31, 2021, which provides for at-will employment and no specified term of employment. Pursuant to Mr. Pulik’s employment agreement, his annual base salary is subject to adjustment from time to time at the discretion of the Compensation Committee and was $450,883 for Fiscal 2025. Mr. Pulik is also eligible to receive a discretionary annual performance bonus, with a target annual bonus equal to 100% of his annual base salary. The actual amount of any annual bonus will be based on an assessment by the Compensation Committee of Mr. Pulik’s performance, as well as business conditions at the Company. Mr. Pulik is also eligible to receive discretionary periodic or annual incentive equity awards, based on Mr. Pulik’s performance and business conditions at the Company, as determined in the sole discretion of the Compensation Committee. Mr. Pulik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Mr. Pulik’s employment agreement, in the event Mr. Pulik’s employment is terminated by RSI without “cause” (other than due to Mr. Pulik’s death or “disability”) or Mr. Pulik resigns for “good reason” (each as defined in Mr. Pulik’s employment agreement), then, subject to Mr. Pulik’s timely execution and non-revocation of a release of claims and continued compliance with applicable restrictive covenants, Mr. Pulik will be entitled to receive (i) continued payment of his base salary for six months following the date of his termination, payable in accordance with RSI’s customary payroll procedures, (ii) an amount equal to 50% of his target annual bonus for the year of termination, payable in six equal monthly installments following the date of his termination and (iii) monthly reimbursement of COBRA premiums (less active employee rates) for six months following the date of his termination (or, if earlier, until the date Mr. Pulik becomes eligible for coverage under a subsequent employer’s group health insurance plan).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Mayukh Sukhatme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Sukhatme is party to an employment agreement with RSI, dated May 19, 2020, which provides for at-will employment and no specified term of employment. Pursuant to Dr. Sukhatme’s employment agreement, Dr. Sukhatme’s annual base salary is $550,000, which may be adjusted upward (but not downward) from time to time in the discretion of the Board of Directors or the board of directors of RSI. Dr. Sukhatme is also eligible to receive a discretionary annual performance bonus, with a target annual bonus equal to 100% of his annual base salary. The actual amount of any annual bonus will be based on an assessment by the CEO of Dr. Sukhatme’s performance and the achievement of performance targets established by the Compensation Committee, as well as business conditions at the Company. Dr. Sukhatme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Sukhatme’s employment agreement, in the event Dr. Sukhatme’s employment is terminated by RSI without “cause” (other than due to Dr. Sukhatme’s death or “disability”) or Dr. Sukhatme resigns for “good reason” (each as defined in Dr. Sukhatme’s employment agreement), then, subject to Dr. Sukhatme’s timely execution and non-revocation of a release of claims and continued compliance with applicable restrictive covenants, Dr. Sukhatme will be entitled to receive (i) continued payment of his base salary for 12 months following the date of his termination, payable in accordance with RSI’s customary payroll procedures, (ii) an amount equal to his target annual bonus for the year of termination (disregarding any reduction in base salary or target annual bonus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3" w:name="ny20073886x1_def14a_108-comp_pg2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constitutes good reason), payable in 12 equal monthly installments following the date of his termination and (iii) monthly reimbursement of COBRA premiums (less active employee rates) for 12 months following the date of his termination (or, if earlier, until the date Dr. Sukhatme becomes eligible for coverage under a subsequent employer’s group health insurance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the event of a termination of Dr. Sukhatme’s employment due to his death or disability, subject to the execution and non-revocation of a release of claims and continued compliance with applicable restrictive covenants, all service-based vesting conditions with respect to 50% of Dr. Sukhatme’s then-outstanding equity awards which are unvested will be immediately waived, and will thereafter otherwise remain subject to the other existing terms and conditions of such awards (including the achievement of any applicable performance-based vesting conditions and any liquidity event vesting conditions, as the case may be).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Eric Venker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Amended &amp; Restated Employment Agreement with RSI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Venker is party to an amended and restated employment agreement with RSI, dated July 28, 2025, which provides for at-will employment and no specified term of employment. Pursuant to Dr. Venker’s employment agreement with RSI, Dr. Venker’s annual base salary is $75,000, which is subject to adjustment at the discretion of the Compensation Committee. In addition, Dr. Venker is entitled to receive quarterly board fees in the amount of $3,125 per fiscal quarter (or such other amount as may be determined by Roivant) in respect of each private company affiliate of Roivant based in the United Kingdom for which Dr. Venker serves as a member of the board of directors. Dr. Venker’s annual base salary is reduced by the aggregate annual amount of such board fees payable to Dr. Venker. Dr. Venker is also eligible to receive a discretionary annual performance bonus for any fiscal year of RSI (or portion thereof) during which he is not also co-employed with Immunovant, with a target annual bonus equal to 75% of his annual base salary (without giving effect to any reductions in such base salary for board fees). The actual amount of any annual bonus will be based on an assessment by the Compensation Committee of Dr. Venker’s performance, as well as business conditions at the Company. For any fiscal year in which Dr. Venker is co-employed by Immunovant for the entirety of such fiscal year and is eligible to receive an annual cash bonus from Immunovant, Dr. Venker will not be eligible to earn an annual discretionary cash bonus from RSI in respect of such fiscal year. Dr. Venker will also be eligible to receive discretionary periodic or annual incentive equity awards, based on Dr. Venker’s performance and business conditions at the Company, as determined in the sole discretion of the Compensation Committee. Dr. Venker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Venker’s employment agreement with RSI, in the event Dr. Venker’s employment is terminated by RSI without “cause” (other than due to Dr. Venker’s death or “disability”) or Dr. Venker resigns for “good reason” (each as defined in Dr. Venker’s employment agreement), then, subject to Dr. Venker’s timely execution and non-revocation of a release of claims and continued compliance with applicable restrictive covenants, Dr. Venker will be entitled to receive (i) continued payment of his base salary (without giving effect to any reductions in such base salary for board fees) for 12 months following the date of his termination, payable in accordance with RSI’s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Dr. Venker becomes eligible for coverage under a subsequent employer’s group health insurance plan). However, in the event that Dr. Venker and Immunovant mutually agree to continue his employment with Immunovant, then Dr. Venker shall not have any right to the above-described severance benefits from RSI (and instead, Dr. Venker will have severance protections from Immunovant, as set forth under his employment agreement with Immunovant).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Agreement with Immunovant,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Venker is also party to an employment agreement with IMVT Corporation (a subsidiary of Immunovant), dated July 28, 2025, which provides for at-will employment and no specified term of employment. Pursuant to Dr. Venker’s employment agreement with Immunovant, Dr. Venker’s annual base salary is $672,000, which is subject to adjustment at the discretion of the Compensation Committee. Dr. Venker is also eligible to receive a discretionary annual performance bonus for any fiscal year of Immunovant, with a target annual bonus equal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4" w:name="ny20073886x1_def14a_108-comp_pg23"/>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72.25% of his annual base salary. The actual amount of any annual bonus will be based on an assessment by the Immunovant Board of individual and company performance. Dr. Venker was also granted certain Immunovant option awards in connection with his appointment as Chief Executive Officer of Immunovant. Dr. Venker is also entitled to participate in the employee benefit plans and programs (including any medical, dental, vision, life and disability insurance benefit plans and 401(k) plan) as provided by RSI to similarly situated full-time employees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Dr. Venker’s employment agreement with Immunovant, in the event Dr. Venker’s employment is terminated by Immunovant without “cause” (other than due to Dr. Venker’s death or “disability”) or Dr. Venker resigns for “good reason” (each as defined in Dr. Venker’s employment agreement), then, subject to Dr. Venker’s timely execution and non-revocation of a release of claims and continued compliance with applicable restrictive covenants, Dr. Venker will be entitled to receive (i) continued payment of his base salary for 12 months following the date of his termination, payable in accordance with Immunovant’s customary payroll procedures, (ii) an amount equal to his target annual bonus for the year of termination, payable in 12 equal monthly installments following the date of his termination and (iii) monthly reimbursement of COBRA premiums (less active employee rates) for 12 months following the date of his termination (or, if earlier, until the date Dr. Venker becomes eligible for coverage under a subsequent employer’s group health insurance plan). However, in the event that Dr. Venker and RSI mutually agree to continue his employment with RSI, then Dr. Venker shall not have any right to the above-described severance benefits from Immunovant (and instead, Dr. Venker will have severance protections from RSI, as set forth under his employment agreement with RSI).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Frank Torti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Torti is party to an amended and restated employment agreement with RSI, dated July 28, 2025, which provides for at-will employment and no specified term of employment. Pursuant to Dr. Torti’s employment agreement, as amended, Dr. Torti’s annual base salary is $725,000, which is subject to adjustment at the discretion of the Compensation Committee. Dr. Torti is also eligible to receive a discretionary annual performance bonus, with a target annual bonus equal to 100% of his annual base salary. The actual amount of any annual bonus will be based on an assessment by the Compensation Committee of Dr. Torti’s performance, as well as business conditions at the Company. Dr. Torti will also be eligible to receive discretionary periodic or annual incentive equity awards, based on Dr. Torti’s performance and business conditions at the Company, as determined in the sole discretion of the Compensation Committee. Dr. Torti is also entitled to participate in the employee benefit plans and programs (including any medical, dental, vision, life and disability insurance benefit plans and 401(k) plan) as provided by RSI to similarly situated full-time employees from time to time. Dr. Torti is also entitled to reimbursement for annual tax planning services up to an aggregate annual amount of $35,000 per year (on a tax-equalized basis). Pursuant to Dr. Torti’s employment agreement, in the event Dr. Torti’s employment is terminated by RSI without “cause” (other than due to Dr. Torti’s death or “disability”) or Dr. Torti resigns for “good reason” (each as defined in Dr. Torti’s employment agreement), then, subject to Dr. Torti’s timely execution and non-revocation of a release of claims and continued compliance with applicable restrictive covenants, Dr. Torti will be entitled to receive (i) continued payment of his base salary for 12 months following the date of his termination, payable in accordance with RSI’s customary payroll procedures and (ii) an amount equal to his target annual bonus for the year of termination, payable in accordance with RSI’s regular payroll over 12 months. In addition, under Dr. Torti’s employment agreement, he is also entitled to receive grants of incentive equity awards in certain Vant subsidiaries of the Company on which he serves on the board of directors, in each case subject to the approval of the board of directors of the applicable Vant, as well as certain rights related to his Vant equity. These Vant incentive equity awards typically have a one year vesting period, measured in twelve (12) successive equal monthly installments, starting from the date one month after the grant date, subject to Dr. Torti’s continuous service with the Vant or an affiliate through each applicable vesting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Benefits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Benefit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participate in employee benefit programs available to our employees generally, including health, dental and vision insurance and a tax-qualified 401(k) plan maintained by RSI.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5" w:name="ny20073886x1_def14a_108-comp_pg24"/>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RSI maintains a 401(k) retirement savings plan for our U.S. employees, including our NEOs, who satisfy certain eligibility requirements. The 401(k) plan is intended to qualify as a tax-qualified plan under the Internal Revenue Code, and our NEOs are eligible to participate in the 401(k) plan on the same basis as our other employees. We believe that providing a vehicle for tax-deferred retirement savings through our 401(k) plan adds to the overall desirability of our executive compensation package and further incentivizes our employees, including our NEOs, in accordance with our compensation policies.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RSI’s 401(k) plan, eligible employees (including the NEOs) are able to defer up to 90% of their eligible compensation subject to applicable annual limits under the Internal Revenue Code. All participants are 100% vested in their deferrals when contributed. Currently, RSI provides matching contributions for employees’ pre-tax and post-tax (ROTH) contributions on a dollar-for-dollar basis up to $10,800 per calendar year per employee. These matching contributions generally become vested after two years of service by an employee.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Roivant nor its subsidiaries maintained any executive-specific benefit or perquisite programs in Fiscal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Amended and Restated 2015 Equity Incentive Plan</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the 2015 EIP, under which eligible participants may be granted equity awards. Following the completion of the Company’s business combination transaction with Montes Archimedes Acquisition Corp. in September 2021, no further awards will be granted under the 2015 EIP. Any awards outstanding under the 2015 EIP will remain subject to the terms of the 2015 EIP and the applicable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2015 EIP provides that, in the event of a “change in control” (as defined in the 2015 EIP), the Board of Directors may take certain actions with respect to outstanding awards, including the continuation or assumption of awards, substitution or replacement of awards by a successor entity, acceleration of vesting and lapse of restrictions or cancellation of awards in consideration of a payment.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2021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2021 EIP became effective on September 29, 2021. The 2021 EIP is administered by the Board of Directors, which may delegate its duties and responsibilities to one or more committees of its directors, and provides for the grant of equity-based awards to our employees, consultants and directors (including individuals who have accepted an offer of employment or service from us or our affiliates) in the form of stock options (including incentive stock options and nonqualified stock options), stock appreciation rights, restricted stock, restricted stock units, performance stock units or other stock-based awards. The 2021 EIP will expire on the tenth anniversary of its effective date, unless terminated earlier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60,944,783 common shares were available for issuance pursuant to the 2021 EIP. The number of common shares available for issuance under the 2021 EIP is subject to an annual increase on April 1 of each year equal to the lesser of (i) 5% of the common shares outstanding as of the last day of the immediately preceding fiscal year of the Company and (ii) a number of common shares as determined by the Board of Directors (an “Evergreen Increase”). Prior to April 1, 2025, our Board of Directors resolved to defer its decision regarding the size of the annual Evergreen Increase until later in the fiscal year ending March 31, 2026, and on February 25, 2026, our board of directors approved an Evergreen Increase by an amount representing 5% of the common shares outstanding as of March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as defined in the 2021 EIP, the Compensation Committee may take certain actions with respect to outstanding awards, including the continuation or assumption of awards, substitution or replacement of awards by a successor entity, acceleration of vesting and lapse of restrictions, determination of the attainment of performance conditions for performance awards or cancellation of awards in consideration of a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6" w:name="ny20073886x1_def14a_108-comp_pg25"/>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Roivant Sciences Ltd. 2021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Roivant Sciences Ltd. 2021 Employee Stock Purchase Plan (the “ESPP”) became effective on September 29, 2021 (as amended on March 27, 2023). The ESPP is administered by the Compensation Committee and provides our employees and employees of certain participating subsidiaries, including our NEOs, with an opportunity to acquire a proprietary interest in the Company through the purchase of our common shares. The ESPP is intended to qualify as an “employee stock purchase plan” under Section 423 of the Internal Revenue Code of 1986 (the “Code”). The ESPP will expire on the tenth anniversary of its effective date, unless terminated earlier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eligible employees, including our NEOs, may purchase our common shares pursuant to our ESPP at a 15% discount to the lesser of the fair market value of our common shares on (i) the first trading day of the applicable offering period or (ii) the last trading day of the offering period, subject to certain specified limits in the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27,959,085 common shares were available for issuance under the ESPP. The number of common shares available for issuance under the ESPP is subject to an annual increase on April 1 of each year, equal to the least of (i) 13,900,000 common shares, (ii) 1% of the aggregate number of common shares outstanding (on a fully diluted basis) on the last day of the immediately preceding fiscal year of the Company and (iii) a number of common shares as determined by the Board of Directors. The overall maximum number of our common shares that may be issued under the ESPP (including shares added pursuant to the annual increase described above) is 147,447,650 common shares. Prior to April 1, 2025, the Board of Directors resolved not to increase the number of common shares available for issuance under the ESPP on April 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Equity-Related Compensation Policies and Practices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Granting Practices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do not have a formal policy with respect to the timing of grants of our incentive equity awards, the Compensation Committee has historically granted such awards on a predetermined annual schedule during the first quarter of our fiscal year. We also periodically grant off-cycle incentive equity awards in connection with specific circumstances such as new hires, promotions, special incentive or retention efforts or as replacement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never granted, and has no plans to grant, any equity award to current or new employees in anticipation of the release of material nonpublic information, and we do not accelerate or delay the release of material nonpublic information based on equity award grant dates or for the purpose of affecting the value of executive compensation. The exercise price of stock options is no less than the closing price of our stock on the effective date of the grant.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Recoupment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Compensation Recoupment Policy that complies with the requirements of the Dodd-Frank Act set out in Section 10D of the Exchange Act and Nasdaq listing rules and which provides for the recoupment of certain incentive compensation received by our executive officers in the event of an accounting restatement resulting from material noncompliance with financial reporting requirements under U.S. federal securities laws.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Insider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an insider trading policy that governs the purchase, sale, and other dispositions of Roivant securities by directors, officers and employees, and which is reasonably designed to promote compliance with insider trading laws, rules and regulations. It is also the policy of the Company to comply with all applicable securities laws when transacting in Roivant securities. The insider trading policy applies to consultants and independent contractors at the Company’s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insider trading policy prohibits our officers, directors and employees from purchasing financial instruments (including prepaid variable forward contracts, equity swaps and collars), or otherwise engaging in transactions that hedge or offset, or are designed to hedge or offset, any decrease in the market value of our stock. A copy of our insider trading policy can be found as Exhibit 19 to our Annual Report on Form 10-K for the year ended March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7" w:name="ny20073886x1_def14a_108-comp_pg26"/>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Policies and Practices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Tax and Accounting Considerations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Section 162(m)</w:t>
      </w:r>
      <w:r>
        <w:rPr>
          <w:rFonts w:ascii="Times New Roman;Times;serif" w:hAnsi="Times New Roman;Times;serif"/>
          <w:i w:val="false"/>
          <w:caps w:val="false"/>
          <w:smallCaps w:val="false"/>
          <w:color w:val="000000"/>
          <w:sz w:val="20"/>
        </w:rPr>
        <w:t xml:space="preserve">. When reviewing compensation matters, our Compensation Committee considers the anticipated tax consequences to us (and, when relevant, to our executive officers) of the various payments under our compensation programs. Section 162(m) of the Code generally disallows a tax deduction for any publicly held corporation for individual compensation of more than $1.0 million in any taxable year to certain executive officers. Our Committee, after considering the potential impact of the application of Section 162(m) of the Code, may provide compensation to executive officers that may not be tax deductible if it believes that providing that compensation is in the best interests of us and our shareholders.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Accounting for Stock-Based Compensation. </w:t>
      </w:r>
      <w:r>
        <w:rPr>
          <w:rFonts w:ascii="Times New Roman;Times;serif" w:hAnsi="Times New Roman;Times;serif"/>
          <w:i w:val="false"/>
          <w:caps w:val="false"/>
          <w:smallCaps w:val="false"/>
          <w:color w:val="000000"/>
          <w:sz w:val="20"/>
        </w:rPr>
        <w:t xml:space="preserve">We follow the Topic 718, for our stock-based compensation awards. Topic 718 requires companies to calculate the grant date “fair value” of their stock-based awards using a variety of assumptions. Topic 718 also requires companies to recognize the compensation cost of their stock-based awards in their income statements over the period that an employee is required to render service in exchange for the award. Grants of PSUs, RSUs and stock options under our incentive equity award plans are accounted for under Topic 718. Our Board of Directors or our Compensation Committee will regularly consider the accounting implications of significant compensation decisions, especially in connection with decisions that relate to our incentive equity award plans and programs. As accounting standards change, our Compensation Committee may revise certain programs to appropriately align accounting expenses of equity awards with the overall executive compensation philosophy and objectives.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Risk 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framework used for making compensation decisions is multi-faceted as it incorporates multiple metrics over varying time periods and is subject to the application of informed judgment by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further ensure that the interests of our NEOs are aligned with those of our shareholders, a significant portion of executive officer long-term incentive compensation is awarded as equity subject to vesting requirements.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these features we believe our executive compensation program effectively (i) ensures that our compensation opportunities do not encourage excessive risk taking, (ii) keeps our named executive officers focused on the creation of long-term, sustainable value for our shareholders and (iii) provides competitive and appropriate levels of compensation over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consultation with management, the Compensation Committee has reviewed and assessed our compensation plans, policies and practices for our employees, including our NEOs. Based on that assessment, the Compensation Committee believes that these practices do not encourage excessive or unnecessary risk-taking or create risks that are reasonably likely to have a material adverse effect on our company, concluding that the following factors mitigate any potential risks: balanced pay mix; emphasis on long-term incentive equity compensation tied to service and performance conditions; the overall amount of compensation and internal control and oversight by the Compensation Committee and our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 of the Compensation Committee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the section captioned “Compensation Discussion and Analysis” with management. Based on such review and discussions, the Compensation Committee recommended to the Board of Directors that this “Compensation Discussion and Analysis” section be included in this Proxy Statement.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Respectfully submitted by the members of the Compensation Committee of the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Daniel Gold (Chairperson)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Ilan Oren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58" w:name="ny20073886x1_def14a_109-sumcomp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paid to our NEOs for the fiscal years noted. </w:t>
      </w:r>
    </w:p>
    <w:tbl>
      <w:tblPr>
        <w:tblW w:w="10745" w:type="dxa"/>
        <w:jc w:val="left"/>
        <w:tblInd w:w="0" w:type="dxa"/>
        <w:tblLayout w:type="fixed"/>
        <w:tblCellMar>
          <w:top w:w="0" w:type="dxa"/>
          <w:left w:w="0" w:type="dxa"/>
          <w:bottom w:w="0" w:type="dxa"/>
          <w:right w:w="0" w:type="dxa"/>
        </w:tblCellMar>
      </w:tblPr>
      <w:tblGrid>
        <w:gridCol w:w="935"/>
        <w:gridCol w:w="170"/>
        <w:gridCol w:w="170"/>
        <w:gridCol w:w="425"/>
        <w:gridCol w:w="170"/>
        <w:gridCol w:w="170"/>
        <w:gridCol w:w="725"/>
        <w:gridCol w:w="170"/>
        <w:gridCol w:w="170"/>
        <w:gridCol w:w="950"/>
        <w:gridCol w:w="170"/>
        <w:gridCol w:w="170"/>
        <w:gridCol w:w="1040"/>
        <w:gridCol w:w="170"/>
        <w:gridCol w:w="170"/>
        <w:gridCol w:w="860"/>
        <w:gridCol w:w="170"/>
        <w:gridCol w:w="170"/>
        <w:gridCol w:w="980"/>
        <w:gridCol w:w="170"/>
        <w:gridCol w:w="170"/>
        <w:gridCol w:w="1025"/>
        <w:gridCol w:w="170"/>
        <w:gridCol w:w="170"/>
        <w:gridCol w:w="1085"/>
      </w:tblGrid>
      <w:tr>
        <w:trPr/>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935" w:type="dxa"/>
            <w:tcBorders>
              <w:bottom w:val="single" w:sz="8" w:space="0" w:color="000000"/>
            </w:tcBorders>
            <w:tcMar>
              <w:bottom w:w="49"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 and Principal Position</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Fiscal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Bonus</w:t>
            </w:r>
            <w:r>
              <w:rPr>
                <w:rFonts w:ascii="Times New Roman;Times;serif" w:hAnsi="Times New Roman;Time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Compensation</w:t>
            </w:r>
            <w:r>
              <w:rPr>
                <w:rFonts w:ascii="Times New Roman;Times;serif" w:hAnsi="Times New Roman;Times;serif"/>
                <w:b/>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9"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tc>
      </w:tr>
      <w:tr>
        <w:trPr/>
        <w:tc>
          <w:tcPr>
            <w:tcW w:w="9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Matthew Gline</w:t>
            </w:r>
          </w:p>
          <w:p>
            <w:pPr>
              <w:pStyle w:val="TableContents"/>
              <w:bidi w:val="0"/>
              <w:spacing w:before="0" w:after="283"/>
              <w:ind w:left="164" w:right="0" w:hanging="0"/>
              <w:jc w:val="left"/>
              <w:rPr>
                <w:rFonts w:ascii="Times New Roman;Times;serif" w:hAnsi="Times New Roman;Times;serif"/>
                <w:i/>
                <w:color w:val="000000"/>
                <w:sz w:val="16"/>
              </w:rPr>
            </w:pPr>
            <w:r>
              <w:rPr>
                <w:rFonts w:ascii="Times New Roman;Times;serif" w:hAnsi="Times New Roman;Times;serif"/>
                <w:i/>
                <w:color w:val="000000"/>
                <w:sz w:val="16"/>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2,359,250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11,940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3,096,190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4,978,875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$157,577,851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$163,293,744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$725,000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13,189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738,189 </w:t>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Pulik</w:t>
            </w:r>
          </w:p>
          <w:p>
            <w:pPr>
              <w:pStyle w:val="TableContents"/>
              <w:bidi w:val="0"/>
              <w:spacing w:before="0" w:after="283"/>
              <w:ind w:left="164" w:right="0" w:hanging="0"/>
              <w:jc w:val="left"/>
              <w:rPr>
                <w:rFonts w:ascii="Times New Roman;Times;serif" w:hAnsi="Times New Roman;Times;serif"/>
                <w:i/>
                <w:color w:val="000000"/>
                <w:sz w:val="16"/>
              </w:rPr>
            </w:pPr>
            <w:r>
              <w:rPr>
                <w:rFonts w:ascii="Times New Roman;Times;serif" w:hAnsi="Times New Roman;Times;serif"/>
                <w:i/>
                <w:color w:val="000000"/>
                <w:sz w:val="16"/>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1,277,130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1,420,299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$1,018,269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24,021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4,190,602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$437,750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1,113,674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410,061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$2,163,910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4,127,151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$425,000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1,846,250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587,048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$2,273,748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17,388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5,149,434 </w:t>
            </w:r>
          </w:p>
        </w:tc>
      </w:tr>
      <w:tr>
        <w:trPr/>
        <w:tc>
          <w:tcPr>
            <w:tcW w:w="93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Mayukh Sukhatme</w:t>
            </w:r>
          </w:p>
          <w:p>
            <w:pPr>
              <w:pStyle w:val="TableContents"/>
              <w:bidi w:val="0"/>
              <w:spacing w:before="0" w:after="283"/>
              <w:ind w:left="164" w:right="0" w:hanging="0"/>
              <w:jc w:val="left"/>
              <w:rPr>
                <w:rFonts w:ascii="Times New Roman;Times;serif" w:hAnsi="Times New Roman;Times;serif"/>
                <w:i/>
                <w:color w:val="000000"/>
                <w:sz w:val="16"/>
              </w:rPr>
            </w:pPr>
            <w:r>
              <w:rPr>
                <w:rFonts w:ascii="Times New Roman;Times;serif" w:hAnsi="Times New Roman;Times;serif"/>
                <w:i/>
                <w:color w:val="000000"/>
                <w:sz w:val="16"/>
              </w:rPr>
              <w:t>President and Chief Investment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704,000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22,655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1,276,655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$81,069,750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$170,217,983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21,032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$251,858,764 </w:t>
            </w:r>
          </w:p>
        </w:tc>
      </w:tr>
      <w:tr>
        <w:trPr/>
        <w:tc>
          <w:tcPr>
            <w:tcW w:w="93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24,560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574,560 </w:t>
            </w:r>
          </w:p>
        </w:tc>
      </w:tr>
      <w:tr>
        <w:trPr/>
        <w:tc>
          <w:tcPr>
            <w:tcW w:w="93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Eric Venker</w:t>
            </w:r>
          </w:p>
          <w:p>
            <w:pPr>
              <w:pStyle w:val="TableContents"/>
              <w:bidi w:val="0"/>
              <w:spacing w:before="0" w:after="283"/>
              <w:ind w:left="164" w:right="0" w:hanging="0"/>
              <w:jc w:val="left"/>
              <w:rPr>
                <w:rFonts w:ascii="Times New Roman;Times;serif" w:hAnsi="Times New Roman;Times;serif"/>
                <w:i/>
                <w:color w:val="000000"/>
                <w:sz w:val="16"/>
              </w:rPr>
            </w:pPr>
            <w:r>
              <w:rPr>
                <w:rFonts w:ascii="Times New Roman;Times;serif" w:hAnsi="Times New Roman;Times;serif"/>
                <w:i/>
                <w:color w:val="000000"/>
                <w:sz w:val="16"/>
              </w:rPr>
              <w:t>President and Immunovant CEO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75,000</w:t>
            </w:r>
            <w:r>
              <w:rPr>
                <w:rFonts w:ascii="Times New Roman;Times;serif" w:hAnsi="Times New Roman;Times;serif"/>
                <w:color w:val="000000"/>
                <w:position w:val="5"/>
                <w:sz w:val="13"/>
                <w:sz w:val="16"/>
              </w:rPr>
              <w:t>(5)</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1,899,316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2,261,908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$20,163,986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24,400,210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$600,208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6,038,175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2,203,200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$2,933,103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32,736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11,807,422 </w:t>
            </w:r>
          </w:p>
        </w:tc>
      </w:tr>
      <w:tr>
        <w:trPr/>
        <w:tc>
          <w:tcPr>
            <w:tcW w:w="9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$570,000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62,420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632,420 </w:t>
            </w:r>
          </w:p>
        </w:tc>
      </w:tr>
      <w:tr>
        <w:trPr/>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Frank Torti</w:t>
            </w:r>
          </w:p>
          <w:p>
            <w:pPr>
              <w:pStyle w:val="TableContents"/>
              <w:bidi w:val="0"/>
              <w:spacing w:before="0" w:after="283"/>
              <w:ind w:left="164" w:right="0" w:hanging="0"/>
              <w:jc w:val="left"/>
              <w:rPr>
                <w:rFonts w:ascii="Times New Roman;Times;serif" w:hAnsi="Times New Roman;Times;serif"/>
                <w:i/>
                <w:color w:val="000000"/>
                <w:sz w:val="16"/>
              </w:rPr>
            </w:pPr>
            <w:r>
              <w:rPr>
                <w:rFonts w:ascii="Times New Roman;Times;serif" w:hAnsi="Times New Roman;Times;serif"/>
                <w:i/>
                <w:color w:val="000000"/>
                <w:sz w:val="16"/>
              </w:rPr>
              <w:t>President and Vant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$725,000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8,428,000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$109,338,796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4,808,770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$123,300,566</w:t>
            </w:r>
          </w:p>
        </w:tc>
      </w:tr>
      <w:tr>
        <w:trPr/>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Note: Certain amounts may not sum due to rounding.</w:t>
      </w:r>
      <w:r>
        <w:rPr>
          <w:rFonts w:ascii="Times New Roman;Times;serif" w:hAnsi="Times New Roman;Times;serif"/>
          <w:i/>
          <w:caps w:val="false"/>
          <w:smallCaps w:val="false"/>
          <w:color w:val="000000"/>
          <w:sz w:val="16"/>
        </w:rPr>
        <w:t xml:space="preserve">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Torti, compensation information is presented for Fiscal 2025 only, as he was not a named executive officer in Fiscal 2023 or Fiscal 2024.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include (i) an annual cash discretionary performance bonus (an “annual bonus”) that was earned and paid based on an assessment by the Compensation Committee of the Board of Directors of overall Company performance in Fiscal 2025 and (ii) for Mr. Gline, Mr. Pulik and Dr. Venker, the portion of the previously disclosed one-time cash retention awards (a “retention award”) that vested and was paid in Fiscal 2025. Dr. Torti also received a retention award in Fiscal 2025, which is reflected in this column. For more information on these annual bonuses and retention awards, please refer to “—Short-Term Incentives: Annual Cash Bonuses” above.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Gline, the amount reported in this column for Fiscal 2025 reflects (i) an annual bonus of $928,000 and (ii) a retention award of $1,431,250, representing the remaining 25% of Mr. Gline’s total retention award approved in July 2024; 75% of the retention award vested and was paid in Fiscal 2024; the retention award fully vested on September 19, 2025.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Pulik, the amount reported in this column for Fiscal 2025 reflects (i) an annual bonus of $577,130 and (ii) a retention award of $700,000, representing the remaining 25% of Mr. Pulik’s total retention award approved in December 2023; 50% of the retention award vested and was paid in Fiscal 2023 and 25% of the retention award vested and was paid in Fiscal 2024; the retention award fully vested on September 19, 2025. </w:t>
            </w:r>
          </w:p>
        </w:tc>
      </w:tr>
    </w:tbl>
    <w:tbl>
      <w:tblPr>
        <w:tblW w:w="7930" w:type="dxa"/>
        <w:jc w:val="left"/>
        <w:tblInd w:w="0" w:type="dxa"/>
        <w:tblLayout w:type="fixed"/>
        <w:tblCellMar>
          <w:top w:w="0" w:type="dxa"/>
          <w:left w:w="0" w:type="dxa"/>
          <w:bottom w:w="0" w:type="dxa"/>
          <w:right w:w="0" w:type="dxa"/>
        </w:tblCellMar>
      </w:tblPr>
      <w:tblGrid>
        <w:gridCol w:w="245"/>
        <w:gridCol w:w="7685"/>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76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Sukhatme, the amount reported in this column for Fiscal 2025 reflects an annual bonus of $704,000.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Venker, the amount reported in this column for Fiscal 2025 reflects (i) a prorated annual bonus of $33,066 (relating to the portion of Fiscal 2025 prior to his appointment as Immunovant CEO) and (ii) a retention award of $1,866,250, representing the remaining 25% of Dr. Venker’s total retention award approved in July 2024; 75% of the retention award vested and was paid in Fiscal 2024; the retention award fully vested on September 19, 2025.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Torti, the amount reported in this column for Fiscal 2025 reflects (i) an annual bonus of $928,000 and (ii) a one-time, lump sum cash retention award of $7,500,000.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these columns represent the aggregate grant date fair value of the awards of stock options, RSUs, RSAs and PSUs granted to the applicable NEO, if any, during the applicable fiscal year under the Roivant Sciences Ltd. 2021 EIP. The grant date fair value was calculated in accordance with FASB ASC Topic 718 (“Topic 718”), excluding the effect of estimated forfeitures. For stock options, the grant date fair value was calculated using the Black-Scholes stock option pricing model, in accordance with FASB ASC Subtopic 718-10. The amounts reported for any awards subject to performance conditions were calculated based on the probable outcome of the performance conditions as of the grant date, consistent with the estimate of aggregate compensation cost to be recognized over the service period determined as of the grant date under Topic 718, excluding the effect of estimated forfeitures. The assumptions used in calculating such grant date fair value are set forth in the notes to Roivant’s audited consolidated financial statements included in the Company’s Annual Report on Form 10-K for the fiscal year ended March 31, 2026, previously filed with the SEC. For Dr. Venker, the amount reflected in the Stock Awards column represents only the grant date fair value of the RSU award granted by the Company to Dr. Venker in Fiscal 2025. For information on the equity awards granted to Dr. Venker by our subsidiary Immunovant, see footnote 4 to the “All Other Compensation” column above and the “Compensation Discussion &amp; Analysis—Roivant and Immunovant Equity Awards Granted to Dr. Venker” section of this Proxy Statement. The amounts reported in this column reflect the aggregate accounting cost for these equity awards, and do not correspond to the actual economic value that may be received by the NEOs upon the exercise of the stock options, the vesting and settlement of the RSUs or PSUs or any sale of RSAs or the common shares underlying those awards. </w:t>
            </w:r>
          </w:p>
        </w:tc>
      </w:tr>
    </w:tbl>
    <w:tbl>
      <w:tblPr>
        <w:tblW w:w="5545" w:type="dxa"/>
        <w:jc w:val="left"/>
        <w:tblInd w:w="0" w:type="dxa"/>
        <w:tblLayout w:type="fixed"/>
        <w:tblCellMar>
          <w:top w:w="0" w:type="dxa"/>
          <w:left w:w="0" w:type="dxa"/>
          <w:bottom w:w="0" w:type="dxa"/>
          <w:right w:w="0" w:type="dxa"/>
        </w:tblCellMar>
      </w:tblPr>
      <w:tblGrid>
        <w:gridCol w:w="260"/>
        <w:gridCol w:w="52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for Fiscal 2025 in this column reflect the following: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Gline (i) matching contributions under RSI’s 401(k) plan ($10,800), (ii) cell phone reimbursement ($600) and (iii) group life insurance coverage ($540).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59" w:name="ny20073886x1_def14a_109-sumcomp_pg2"/>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Mr. Pulik (i) matching contributions under RSI’s 401(k) plan ($16,988), (ii) group life insurance coverage ($810), (iii) cell phone reimbursement ($600), (iv) transportation benefits ($4,903) and (v) gym membership ($720).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Sukhatme (i) matching contributions under RSI’s 401(k) plan ($10,800), (ii) group life insurance coverage ($1,035), (iii) cell phone reimbursement ($550) and (iv) transportation benefits ($10,270).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Venker (i) compensation from RSI consisting of (a) matching contributions under RSI’s 401(k) plan ($4,382), (b) group life insurance coverage ($237) and (c) cell phone reimbursement ($600) and (ii) compensation from Immunovant consisting of (a) a base salary ($636,618), (b) an annual cash bonus ($503,345), (c) Immunovant incentive equity awards with an aggregate grant date fair value calculated in accordance with Topic 718 ($19,010,639) and (d) other compensation ($8,165). For additional details regarding the Immunovant equity awards granted to Dr. Venker during Fiscal 2025, please refer to the “Compensation Discussion &amp; Analysis—Roivant and Immunovant Equity Awards Granted to Dr. Venker” section of this Proxy Statement and the Proxy Statement for Immunovant’s Annual Meeting of Shareholders filed with the SEC on July 22, 2026. The assumptions used in calculating such grant date fair value of the Immunovant equity awards are set forth in the notes to Immunovant’s audited consolidated financial statements included in Immunovant’s Annual Report on Form 10-K for the fiscal year ended March 31, 2026, previously filed with the SEC. The amounts paid to or earned by Dr. Venker in his capacity as Chief Executive Officer of Immunovant were approved in a separate, independent process by Immunovant’s Compensation Committee, and were not determined by Roivant’s Compensation Committee.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Dr. Torti (i) compensation from RSI consisting of (a) matching contributions under RSI’s 401(k) plan ($10,800), (b) group life insurance coverage ($810) and (c) cell phone reimbursement ($600), (ii) compensation from Immunovant consisting of (a) board fees ($92,500) and (b) Immunovant incentive equity awards with an aggregate grant date fair value calculated in accordance with Topic 718 ($4,001,728), (iii) fees received by Dr. Torti in Fiscal 2025 for his service on the board of directors of a private company subsidiary of Roivant ($42,500), (iv) compensation received as part of an exchange of shares of a private company subsidiary of Roivant for Roivant equity ($659,700), and (v) incentive equity awards granted by a private company subsidiary of Roivant with an aggregate grant date fair value calculated in accordance with Topic 718 ($132). For additional details regarding the Immunovant equity awards granted to Dr. Torti during Fiscal 2025, please refer to the Proxy Statement for Immunovant’s Annual Meeting of Shareholders filed with the SEC on July 22, 2026. The assumptions used in calculating such grant date fair value of the Immunovant equity awards are set forth in the notes to Immunovant’s audited consolidated financial statements included in Immunovant’s Annual Report on Form 10-K for the fiscal year ended March 31, 2026, previously filed with the SEC. The amounts paid to or earned by Dr. Torti in his capacity as a director on the Board of Immunovant were approved in a separate, independent process by Immunovant’s Board, and were not determined by Roivant’s Board or Compensation Committee.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reflects only the base salary paid to Dr. Venker by RSI. For information on Dr. Venker’s compensation received from our subsidiary Immunovant, see footnote 4 to the “All Other Compensation” column above.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Grants of Plan-Based Awards for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awards, including stock options, RSUs, restricted stock awards (“RSAs”) and PSUs, granted to our NEOs by the Company during Fiscal 2025. For a description of the types of awards indicated below, please refer to “Compensation Discussion &amp; Analysis” above. For information on equity awards granted by our subsidiary Immunovant to Dr. Venker, please refer to “Compensation Discussion &amp; Analysis—Roivant and Immunovant Equity Awards Granted to Dr. Venker” above. </w:t>
      </w:r>
    </w:p>
    <w:tbl>
      <w:tblPr>
        <w:tblW w:w="10670" w:type="dxa"/>
        <w:jc w:val="left"/>
        <w:tblInd w:w="0" w:type="dxa"/>
        <w:tblLayout w:type="fixed"/>
        <w:tblCellMar>
          <w:top w:w="0" w:type="dxa"/>
          <w:left w:w="0" w:type="dxa"/>
          <w:bottom w:w="0" w:type="dxa"/>
          <w:right w:w="0" w:type="dxa"/>
        </w:tblCellMar>
      </w:tblPr>
      <w:tblGrid>
        <w:gridCol w:w="665"/>
        <w:gridCol w:w="170"/>
        <w:gridCol w:w="170"/>
        <w:gridCol w:w="440"/>
        <w:gridCol w:w="170"/>
        <w:gridCol w:w="170"/>
        <w:gridCol w:w="665"/>
        <w:gridCol w:w="170"/>
        <w:gridCol w:w="170"/>
        <w:gridCol w:w="485"/>
        <w:gridCol w:w="170"/>
        <w:gridCol w:w="170"/>
        <w:gridCol w:w="725"/>
        <w:gridCol w:w="170"/>
        <w:gridCol w:w="170"/>
        <w:gridCol w:w="665"/>
        <w:gridCol w:w="170"/>
        <w:gridCol w:w="170"/>
        <w:gridCol w:w="740"/>
        <w:gridCol w:w="170"/>
        <w:gridCol w:w="170"/>
        <w:gridCol w:w="665"/>
        <w:gridCol w:w="170"/>
        <w:gridCol w:w="170"/>
        <w:gridCol w:w="785"/>
        <w:gridCol w:w="170"/>
        <w:gridCol w:w="170"/>
        <w:gridCol w:w="575"/>
        <w:gridCol w:w="170"/>
        <w:gridCol w:w="170"/>
        <w:gridCol w:w="860"/>
      </w:tblGrid>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gridSpan w:val="10"/>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gridSpan w:val="7"/>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gridSpan w:val="7"/>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Estimated Future Payouts Under 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Awards (PSUs)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05" w:type="dxa"/>
            <w:gridSpan w:val="10"/>
            <w:tcBorders/>
            <w:vAlign w:val="center"/>
          </w:tcPr>
          <w:p>
            <w:pPr>
              <w:pStyle w:val="TableContents"/>
              <w:bidi w:val="0"/>
              <w:spacing w:before="0" w:after="0"/>
              <w:jc w:val="left"/>
              <w:rPr>
                <w:color w:val="000000"/>
              </w:rPr>
            </w:pPr>
            <w:r>
              <w:rPr>
                <w:color w:val="000000"/>
              </w:rPr>
              <w:t> </w:t>
            </w:r>
          </w:p>
        </w:tc>
      </w:tr>
      <w:tr>
        <w:trPr/>
        <w:tc>
          <w:tcPr>
            <w:tcW w:w="66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Approval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Threshold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Target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Maximum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Date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Fair 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and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0" w:right="0" w:hanging="0"/>
              <w:jc w:val="left"/>
              <w:rPr>
                <w:color w:val="000000"/>
              </w:rPr>
            </w:pPr>
            <w:r>
              <w:rPr>
                <w:color w:val="000000"/>
              </w:rPr>
              <w:t xml:space="preserve">—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4/21/2025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4/7/2025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 xml:space="preserve">Stock </w:t>
            </w:r>
          </w:p>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4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9" w:right="0" w:hanging="0"/>
              <w:jc w:val="left"/>
              <w:rPr>
                <w:rFonts w:ascii="Times New Roman;Times;serif" w:hAnsi="Times New Roman;Times;serif"/>
                <w:color w:val="000000"/>
                <w:sz w:val="15"/>
              </w:rPr>
            </w:pPr>
            <w:r>
              <w:rPr>
                <w:rFonts w:ascii="Times New Roman;Times;serif" w:hAnsi="Times New Roman;Times;serif"/>
                <w:color w:val="000000"/>
                <w:sz w:val="15"/>
              </w:rPr>
              <w:t>180,413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3" w:right="0" w:hanging="0"/>
              <w:jc w:val="left"/>
              <w:rPr>
                <w:rFonts w:ascii="Times New Roman;Times;serif" w:hAnsi="Times New Roman;Times;serif"/>
                <w:color w:val="000000"/>
                <w:sz w:val="15"/>
              </w:rPr>
            </w:pPr>
            <w:r>
              <w:rPr>
                <w:rFonts w:ascii="Times New Roman;Times;serif" w:hAnsi="Times New Roman;Times;serif"/>
                <w:color w:val="000000"/>
                <w:sz w:val="15"/>
              </w:rPr>
              <w:t>$10.04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1,018,269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4/21/2025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4/7/2025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46" w:right="0" w:hanging="0"/>
              <w:jc w:val="left"/>
              <w:rPr>
                <w:rFonts w:ascii="Times New Roman;Times;serif" w:hAnsi="Times New Roman;Times;serif"/>
                <w:color w:val="000000"/>
                <w:sz w:val="15"/>
              </w:rPr>
            </w:pPr>
            <w:r>
              <w:rPr>
                <w:rFonts w:ascii="Times New Roman;Times;serif" w:hAnsi="Times New Roman;Times;serif"/>
                <w:color w:val="000000"/>
                <w:sz w:val="15"/>
              </w:rPr>
              <w:t>141,464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1,420,299 </w:t>
            </w:r>
          </w:p>
        </w:tc>
      </w:tr>
      <w:tr>
        <w:trPr/>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Mayukh Sukhatme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0" w:right="0" w:hanging="0"/>
              <w:jc w:val="left"/>
              <w:rPr>
                <w:color w:val="000000"/>
              </w:rPr>
            </w:pPr>
            <w:r>
              <w:rPr>
                <w:color w:val="000000"/>
              </w:rPr>
              <w:t xml:space="preserve">—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Eric Venker</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7/10/2025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0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46" w:right="0" w:hanging="0"/>
              <w:jc w:val="left"/>
              <w:rPr>
                <w:rFonts w:ascii="Times New Roman;Times;serif" w:hAnsi="Times New Roman;Times;serif"/>
                <w:color w:val="000000"/>
                <w:sz w:val="15"/>
              </w:rPr>
            </w:pPr>
            <w:r>
              <w:rPr>
                <w:rFonts w:ascii="Times New Roman;Times;serif" w:hAnsi="Times New Roman;Times;serif"/>
                <w:color w:val="000000"/>
                <w:sz w:val="15"/>
              </w:rPr>
              <w:t>198,413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2,261,908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Frank Torti</w:t>
            </w:r>
            <w:r>
              <w:rPr>
                <w:rFonts w:ascii="Times New Roman;Times;serif" w:hAnsi="Times New Roman;Times;serif"/>
                <w:color w:val="000000"/>
                <w:position w:val="5"/>
                <w:sz w:val="12"/>
                <w:sz w:val="15"/>
              </w:rPr>
              <w:t>(4)</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7/10/2025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5"/>
              </w:rPr>
            </w:pPr>
            <w:r>
              <w:rPr>
                <w:rFonts w:ascii="Times New Roman;Times;serif" w:hAnsi="Times New Roman;Times;serif"/>
                <w:color w:val="000000"/>
                <w:sz w:val="15"/>
              </w:rPr>
              <w:t>1,836,547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$20,936,636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7/10/2025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PSU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1,750,490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15"/>
              </w:rPr>
            </w:pPr>
            <w:r>
              <w:rPr>
                <w:rFonts w:ascii="Times New Roman;Times;serif" w:hAnsi="Times New Roman;Times;serif"/>
                <w:color w:val="000000"/>
                <w:sz w:val="15"/>
              </w:rPr>
              <w:t>7,700,490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15"/>
              </w:rPr>
            </w:pPr>
            <w:r>
              <w:rPr>
                <w:rFonts w:ascii="Times New Roman;Times;serif" w:hAnsi="Times New Roman;Times;serif"/>
                <w:color w:val="000000"/>
                <w:sz w:val="15"/>
              </w:rPr>
              <w:t>11,900,000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$85,124,579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12/23/2025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11/25/2025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color w:val="000000"/>
                <w:sz w:val="15"/>
              </w:rPr>
            </w:pPr>
            <w:r>
              <w:rPr>
                <w:rFonts w:ascii="Times New Roman;Times;serif" w:hAnsi="Times New Roman;Times;serif"/>
                <w:color w:val="000000"/>
                <w:sz w:val="15"/>
              </w:rPr>
              <w:t>RSA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0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46" w:right="0" w:hanging="0"/>
              <w:jc w:val="left"/>
              <w:rPr>
                <w:rFonts w:ascii="Times New Roman;Times;serif" w:hAnsi="Times New Roman;Times;serif"/>
                <w:color w:val="000000"/>
                <w:sz w:val="15"/>
              </w:rPr>
            </w:pPr>
            <w:r>
              <w:rPr>
                <w:rFonts w:ascii="Times New Roman;Times;serif" w:hAnsi="Times New Roman;Times;serif"/>
                <w:color w:val="000000"/>
                <w:sz w:val="15"/>
              </w:rPr>
              <w:t>175,380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3,277,581</w:t>
            </w:r>
          </w:p>
        </w:tc>
      </w:tr>
      <w:tr>
        <w:trPr/>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“threshold” value shown above represents the number of PSUs that would be issued upon achievement of the vesting conditions, including the share price hurdle, for the first tranche of the PSUs with a $15.00 share price hurdle. The PSUs do not include a “target” achievement threshold. As a result, for this column we have used the Company’s trailing 30-day volume weighted average trading price per common share at March 31, 2026 ($28.19) in order to calculate a theoretical “target” value, in accordance with Regulation S-K Item 402(f)(2). At that 30-day volume weighted average trading price per common share, five of the six share price hurdles would have been satisfied. Accordingly, we have included under “target” the number of PSUs included in the first five tranches of PSUs. The “maximum” value shown above represents the number of PSUs that would be issued upon achievement of all six of the share price hurdles for the PSUs. For information on the vesting and other conditions of the PSU, RSU and stock option awards, please refer to “—Outstanding Equity Awards at 2025 Fiscal Year End.”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0" w:name="ny20073886x1_def14a_109-sumcomp_pg3"/>
        <w:bookmarkEnd w:id="60"/>
        <w:r>
          <w:rPr>
            <w:rStyle w:val="InternetLink"/>
            <w:rFonts w:ascii="Times New Roman;Times;Serif" w:hAnsi="Times New Roman;Times;Serif"/>
            <w:b/>
            <w:caps w:val="false"/>
            <w:smallCaps w:val="false"/>
            <w:color w:val="000000"/>
            <w:sz w:val="16"/>
          </w:rPr>
          <w:t>TABLE OF CONTENTS</w:t>
        </w:r>
      </w:hyperlink>
    </w:p>
    <w:tbl>
      <w:tblPr>
        <w:tblW w:w="8665" w:type="dxa"/>
        <w:jc w:val="left"/>
        <w:tblInd w:w="0" w:type="dxa"/>
        <w:tblLayout w:type="fixed"/>
        <w:tblCellMar>
          <w:top w:w="0" w:type="dxa"/>
          <w:left w:w="0" w:type="dxa"/>
          <w:bottom w:w="0" w:type="dxa"/>
          <w:right w:w="0" w:type="dxa"/>
        </w:tblCellMar>
      </w:tblPr>
      <w:tblGrid>
        <w:gridCol w:w="260"/>
        <w:gridCol w:w="84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the closing price of our common shares as reported on The Nasdaq Global Select Market on the date of grant.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represent the aggregate grant date fair value of the awards of stock options, RSUs, RSAs and PSUs granted to the applicable NEO, if any, during Fiscal 2025 under the 2021 EIP. The grant date fair value was calculated in accordance with Topic 718, excluding the effect of estimated forfeitures. For stock options, the grant date fair value was calculated using the Black-Scholes stock option pricing model, in accordance with FASB ASC Subtopic 718-10. The amounts reported for any awards subject to performance conditions were calculated based on the probable outcome of the performance conditions as of the grant date, consistent with the estimate of aggregate compensation cost to be recognized over the service period determined as of the grant date under Topic 718, excluding the effect of estimated forfeitures. The assumptions used in calculating such grant date fair value are set forth in the notes to Roivant’s audited consolidated financial statements included in the Company’s Annual Report on Form 10-K for the fiscal year ended March 31, 2026, previously filed with the SEC. The amounts reported in this column reflect the aggregate accounting cost for these equity awards, and do not correspond to the actual economic value that may be received by the NEOs upon the exercise of the stock options, the vesting and settlement of the RSUs or PSUs or any sale of RSAs or the common shares underlying those awards.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table for Dr. Venker and Dr. Torti do not include any equity incentive awards granted to each of them during Fiscal 2025 by Immunovant. For details regarding the Immunovant equity awards granted to Dr. Venker and Dr. Torti during Fiscal 2025, see footnote (4) to the Summary Compensation Table above and the Proxy Statement for Immunovant’s Annual Meeting of Shareholders filed with the SEC on July 22, 2026. The assumptions used in calculating such grant date fair value of the Immunovant equity awards are set forth in the notes to Immunovant’s audited consolidated financial statements included in Immunovant’s Annual Report on Form 10-K for the fiscal year ended March 31, 2026, previously filed with the SEC. The equity incentive awards granted to each of Dr. Torti and Dr. Venker in his capacity as Chief Executive Officer and a director on the Board of Directors, in each case of Immunovant, respectively, were approved in a separate, independent process by Immunovant’s Board or Compensation Committee, as applicable, and were not determined by Roivant’s Board or Compensation Committee.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2025 Fiscal Year 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Company equity awards held by our NEOs as of the end of Fiscal 2025. </w:t>
      </w:r>
    </w:p>
    <w:tbl>
      <w:tblPr>
        <w:tblW w:w="10565" w:type="dxa"/>
        <w:jc w:val="left"/>
        <w:tblInd w:w="0" w:type="dxa"/>
        <w:tblLayout w:type="fixed"/>
        <w:tblCellMar>
          <w:top w:w="0" w:type="dxa"/>
          <w:left w:w="0" w:type="dxa"/>
          <w:bottom w:w="0" w:type="dxa"/>
          <w:right w:w="0" w:type="dxa"/>
        </w:tblCellMar>
      </w:tblPr>
      <w:tblGrid>
        <w:gridCol w:w="665"/>
        <w:gridCol w:w="170"/>
        <w:gridCol w:w="170"/>
        <w:gridCol w:w="440"/>
        <w:gridCol w:w="170"/>
        <w:gridCol w:w="170"/>
        <w:gridCol w:w="815"/>
        <w:gridCol w:w="170"/>
        <w:gridCol w:w="170"/>
        <w:gridCol w:w="935"/>
        <w:gridCol w:w="170"/>
        <w:gridCol w:w="170"/>
        <w:gridCol w:w="575"/>
        <w:gridCol w:w="170"/>
        <w:gridCol w:w="170"/>
        <w:gridCol w:w="755"/>
        <w:gridCol w:w="170"/>
        <w:gridCol w:w="170"/>
        <w:gridCol w:w="785"/>
        <w:gridCol w:w="170"/>
        <w:gridCol w:w="170"/>
        <w:gridCol w:w="890"/>
        <w:gridCol w:w="170"/>
        <w:gridCol w:w="170"/>
        <w:gridCol w:w="710"/>
        <w:gridCol w:w="170"/>
        <w:gridCol w:w="170"/>
        <w:gridCol w:w="935"/>
      </w:tblGrid>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0"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40" w:type="dxa"/>
            <w:gridSpan w:val="10"/>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0" w:type="dxa"/>
            <w:gridSpan w:val="13"/>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40" w:type="dxa"/>
            <w:gridSpan w:val="10"/>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665" w:type="dxa"/>
            <w:tcBorders>
              <w:bottom w:val="single" w:sz="8" w:space="0" w:color="000000"/>
            </w:tcBorders>
            <w:tcMar>
              <w:bottom w:w="52"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Name </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Date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(j)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Matthew Gline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5/21/2018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231,193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5/20/2028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5/20/2020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877,860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$13.07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2,532,286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14,628,951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344,233</w:t>
            </w:r>
            <w:r>
              <w:rPr>
                <w:rFonts w:ascii="Times New Roman;Times;serif" w:hAnsi="Times New Roman;Times;serif"/>
                <w:color w:val="000000"/>
                <w:position w:val="5"/>
                <w:sz w:val="12"/>
                <w:sz w:val="15"/>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3.85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4/19/2032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2,203,856</w:t>
            </w:r>
            <w:r>
              <w:rPr>
                <w:rFonts w:ascii="Times New Roman;Times;serif" w:hAnsi="Times New Roman;Times;serif"/>
                <w:color w:val="000000"/>
                <w:position w:val="5"/>
                <w:sz w:val="12"/>
                <w:sz w:val="15"/>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61,046,811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9,350,595</w:t>
            </w:r>
            <w:r>
              <w:rPr>
                <w:rFonts w:ascii="Times New Roman;Times;serif" w:hAnsi="Times New Roman;Times;serif"/>
                <w:color w:val="000000"/>
                <w:position w:val="5"/>
                <w:sz w:val="12"/>
                <w:sz w:val="15"/>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259,011,482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5"/>
              </w:rPr>
            </w:pPr>
            <w:r>
              <w:rPr>
                <w:rFonts w:ascii="Times New Roman;Times;serif" w:hAnsi="Times New Roman;Times;serif"/>
                <w:color w:val="000000"/>
                <w:sz w:val="15"/>
              </w:rPr>
              <w:t>5,099,405</w:t>
            </w:r>
            <w:r>
              <w:rPr>
                <w:rFonts w:ascii="Times New Roman;Times;serif" w:hAnsi="Times New Roman;Times;serif"/>
                <w:color w:val="000000"/>
                <w:position w:val="5"/>
                <w:sz w:val="12"/>
                <w:sz w:val="15"/>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$141,253,519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10/20/2021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313,419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6.00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10/19/2031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719,167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20,833</w:t>
            </w:r>
            <w:r>
              <w:rPr>
                <w:rFonts w:ascii="Times New Roman;Times;serif" w:hAnsi="Times New Roman;Times;serif"/>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3.85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16,676</w:t>
            </w:r>
            <w:r>
              <w:rPr>
                <w:rFonts w:ascii="Times New Roman;Times;serif" w:hAnsi="Times New Roman;Times;serif"/>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461,925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279,633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103,863</w:t>
            </w:r>
            <w:r>
              <w:rPr>
                <w:rFonts w:ascii="Times New Roman;Times;serif" w:hAnsi="Times New Roman;Times;serif"/>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4/19/2033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21,760</w:t>
            </w:r>
            <w:r>
              <w:rPr>
                <w:rFonts w:ascii="Times New Roman;Times;serif" w:hAnsi="Times New Roman;Times;serif"/>
                <w:color w:val="000000"/>
                <w:position w:val="5"/>
                <w:sz w:val="12"/>
                <w:sz w:val="15"/>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602,752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4/22/2024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144,993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157,601</w:t>
            </w:r>
            <w:r>
              <w:rPr>
                <w:rFonts w:ascii="Times New Roman;Times;serif" w:hAnsi="Times New Roman;Times;serif"/>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141,464</w:t>
            </w:r>
            <w:r>
              <w:rPr>
                <w:rFonts w:ascii="Times New Roman;Times;serif" w:hAnsi="Times New Roman;Times;serif"/>
                <w:color w:val="000000"/>
                <w:position w:val="5"/>
                <w:sz w:val="12"/>
                <w:sz w:val="15"/>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3,918,553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sz w:val="4"/>
                <w:szCs w:val="4"/>
              </w:rPr>
            </w:pPr>
            <w:r>
              <w:rPr>
                <w:sz w:val="4"/>
                <w:szCs w:val="4"/>
              </w:rPr>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180,413</w:t>
            </w:r>
            <w:r>
              <w:rPr>
                <w:rFonts w:ascii="Times New Roman;Times;serif" w:hAnsi="Times New Roman;Times;serif"/>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$10.04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4/20/2035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Mayukh Sukhatme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5/20/2019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3,657,750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$10.96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5/19/2029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1,969,554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14,880,130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344,233</w:t>
            </w:r>
            <w:r>
              <w:rPr>
                <w:rFonts w:ascii="Times New Roman;Times;serif" w:hAnsi="Times New Roman;Times;serif"/>
                <w:color w:val="000000"/>
                <w:position w:val="5"/>
                <w:sz w:val="12"/>
                <w:sz w:val="15"/>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3.85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4/19/2032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1,469,237</w:t>
            </w:r>
            <w:r>
              <w:rPr>
                <w:rFonts w:ascii="Times New Roman;Times;serif" w:hAnsi="Times New Roman;Times;serif"/>
                <w:color w:val="000000"/>
                <w:position w:val="5"/>
                <w:sz w:val="12"/>
                <w:sz w:val="15"/>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40,697,865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4" w:right="0" w:hanging="0"/>
              <w:jc w:val="both"/>
              <w:rPr>
                <w:rFonts w:ascii="Times New Roman;Times;serif" w:hAnsi="Times New Roman;Times;serif"/>
                <w:color w:val="000000"/>
                <w:sz w:val="15"/>
              </w:rPr>
            </w:pPr>
            <w:r>
              <w:rPr>
                <w:rFonts w:ascii="Times New Roman;Times;serif" w:hAnsi="Times New Roman;Times;serif"/>
                <w:color w:val="000000"/>
                <w:sz w:val="15"/>
              </w:rPr>
              <w:t>11,000,700</w:t>
            </w:r>
            <w:r>
              <w:rPr>
                <w:rFonts w:ascii="Times New Roman;Times;serif" w:hAnsi="Times New Roman;Times;serif"/>
                <w:color w:val="000000"/>
                <w:position w:val="5"/>
                <w:sz w:val="12"/>
                <w:sz w:val="15"/>
              </w:rPr>
              <w:t>(3)</w:t>
            </w:r>
            <w:r>
              <w:rPr>
                <w:rFonts w:ascii="Times New Roman;Times;serif" w:hAnsi="Times New Roman;Times;serif"/>
                <w:color w:val="000000"/>
                <w:sz w:val="15"/>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$304,719,390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5"/>
              </w:rPr>
            </w:pPr>
            <w:r>
              <w:rPr>
                <w:rFonts w:ascii="Times New Roman;Times;serif" w:hAnsi="Times New Roman;Times;serif"/>
                <w:color w:val="000000"/>
                <w:sz w:val="15"/>
              </w:rPr>
              <w:t>5,999,300</w:t>
            </w:r>
            <w:r>
              <w:rPr>
                <w:rFonts w:ascii="Times New Roman;Times;serif" w:hAnsi="Times New Roman;Times;serif"/>
                <w:color w:val="000000"/>
                <w:position w:val="5"/>
                <w:sz w:val="12"/>
                <w:sz w:val="15"/>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$166,180,610 </w:t>
            </w:r>
          </w:p>
        </w:tc>
      </w:tr>
      <w:tr>
        <w:trPr/>
        <w:tc>
          <w:tcPr>
            <w:tcW w:w="6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Eric Venker</w:t>
            </w:r>
            <w:r>
              <w:rPr>
                <w:rFonts w:ascii="Times New Roman;Times;serif" w:hAnsi="Times New Roman;Times;serif"/>
                <w:color w:val="000000"/>
                <w:position w:val="5"/>
                <w:sz w:val="12"/>
                <w:sz w:val="15"/>
              </w:rPr>
              <w:t>(8)</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5/21/2018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70,702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5/20/2028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5/20/2019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292,620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$10.96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5/19/2029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5/20/2020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438,930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$13.07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5/19/2030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5/2/2021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1,969,557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5/1/2031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4/20/2022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4,500,601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344,233</w:t>
            </w:r>
            <w:r>
              <w:rPr>
                <w:rFonts w:ascii="Times New Roman;Times;serif" w:hAnsi="Times New Roman;Times;serif"/>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3.85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4/19/2032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114,750</w:t>
            </w:r>
            <w:r>
              <w:rPr>
                <w:rFonts w:ascii="Times New Roman;Times;serif" w:hAnsi="Times New Roman;Times;serif"/>
                <w:color w:val="000000"/>
                <w:position w:val="5"/>
                <w:sz w:val="12"/>
                <w:sz w:val="15"/>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3,178,575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7/26/2024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rFonts w:ascii="Times New Roman;Times;serif" w:hAnsi="Times New Roman;Times;serif"/>
                <w:color w:val="000000"/>
                <w:sz w:val="15"/>
              </w:rPr>
            </w:pPr>
            <w:r>
              <w:rPr>
                <w:rFonts w:ascii="Times New Roman;Times;serif" w:hAnsi="Times New Roman;Times;serif"/>
                <w:color w:val="000000"/>
                <w:sz w:val="15"/>
              </w:rPr>
              <w:t>187,458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221,542</w:t>
            </w:r>
            <w:r>
              <w:rPr>
                <w:rFonts w:ascii="Times New Roman;Times;serif" w:hAnsi="Times New Roman;Times;serif"/>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$10.80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rFonts w:ascii="Times New Roman;Times;serif" w:hAnsi="Times New Roman;Times;serif"/>
                <w:color w:val="000000"/>
                <w:sz w:val="15"/>
              </w:rPr>
            </w:pPr>
            <w:r>
              <w:rPr>
                <w:rFonts w:ascii="Times New Roman;Times;serif" w:hAnsi="Times New Roman;Times;serif"/>
                <w:color w:val="000000"/>
                <w:sz w:val="15"/>
              </w:rPr>
              <w:t>7/25/2034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4" w:right="0" w:hanging="0"/>
              <w:jc w:val="left"/>
              <w:rPr>
                <w:rFonts w:ascii="Times New Roman;Times;serif" w:hAnsi="Times New Roman;Times;serif"/>
                <w:color w:val="000000"/>
                <w:sz w:val="15"/>
              </w:rPr>
            </w:pPr>
            <w:r>
              <w:rPr>
                <w:rFonts w:ascii="Times New Roman;Times;serif" w:hAnsi="Times New Roman;Times;serif"/>
                <w:color w:val="000000"/>
                <w:sz w:val="15"/>
              </w:rPr>
              <w:t>198,413</w:t>
            </w:r>
            <w:r>
              <w:rPr>
                <w:rFonts w:ascii="Times New Roman;Times;serif" w:hAnsi="Times New Roman;Times;serif"/>
                <w:color w:val="000000"/>
                <w:position w:val="5"/>
                <w:sz w:val="12"/>
                <w:sz w:val="15"/>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5,496,040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9" w:right="0" w:hanging="0"/>
              <w:jc w:val="left"/>
              <w:rPr>
                <w:color w:val="000000"/>
              </w:rPr>
            </w:pPr>
            <w:r>
              <w:rPr>
                <w:color w:val="000000"/>
              </w:rPr>
              <w:t xml:space="preserve">— </w:t>
            </w:r>
          </w:p>
        </w:tc>
      </w:tr>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1" w:name="ny20073886x1_def14a_109-sumcomp_pg4"/>
        <w:bookmarkEnd w:id="61"/>
        <w:r>
          <w:rPr>
            <w:rStyle w:val="InternetLink"/>
            <w:rFonts w:ascii="Times New Roman;Times;Serif" w:hAnsi="Times New Roman;Times;Serif"/>
            <w:b/>
            <w:caps w:val="false"/>
            <w:smallCaps w:val="false"/>
            <w:color w:val="000000"/>
            <w:sz w:val="16"/>
          </w:rPr>
          <w:t>TABLE OF CONTENTS</w:t>
        </w:r>
      </w:hyperlink>
    </w:p>
    <w:tbl>
      <w:tblPr>
        <w:tblW w:w="10250" w:type="dxa"/>
        <w:jc w:val="left"/>
        <w:tblInd w:w="0" w:type="dxa"/>
        <w:tblLayout w:type="fixed"/>
        <w:tblCellMar>
          <w:top w:w="0" w:type="dxa"/>
          <w:left w:w="0" w:type="dxa"/>
          <w:bottom w:w="0" w:type="dxa"/>
          <w:right w:w="0" w:type="dxa"/>
        </w:tblCellMar>
      </w:tblPr>
      <w:tblGrid>
        <w:gridCol w:w="425"/>
        <w:gridCol w:w="170"/>
        <w:gridCol w:w="170"/>
        <w:gridCol w:w="440"/>
        <w:gridCol w:w="170"/>
        <w:gridCol w:w="170"/>
        <w:gridCol w:w="815"/>
        <w:gridCol w:w="170"/>
        <w:gridCol w:w="170"/>
        <w:gridCol w:w="935"/>
        <w:gridCol w:w="170"/>
        <w:gridCol w:w="170"/>
        <w:gridCol w:w="575"/>
        <w:gridCol w:w="170"/>
        <w:gridCol w:w="170"/>
        <w:gridCol w:w="755"/>
        <w:gridCol w:w="170"/>
        <w:gridCol w:w="170"/>
        <w:gridCol w:w="710"/>
        <w:gridCol w:w="170"/>
        <w:gridCol w:w="170"/>
        <w:gridCol w:w="890"/>
        <w:gridCol w:w="170"/>
        <w:gridCol w:w="170"/>
        <w:gridCol w:w="710"/>
        <w:gridCol w:w="170"/>
        <w:gridCol w:w="170"/>
        <w:gridCol w:w="93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0"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65" w:type="dxa"/>
            <w:gridSpan w:val="10"/>
            <w:tcBorders/>
            <w:vAlign w:val="center"/>
          </w:tcPr>
          <w:p>
            <w:pPr>
              <w:pStyle w:val="TableContents"/>
              <w:bidi w:val="0"/>
              <w:spacing w:before="0" w:after="0"/>
              <w:jc w:val="left"/>
              <w:rPr/>
            </w:pPr>
            <w:r>
              <w:rPr/>
              <w:t> </w:t>
            </w:r>
          </w:p>
        </w:tc>
      </w:tr>
      <w:tr>
        <w:trPr/>
        <w:tc>
          <w:tcPr>
            <w:tcW w:w="4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80" w:type="dxa"/>
            <w:gridSpan w:val="13"/>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65" w:type="dxa"/>
            <w:gridSpan w:val="10"/>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425" w:type="dxa"/>
            <w:tcBorders>
              <w:bottom w:val="single" w:sz="8" w:space="0" w:color="000000"/>
            </w:tcBorders>
            <w:tcMar>
              <w:bottom w:w="52"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Name </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Grant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Unexercisable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Date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shares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2"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Have Not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Vested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(j) </w:t>
            </w:r>
          </w:p>
        </w:tc>
      </w:tr>
      <w:tr>
        <w:trPr/>
        <w:tc>
          <w:tcPr>
            <w:tcW w:w="4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Frank Torti</w:t>
            </w:r>
            <w:r>
              <w:rPr>
                <w:rFonts w:ascii="Times New Roman;Times;serif" w:hAnsi="Times New Roman;Times;serif"/>
                <w:color w:val="000000"/>
                <w:position w:val="5"/>
                <w:sz w:val="12"/>
                <w:sz w:val="15"/>
              </w:rPr>
              <w:t>(8)</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9/20/2018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1,606,249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9/19/2028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4/22/2019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585,240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11.50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4/21/2029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8/20/2019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146,310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$10.08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8/19/2029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5/20/2020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219,465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$13.07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5/19/2030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5/2/2021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1,688,191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5/1/2031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4/20/2022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2,681,951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15"/>
              </w:rPr>
            </w:pPr>
            <w:r>
              <w:rPr>
                <w:rFonts w:ascii="Times New Roman;Times;serif" w:hAnsi="Times New Roman;Times;serif"/>
                <w:color w:val="000000"/>
                <w:sz w:val="15"/>
              </w:rPr>
              <w:t>344,233</w:t>
            </w:r>
            <w:r>
              <w:rPr>
                <w:rFonts w:ascii="Times New Roman;Times;serif" w:hAnsi="Times New Roman;Times;serif"/>
                <w:color w:val="000000"/>
                <w:position w:val="5"/>
                <w:sz w:val="12"/>
                <w:sz w:val="15"/>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15"/>
              </w:rPr>
            </w:pPr>
            <w:r>
              <w:rPr>
                <w:rFonts w:ascii="Times New Roman;Times;serif" w:hAnsi="Times New Roman;Times;serif"/>
                <w:color w:val="000000"/>
                <w:sz w:val="15"/>
              </w:rPr>
              <w:t>4/19/2032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rFonts w:ascii="Times New Roman;Times;serif" w:hAnsi="Times New Roman;Times;serif"/>
                <w:color w:val="000000"/>
                <w:sz w:val="15"/>
              </w:rPr>
            </w:pPr>
            <w:r>
              <w:rPr>
                <w:rFonts w:ascii="Times New Roman;Times;serif" w:hAnsi="Times New Roman;Times;serif"/>
                <w:color w:val="000000"/>
                <w:sz w:val="15"/>
              </w:rPr>
              <w:t>1,469,237</w:t>
            </w:r>
            <w:r>
              <w:rPr>
                <w:rFonts w:ascii="Times New Roman;Times;serif" w:hAnsi="Times New Roman;Times;serif"/>
                <w:color w:val="000000"/>
                <w:position w:val="5"/>
                <w:sz w:val="12"/>
                <w:sz w:val="15"/>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40,697,865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color w:val="000000"/>
              </w:rPr>
            </w:pPr>
            <w:r>
              <w:rPr>
                <w:color w:val="000000"/>
              </w:rPr>
              <w:t xml:space="preserve">—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15"/>
              </w:rPr>
            </w:pPr>
            <w:r>
              <w:rPr>
                <w:rFonts w:ascii="Times New Roman;Times;serif" w:hAnsi="Times New Roman;Times;serif"/>
                <w:color w:val="000000"/>
                <w:sz w:val="15"/>
              </w:rPr>
              <w:t>7/30/2025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68" w:right="0" w:hanging="0"/>
              <w:jc w:val="left"/>
              <w:rPr>
                <w:rFonts w:ascii="Times New Roman;Times;serif" w:hAnsi="Times New Roman;Times;serif"/>
                <w:color w:val="000000"/>
                <w:sz w:val="15"/>
              </w:rPr>
            </w:pPr>
            <w:r>
              <w:rPr>
                <w:rFonts w:ascii="Times New Roman;Times;serif" w:hAnsi="Times New Roman;Times;serif"/>
                <w:color w:val="000000"/>
                <w:sz w:val="15"/>
              </w:rPr>
              <w:t>7,700,490</w:t>
            </w:r>
            <w:r>
              <w:rPr>
                <w:rFonts w:ascii="Times New Roman;Times;serif" w:hAnsi="Times New Roman;Times;serif"/>
                <w:color w:val="000000"/>
                <w:position w:val="5"/>
                <w:sz w:val="12"/>
                <w:sz w:val="15"/>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5"/>
              </w:rPr>
            </w:pPr>
            <w:r>
              <w:rPr>
                <w:rFonts w:ascii="Times New Roman;Times;serif" w:hAnsi="Times New Roman;Times;serif"/>
                <w:color w:val="000000"/>
                <w:sz w:val="15"/>
              </w:rPr>
              <w:t>$213,303,573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5"/>
              </w:rPr>
            </w:pPr>
            <w:r>
              <w:rPr>
                <w:rFonts w:ascii="Times New Roman;Times;serif" w:hAnsi="Times New Roman;Times;serif"/>
                <w:color w:val="000000"/>
                <w:sz w:val="15"/>
              </w:rPr>
              <w:t>4,199,510</w:t>
            </w:r>
            <w:r>
              <w:rPr>
                <w:rFonts w:ascii="Times New Roman;Times;serif" w:hAnsi="Times New Roman;Times;serif"/>
                <w:color w:val="000000"/>
                <w:position w:val="5"/>
                <w:sz w:val="12"/>
                <w:sz w:val="15"/>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15"/>
              </w:rPr>
            </w:pPr>
            <w:r>
              <w:rPr>
                <w:rFonts w:ascii="Times New Roman;Times;serif" w:hAnsi="Times New Roman;Times;serif"/>
                <w:color w:val="000000"/>
                <w:sz w:val="15"/>
              </w:rPr>
              <w:t>$116,326,427</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The market value of the RSUs and PSUs is based on a price of $27.70 per share, the closing price of our common shares as reported on The Nasdaq Global Select Market on March 31, 2026.</w:t>
            </w:r>
            <w:r>
              <w:rPr>
                <w:rFonts w:ascii="Times New Roman;Times;serif" w:hAnsi="Times New Roman;Times;serif"/>
                <w:i/>
                <w:caps w:val="false"/>
                <w:smallCaps w:val="false"/>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non-qualified stock options to purchase common shares outstanding under the 2021 EIP that vest and become exercisable as follows: (i) 25% vest and become exercisable on the first anniversary of the vesting commencement date; and (ii) the remaining 75% vest and become exercisable in a series of 36 successive equal monthly installments thereafter, in each case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20% service-vested on March 31, 2026; and (ii) the remaining 80% service-vest in a series of 16 successive equal quarterly installments thereafter, subject to the holder’s continuous service through the applicable vesting date. In the event employment is involuntarily terminated for any reason other than for “cause” (other than due to death or disability) within 12 months following (or, in the case of Dr. Torti, within 30 days prior to) the consummation of a “change in control,” the RSUs will become fully vested.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PSUs outstanding under the 2021 EIP. In Fiscal 2025, the first five tranches of PSUs, with share price hurdles ranging from $15.00 per share to $25.00 per share, satisfied the Performance Condition applicable to those tranches. The number of PSUs reported in column (g) represents the number of PSUs that have satisfied the Performance Condition as of March 31, 2026. The number of PSUs reported in column (i) represents the number of the sixth tranche of PSUs that had not satisfied the Performance Condition as of March 31, 2026. The sixth tranche of PSUs, with a share price hurdle of $30.00 per share, subsequently satisfied the Performance Condition on June 23, 2026, when the Company’s 30-Day VWAP exceeded $30.00 per share. A separate Service Condition must be satisfied prior to the vesting of the PSUs. For more information on the PSUs, including the Performance Condition and the Service Condition, please see above under “Compensation Discussion and Analysis—Elements of the Fiscal 2025 Executive Compensation Program—Long-Term Incentives: Equity-Based Compensation—Update on Senior Executive Compensation Program—PSUs.”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first anniversary of the vesting commencement date; (ii) 1/16 service-vest 14 months after the vesting commencement date; and (iii) the balance of the RSUs service-vest in a series of 11 successive equal quarterly installments thereafter measured from the date fourteen months after the vesting commencement date, subject to the holder’s continuous service through the applicable vesting date. In the event the holder’s employment or service is involuntarily terminated for any reason other than for “cause” (other than due to death or disability) within 12 months following the consummation of a “change in control,” the RSUs will become fully vested.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date 13 months from the vesting commencement date; and (ii) the remaining 75% service-vest in a series of 12 successive equal quarterly installments thereafter measured from the date 13 months from the vesting commencement date,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non-qualified stock options to purchase common shares outstanding under the 2021 EIP that vest and become exercisable as follows: (i) 25% vest and become exercisable on the date 13 months from the vesting commencement date; and (ii) the remaining 75% vest and become exercisable in a series of 36 successive equal monthly installments thereafter,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a grant of RSUs outstanding under the 2021 EIP that service-vest as follows: (i) 25% service-vest on the first anniversary of the vesting commencement date; and (ii) the remaining 75% service-vest in 12 successive equal quarterly installments thereafter, in each case, subject to the holder’s continuous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information regarding outstanding equity awards included in this table for Dr. Venker and Dr. Torti do not include any outstanding equity incentive awards granted by Immunovant. For details regarding outstanding Immunovant equity awards granted to each of them as of the end of Fiscal 2025, please refer to the Proxy Statement for Immunovant’s Annual Meeting of Shareholders filed with the SEC on July 22,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2" w:name="ny20073886x1_def14a_109-sumcomp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 Exercises and Stock Vested in Fiscal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common shares acquired and the value realized upon exercises of stock options and vesting of stock-based awards (including RSUs and CVARs) issued by the Company during Fiscal 2025 by each of our NEOs. </w:t>
      </w:r>
    </w:p>
    <w:tbl>
      <w:tblPr>
        <w:tblW w:w="8975" w:type="dxa"/>
        <w:jc w:val="left"/>
        <w:tblInd w:w="0" w:type="dxa"/>
        <w:tblLayout w:type="fixed"/>
        <w:tblCellMar>
          <w:top w:w="0" w:type="dxa"/>
          <w:left w:w="0" w:type="dxa"/>
          <w:bottom w:w="0" w:type="dxa"/>
          <w:right w:w="0" w:type="dxa"/>
        </w:tblCellMar>
      </w:tblPr>
      <w:tblGrid>
        <w:gridCol w:w="1610"/>
        <w:gridCol w:w="170"/>
        <w:gridCol w:w="170"/>
        <w:gridCol w:w="1625"/>
        <w:gridCol w:w="170"/>
        <w:gridCol w:w="170"/>
        <w:gridCol w:w="1385"/>
        <w:gridCol w:w="170"/>
        <w:gridCol w:w="170"/>
        <w:gridCol w:w="1565"/>
        <w:gridCol w:w="170"/>
        <w:gridCol w:w="170"/>
        <w:gridCol w:w="143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35" w:type="dxa"/>
            <w:gridSpan w:val="4"/>
            <w:tcBorders/>
            <w:vAlign w:val="center"/>
          </w:tcPr>
          <w:p>
            <w:pPr>
              <w:pStyle w:val="TableContents"/>
              <w:bidi w:val="0"/>
              <w:spacing w:before="0" w:after="0"/>
              <w:jc w:val="left"/>
              <w:rPr/>
            </w:pPr>
            <w:r>
              <w:rPr/>
              <w:t>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3,870,659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$37,322,583.50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687,868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$18,251,317.77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260,000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4,834,726.00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61,103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897,564.53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3,909,306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$38,835,877.41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425,701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11,716,593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6,521,298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$64,776,291.41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128,834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1,736,467.48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4,997,000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$85,293,141.46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67" w:right="0" w:hanging="0"/>
              <w:jc w:val="left"/>
              <w:rPr>
                <w:rFonts w:ascii="Times New Roman;Times;serif" w:hAnsi="Times New Roman;Times;serif"/>
                <w:color w:val="000000"/>
                <w:sz w:val="20"/>
              </w:rPr>
            </w:pPr>
            <w:r>
              <w:rPr>
                <w:rFonts w:ascii="Times New Roman;Times;serif" w:hAnsi="Times New Roman;Times;serif"/>
                <w:color w:val="000000"/>
                <w:sz w:val="20"/>
              </w:rPr>
              <w:t>643,359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$15,194,966.44</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exercise of option awards reflected in this column is calculated by multiplying the number of common shares acquired upon exercise of the option awards by the difference between (i) the market value of a common share on the exercise date, calculated as the closing price per common share on The Nasdaq Global Select Market on the exercise date for shares withheld to cover the exercise price, or the actual sale price per common share for shares sold to cover the exercise price and applicable taxes, and (ii) the exercise price per common share of the applicable option award. The amounts reflected in this column do not reflect applicable withholding taxes payable in connection with the exercise of the option awards or the sale of the underlying common shares.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of stock awards reflected in this column is calculated by multiplying the number of common shares acquired upon vesting of the stock awards by the closing price per common share on The Nasdaq Global Select Market on the applicable vesting date. The amounts reflected in this column do not reflect applicable withholding taxes payable in connection with the vesting and settlement of the stock awards.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and accompanying narrative describe the potential payments and benefits our NEOs would be entitled to under the Company’s compensation and benefit plans and arrangements in the particular types of covered termination of employment scenarios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 rules, we have used certain assumptions in determining the amounts shown below. We have assumed that the termination of employment or change in control occurred on March 31, 2026, the last day of Fiscal 2025. On that date, the closing price on The Nasdaq Global Select Market of our common shares was $27.70. Since many factors (e.g., the time of year when the event occurs, our share price and the executive’s age) could affect the nature and amount of benefits an NEO could potentially receive under these scenarios, any amounts received by an NEO upon a future termination event may be different from those shown in the table below. Under SEC rules, the potential payments upon termination or change in control shown below do not include certain payments or other benefits the NEOs may be entitled to, including the value of equity awards that have already vested.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estimated value of the payments and benefits that our continuing NEOs would have been provided under their respective employment agreements and equity award agreements based on the assumptions outlined above: </w:t>
      </w:r>
    </w:p>
    <w:tbl>
      <w:tblPr>
        <w:tblW w:w="10205" w:type="dxa"/>
        <w:jc w:val="left"/>
        <w:tblInd w:w="0" w:type="dxa"/>
        <w:tblLayout w:type="fixed"/>
        <w:tblCellMar>
          <w:top w:w="0" w:type="dxa"/>
          <w:left w:w="0" w:type="dxa"/>
          <w:bottom w:w="0" w:type="dxa"/>
          <w:right w:w="0" w:type="dxa"/>
        </w:tblCellMar>
      </w:tblPr>
      <w:tblGrid>
        <w:gridCol w:w="1116"/>
        <w:gridCol w:w="170"/>
        <w:gridCol w:w="170"/>
        <w:gridCol w:w="2481"/>
        <w:gridCol w:w="170"/>
        <w:gridCol w:w="170"/>
        <w:gridCol w:w="1951"/>
        <w:gridCol w:w="170"/>
        <w:gridCol w:w="170"/>
        <w:gridCol w:w="1908"/>
        <w:gridCol w:w="170"/>
        <w:gridCol w:w="170"/>
        <w:gridCol w:w="1389"/>
      </w:tblGrid>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0"/>
              <w:jc w:val="left"/>
              <w:rPr/>
            </w:pPr>
            <w:r>
              <w:rPr/>
              <w:t> </w:t>
            </w:r>
          </w:p>
        </w:tc>
      </w:tr>
      <w:tr>
        <w:trPr/>
        <w:tc>
          <w:tcPr>
            <w:tcW w:w="111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Component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Not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 Death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1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Matthew Gline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4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1" w:type="dxa"/>
            <w:tcBorders/>
            <w:shd w:fill="CCEEFF" w:val="clear"/>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0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9"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r>
      <w:tr>
        <w:trPr/>
        <w:tc>
          <w:tcPr>
            <w:tcW w:w="111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4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Equity Award Vesting</w:t>
            </w:r>
            <w:r>
              <w:rPr>
                <w:rFonts w:ascii="Times New Roman;Times;serif" w:hAnsi="Times New Roman;Times;serif"/>
                <w:color w:val="000000"/>
                <w:position w:val="6"/>
                <w:sz w:val="15"/>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1"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400,265,000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08"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469,521,768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9"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 xml:space="preserve">400,265,000 </w:t>
            </w:r>
          </w:p>
        </w:tc>
      </w:tr>
      <w:tr>
        <w:trPr/>
        <w:tc>
          <w:tcPr>
            <w:tcW w:w="111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4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1" w:type="dxa"/>
            <w:tcBorders/>
            <w:shd w:fill="CCEEFF" w:val="clear"/>
            <w:vAlign w:val="center"/>
          </w:tcPr>
          <w:p>
            <w:pPr>
              <w:pStyle w:val="TableContents"/>
              <w:bidi w:val="0"/>
              <w:spacing w:before="0" w:after="283"/>
              <w:ind w:left="426"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42,591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0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42,591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9" w:type="dxa"/>
            <w:tcBorders/>
            <w:shd w:fill="CCEEFF" w:val="clear"/>
            <w:vAlign w:val="center"/>
          </w:tcPr>
          <w:p>
            <w:pPr>
              <w:pStyle w:val="TableContents"/>
              <w:bidi w:val="0"/>
              <w:spacing w:before="0" w:after="283"/>
              <w:ind w:left="131" w:right="0" w:hanging="0"/>
              <w:jc w:val="left"/>
              <w:rPr>
                <w:color w:val="000000"/>
                <w:bdr w:val="single" w:sz="8" w:space="2" w:color="000000"/>
              </w:rPr>
            </w:pPr>
            <w:r>
              <w:rPr>
                <w:color w:val="000000"/>
                <w:bdr w:val="single" w:sz="8" w:space="2" w:color="000000"/>
              </w:rPr>
              <w:t xml:space="preserve">— </w:t>
            </w:r>
          </w:p>
        </w:tc>
      </w:tr>
      <w:tr>
        <w:trPr/>
        <w:tc>
          <w:tcPr>
            <w:tcW w:w="111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4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1"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401,757,591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08"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471,014,359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9"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 xml:space="preserve">400,265,000 </w:t>
            </w:r>
          </w:p>
        </w:tc>
      </w:tr>
      <w:tr>
        <w:trPr/>
        <w:tc>
          <w:tcPr>
            <w:tcW w:w="1116"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Richard Pulik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450,883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11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Equity Award Vesting</w:t>
            </w:r>
            <w:r>
              <w:rPr>
                <w:rFonts w:ascii="Times New Roman;Times;serif" w:hAnsi="Times New Roman;Times;serif"/>
                <w:color w:val="000000"/>
                <w:position w:val="6"/>
                <w:sz w:val="15"/>
                <w:sz w:val="19"/>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13,324,178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11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COBRA Premium Reimbursement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283"/>
              <w:ind w:left="426"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283"/>
              <w:ind w:left="40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7,710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283"/>
              <w:ind w:left="131" w:right="0" w:hanging="0"/>
              <w:jc w:val="left"/>
              <w:rPr>
                <w:color w:val="000000"/>
                <w:bdr w:val="single" w:sz="8" w:space="2" w:color="000000"/>
              </w:rPr>
            </w:pPr>
            <w:r>
              <w:rPr>
                <w:color w:val="000000"/>
                <w:bdr w:val="single" w:sz="8" w:space="2" w:color="000000"/>
              </w:rPr>
              <w:t xml:space="preserve">— </w:t>
            </w:r>
          </w:p>
        </w:tc>
      </w:tr>
      <w:tr>
        <w:trPr/>
        <w:tc>
          <w:tcPr>
            <w:tcW w:w="111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458,593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13,782,771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3" w:name="ny20073886x1_def14a_109-sumcomp_pg6"/>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53"/>
        <w:gridCol w:w="170"/>
        <w:gridCol w:w="170"/>
        <w:gridCol w:w="2395"/>
        <w:gridCol w:w="170"/>
        <w:gridCol w:w="170"/>
        <w:gridCol w:w="1887"/>
        <w:gridCol w:w="170"/>
        <w:gridCol w:w="170"/>
        <w:gridCol w:w="1846"/>
        <w:gridCol w:w="170"/>
        <w:gridCol w:w="170"/>
        <w:gridCol w:w="1364"/>
      </w:tblGrid>
      <w:tr>
        <w:trPr/>
        <w:tc>
          <w:tcPr>
            <w:tcW w:w="13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vAlign w:val="center"/>
          </w:tcPr>
          <w:p>
            <w:pPr>
              <w:pStyle w:val="TableContents"/>
              <w:bidi w:val="0"/>
              <w:spacing w:before="0" w:after="0"/>
              <w:jc w:val="left"/>
              <w:rPr/>
            </w:pPr>
            <w:r>
              <w:rPr/>
              <w:t> </w:t>
            </w:r>
          </w:p>
        </w:tc>
      </w:tr>
      <w:tr>
        <w:trPr/>
        <w:tc>
          <w:tcPr>
            <w:tcW w:w="135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Component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Not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Reason in Connection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 a Change in 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 Death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53"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Mayukh Sukhatme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1,100,000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1,100,000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Equity Award Vesting</w:t>
            </w:r>
            <w:r>
              <w:rPr>
                <w:rFonts w:ascii="Times New Roman;Times;serif" w:hAnsi="Times New Roman;Times;serif"/>
                <w:color w:val="000000"/>
                <w:position w:val="6"/>
                <w:sz w:val="15"/>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470,900,000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519,807,822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495,353,911</w:t>
            </w:r>
            <w:r>
              <w:rPr>
                <w:rFonts w:ascii="Times New Roman;Times;serif" w:hAnsi="Times New Roman;Times;serif"/>
                <w:color w:val="000000"/>
                <w:sz w:val="19"/>
              </w:rPr>
              <w:t xml:space="preserve">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43,448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43,448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bdr w:val="single" w:sz="8" w:space="2" w:color="000000"/>
              </w:rPr>
            </w:pPr>
            <w:r>
              <w:rPr>
                <w:color w:val="000000"/>
                <w:bdr w:val="single" w:sz="8" w:space="2" w:color="000000"/>
              </w:rPr>
              <w:t xml:space="preserve">—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472,043,448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520,951,270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495,353,911</w:t>
            </w:r>
            <w:r>
              <w:rPr>
                <w:rFonts w:ascii="Times New Roman;Times;serif" w:hAnsi="Times New Roman;Times;serif"/>
                <w:color w:val="000000"/>
                <w:sz w:val="19"/>
              </w:rPr>
              <w:t xml:space="preserve"> </w:t>
            </w:r>
          </w:p>
        </w:tc>
      </w:tr>
      <w:tr>
        <w:trPr/>
        <w:tc>
          <w:tcPr>
            <w:tcW w:w="1353"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Eric Venker</w:t>
            </w:r>
            <w:r>
              <w:rPr>
                <w:rFonts w:ascii="Times New Roman;Times;serif" w:hAnsi="Times New Roman;Times;serif"/>
                <w:color w:val="000000"/>
                <w:position w:val="6"/>
                <w:sz w:val="15"/>
                <w:sz w:val="19"/>
              </w:rPr>
              <w:t>(2)</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35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Equity Award Vesting</w:t>
            </w:r>
            <w:r>
              <w:rPr>
                <w:rFonts w:ascii="Times New Roman;Times;serif" w:hAnsi="Times New Roman;Times;serif"/>
                <w:color w:val="000000"/>
                <w:position w:val="6"/>
                <w:sz w:val="15"/>
                <w:sz w:val="19"/>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vAlign w:val="center"/>
          </w:tcPr>
          <w:p>
            <w:pPr>
              <w:pStyle w:val="TableContents"/>
              <w:bidi w:val="0"/>
              <w:spacing w:before="0" w:after="283"/>
              <w:ind w:left="4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20,628,632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35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COBRA Premium Reimbursement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vAlign w:val="center"/>
          </w:tcPr>
          <w:p>
            <w:pPr>
              <w:pStyle w:val="TableContents"/>
              <w:bidi w:val="0"/>
              <w:spacing w:before="0" w:after="283"/>
              <w:ind w:left="426"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27,788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vAlign w:val="center"/>
          </w:tcPr>
          <w:p>
            <w:pPr>
              <w:pStyle w:val="TableContents"/>
              <w:bidi w:val="0"/>
              <w:spacing w:before="0" w:after="283"/>
              <w:ind w:left="400"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27,788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vAlign w:val="center"/>
          </w:tcPr>
          <w:p>
            <w:pPr>
              <w:pStyle w:val="TableContents"/>
              <w:bidi w:val="0"/>
              <w:spacing w:before="0" w:after="283"/>
              <w:ind w:left="131" w:right="0" w:hanging="0"/>
              <w:jc w:val="left"/>
              <w:rPr>
                <w:color w:val="000000"/>
                <w:bdr w:val="single" w:sz="8" w:space="2" w:color="000000"/>
              </w:rPr>
            </w:pPr>
            <w:r>
              <w:rPr>
                <w:color w:val="000000"/>
                <w:bdr w:val="single" w:sz="8" w:space="2" w:color="000000"/>
              </w:rPr>
              <w:t xml:space="preserve">— </w:t>
            </w:r>
          </w:p>
        </w:tc>
      </w:tr>
      <w:tr>
        <w:trPr/>
        <w:tc>
          <w:tcPr>
            <w:tcW w:w="1353"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9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7" w:type="dxa"/>
            <w:tcBorders/>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102,788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46"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20,731,420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4" w:type="dxa"/>
            <w:tcBorders/>
            <w:vAlign w:val="center"/>
          </w:tcPr>
          <w:p>
            <w:pPr>
              <w:pStyle w:val="TableContents"/>
              <w:bidi w:val="0"/>
              <w:spacing w:before="0" w:after="283"/>
              <w:ind w:left="131" w:right="0" w:hanging="0"/>
              <w:jc w:val="left"/>
              <w:rPr>
                <w:color w:val="000000"/>
              </w:rPr>
            </w:pPr>
            <w:r>
              <w:rPr>
                <w:color w:val="000000"/>
              </w:rPr>
              <w:t xml:space="preserve">— </w:t>
            </w:r>
          </w:p>
        </w:tc>
      </w:tr>
      <w:tr>
        <w:trPr/>
        <w:tc>
          <w:tcPr>
            <w:tcW w:w="1353"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Frank Torti</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rFonts w:ascii="Times New Roman;Times;serif" w:hAnsi="Times New Roman;Times;serif"/>
                <w:color w:val="000000"/>
                <w:sz w:val="19"/>
              </w:rPr>
            </w:pPr>
            <w:r>
              <w:rPr>
                <w:rFonts w:ascii="Times New Roman;Times;serif" w:hAnsi="Times New Roman;Times;serif"/>
                <w:color w:val="000000"/>
                <w:sz w:val="19"/>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1,450,000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Equity Award Vesting</w:t>
            </w:r>
            <w:r>
              <w:rPr>
                <w:rFonts w:ascii="Times New Roman;Times;serif" w:hAnsi="Times New Roman;Times;serif"/>
                <w:color w:val="000000"/>
                <w:position w:val="6"/>
                <w:sz w:val="15"/>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329,630,000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378,537,822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 xml:space="preserve">329,630,000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COBRA Premium Reimbursement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bdr w:val="single" w:sz="8" w:space="2" w:color="000000"/>
              </w:rPr>
            </w:pPr>
            <w:r>
              <w:rPr>
                <w:color w:val="000000"/>
                <w:bdr w:val="single" w:sz="8" w:space="2" w:color="000000"/>
              </w:rPr>
              <w:t xml:space="preserve">— </w:t>
            </w:r>
          </w:p>
        </w:tc>
      </w:tr>
      <w:tr>
        <w:trPr/>
        <w:tc>
          <w:tcPr>
            <w:tcW w:w="1353"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283"/>
              <w:ind w:left="426" w:right="0" w:hanging="0"/>
              <w:jc w:val="left"/>
              <w:rPr>
                <w:color w:val="000000"/>
              </w:rPr>
            </w:pPr>
            <w:r>
              <w:rPr>
                <w:color w:val="000000"/>
              </w:rPr>
              <w:t>​</w:t>
            </w:r>
            <w:r>
              <w:rPr>
                <w:rFonts w:ascii="Times New Roman;Times;serif" w:hAnsi="Times New Roman;Times;serif"/>
                <w:color w:val="000000"/>
                <w:sz w:val="19"/>
              </w:rPr>
              <w:t>331,080,000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283"/>
              <w:ind w:left="400" w:right="0" w:hanging="0"/>
              <w:jc w:val="left"/>
              <w:rPr>
                <w:color w:val="000000"/>
              </w:rPr>
            </w:pPr>
            <w:r>
              <w:rPr>
                <w:color w:val="000000"/>
              </w:rPr>
              <w:t>​</w:t>
            </w:r>
            <w:r>
              <w:rPr>
                <w:rFonts w:ascii="Times New Roman;Times;serif" w:hAnsi="Times New Roman;Times;serif"/>
                <w:color w:val="000000"/>
                <w:sz w:val="19"/>
              </w:rPr>
              <w:t>379,987,822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283"/>
              <w:ind w:left="131" w:right="0" w:hanging="0"/>
              <w:jc w:val="left"/>
              <w:rPr>
                <w:color w:val="000000"/>
              </w:rPr>
            </w:pPr>
            <w:r>
              <w:rPr>
                <w:color w:val="000000"/>
              </w:rPr>
              <w:t>​</w:t>
            </w:r>
            <w:r>
              <w:rPr>
                <w:rFonts w:ascii="Times New Roman;Times;serif" w:hAnsi="Times New Roman;Times;serif"/>
                <w:color w:val="000000"/>
                <w:sz w:val="19"/>
              </w:rPr>
              <w:t>329,630,000</w:t>
            </w:r>
          </w:p>
        </w:tc>
      </w:tr>
      <w:tr>
        <w:trPr/>
        <w:tc>
          <w:tcPr>
            <w:tcW w:w="135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8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6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 shown represents the value of unvested incentive equity awards that the applicable NEO may receive for a termination without “cause” or in connection with a “change in control” (each as defined in the applicable equity plan), or death or disability assuming a price per share equal to the closing price of our common shares on March 31, 2026 of $27.70. As previously noted, prior to fiscal year end, five of the six tranches of PSUs satisfied the Performance Condition applicable to the PSUs. Subsequent to fiscal year end, on June 23, 2026, the Sixth Tranche of PSUs satisfied the Performance Condition applicable to the PSUs when the Company’s 30-Day VWAP first exceeded $30.00 per share. The values included here reflect the satisfaction of the Performance Condition of the Sixth Tranche of PSUs, assuming the Performance Condition had been satisfied as of fiscal year end.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for Dr. Venker reflect only payments and benefits payable by the Company and the value of Roivant equity awards. Under his employment agreement with RSI, Dr. Venker is entitled to the severance amounts shown above upon a termination without “cause” or resignation for “good reason” (each as defined in his employment agreement), subject to his execution and non-revocation of a release of claims and compliance with applicable restrictive covenants; no severance is payable, however, if he continues employment with Immunovant following such termination, and no bonus amount is included because he is not eligible for a Company cash bonus while co-employed by Immunovant. Dr. Venker is also entitled to certain payments and benefits from Immunovant under his separate employment agreement with Immunovant. For information on potential payments to Dr. Venker upon a termination or change in control at Immunovant, please refer to the Proxy Statement for Immunovant's Annual Meeting of Shareholders filed with the SEC on July 22, 2026.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Accrued Pay and Regular Retirement Benefits: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amounts shown in the table above do not include certain payments and benefits to the extent they are provided on a non-discriminatory basis to salaried employees generally upon termination of employment. For more information on these potential payments, see “Employee Benefits” above. These include: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accrued salary and vacation pay; </w:t>
            </w:r>
          </w:p>
        </w:tc>
      </w:tr>
    </w:tbl>
    <w:tbl>
      <w:tblPr>
        <w:tblW w:w="3115" w:type="dxa"/>
        <w:jc w:val="left"/>
        <w:tblInd w:w="0" w:type="dxa"/>
        <w:tblLayout w:type="fixed"/>
        <w:tblCellMar>
          <w:top w:w="0" w:type="dxa"/>
          <w:left w:w="0" w:type="dxa"/>
          <w:bottom w:w="0" w:type="dxa"/>
          <w:right w:w="0" w:type="dxa"/>
        </w:tblCellMar>
      </w:tblPr>
      <w:tblGrid>
        <w:gridCol w:w="140"/>
        <w:gridCol w:w="2975"/>
      </w:tblGrid>
      <w:tr>
        <w:trPr/>
        <w:tc>
          <w:tcPr>
            <w:tcW w:w="14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benefits under the 401(k) plan; and </w:t>
            </w:r>
          </w:p>
        </w:tc>
      </w:tr>
    </w:tbl>
    <w:tbl>
      <w:tblPr>
        <w:tblW w:w="1585" w:type="dxa"/>
        <w:jc w:val="left"/>
        <w:tblInd w:w="0" w:type="dxa"/>
        <w:tblLayout w:type="fixed"/>
        <w:tblCellMar>
          <w:top w:w="0" w:type="dxa"/>
          <w:left w:w="0" w:type="dxa"/>
          <w:bottom w:w="0" w:type="dxa"/>
          <w:right w:w="0" w:type="dxa"/>
        </w:tblCellMar>
      </w:tblPr>
      <w:tblGrid>
        <w:gridCol w:w="140"/>
        <w:gridCol w:w="1445"/>
      </w:tblGrid>
      <w:tr>
        <w:trPr/>
        <w:tc>
          <w:tcPr>
            <w:tcW w:w="140" w:type="dxa"/>
            <w:tcBorders/>
            <w:vAlign w:val="center"/>
          </w:tcPr>
          <w:p>
            <w:pPr>
              <w:pStyle w:val="TableContents"/>
              <w:bidi w:val="0"/>
              <w:spacing w:before="0" w:after="0"/>
              <w:jc w:val="left"/>
              <w:rPr>
                <w:color w:val="000000"/>
              </w:rPr>
            </w:pPr>
            <w:r>
              <w:rPr>
                <w:color w:val="000000"/>
              </w:rPr>
              <w:t>•</w:t>
            </w:r>
          </w:p>
        </w:tc>
        <w:tc>
          <w:tcPr>
            <w:tcW w:w="1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welfare benefits.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for Cause: </w:t>
      </w:r>
      <w:r>
        <w:rPr>
          <w:rFonts w:ascii="Times New Roman;Times;serif" w:hAnsi="Times New Roman;Times;serif"/>
          <w:b w:val="false"/>
          <w:i w:val="false"/>
          <w:caps w:val="false"/>
          <w:smallCaps w:val="false"/>
          <w:color w:val="000000"/>
          <w:sz w:val="20"/>
        </w:rPr>
        <w:t xml:space="preserve">NEOs terminated for cause receive no severance or enhanced benefits and forfeit any unvested equity grants. </w:t>
      </w:r>
    </w:p>
    <w:p>
      <w:pPr>
        <w:pStyle w:val="TextBody"/>
        <w:bidi w:val="0"/>
        <w:spacing w:before="17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Without Cause or for Good Reason Not in Connection with a Change in Control:</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Employment Agreements</w:t>
      </w:r>
      <w:r>
        <w:rPr>
          <w:rFonts w:ascii="Times New Roman;Times;serif" w:hAnsi="Times New Roman;Times;serif"/>
          <w:color w:val="000000"/>
          <w:sz w:val="20"/>
        </w:rPr>
        <w:t xml:space="preserve">: Under the employment agreements in place between RSI and our NEOs, if the NEO’s employment is terminated by RSI without “cause” (other than due to death or “disability”) or if the NEO resigns for “good reason” (each as defined in each NEO’s respective employment agreement), then, subject to the NEO’s timely execution and non-revocation of a release of claims and continued compliance with applicable restrictive covenants, the NEO will be entitled to receive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Cash Severance</w:t>
            </w:r>
            <w:r>
              <w:rPr>
                <w:rFonts w:ascii="Times New Roman;Times;serif" w:hAnsi="Times New Roman;Times;serif"/>
                <w:color w:val="000000"/>
                <w:sz w:val="20"/>
              </w:rPr>
              <w:t xml:space="preserve">. The cash severance payment is equal to 12 months (in the case of Mr. Gline, Dr. Sukhatme, Dr. Venker and Dr. Torti) and 6 months (in the case of Mr. Pulik) of base salary plus 100% (in the case of Mr. Gline, Dr. Sukhatme, Dr. Venker and Dr. Torti) and 50% (in the case of Mr. Pulik) of the target annual bonus for the year of termination.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64" w:name="ny20073886x1_def14a_109-sumcomp_pg7"/>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Continuation of Medical Benefits</w:t>
            </w:r>
            <w:r>
              <w:rPr>
                <w:rFonts w:ascii="Times New Roman;Times;serif" w:hAnsi="Times New Roman;Times;serif"/>
                <w:color w:val="000000"/>
                <w:sz w:val="20"/>
              </w:rPr>
              <w:t xml:space="preserve">. Certain of the NEOs will also be eligible for reimbursement of COBRA premiums (less active employee rates) if not otherwise eligible for coverage under a subsequent employer’s group health insurance plan for 12 months (in the case of Mr. Gline, Dr. Sukhatme and Dr. Venker) and 6 months (in the case of Mr. Pulik).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PSU Award Agreements</w:t>
      </w:r>
      <w:r>
        <w:rPr>
          <w:rFonts w:ascii="Times New Roman;Times;serif" w:hAnsi="Times New Roman;Times;serif"/>
          <w:color w:val="000000"/>
          <w:sz w:val="20"/>
        </w:rPr>
        <w:t xml:space="preserve">: Under the award agreements for the PSUs granted to Mr. Gline, Dr. Sukhatme and Dr. Torti, in the event of the termination (x) by the Company without Cause (as defined in the award agreement), (y) due to the Participant’s death or Disability (as defined in the award agreement) or (z) due to the Participant’s resignation for Good Reason (as defined in the award agreement), any tranche of PSUs that has previously satisfied an applicable performance vesting condition shall be deemed to fully vest, without satisfaction of the separate service vesting condition otherwise applicable to the PSUs. </w:t>
      </w:r>
    </w:p>
    <w:p>
      <w:pPr>
        <w:pStyle w:val="TextBody"/>
        <w:bidi w:val="0"/>
        <w:spacing w:before="17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Without Cause or for Good Reason in Connection with a Change in Control:</w:t>
      </w:r>
      <w:r>
        <w:rPr>
          <w:rFonts w:ascii="Times New Roman;Times;serif" w:hAnsi="Times New Roman;Times;serif"/>
          <w:b/>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Payments upon Change in Control Alone</w:t>
            </w:r>
            <w:r>
              <w:rPr>
                <w:rFonts w:ascii="Times New Roman;Times;serif" w:hAnsi="Times New Roman;Times;serif"/>
                <w:color w:val="000000"/>
                <w:sz w:val="20"/>
              </w:rPr>
              <w:t xml:space="preserve">. The employment agreement provisions regarding a change in control are “double trigger,” meaning payments are made only if the NEO incurs a covered termination of employment within 12 months following the change in control.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Cash Severance and Continuation of Medical Benefits</w:t>
            </w:r>
            <w:r>
              <w:rPr>
                <w:rFonts w:ascii="Times New Roman;Times;serif" w:hAnsi="Times New Roman;Times;serif"/>
                <w:color w:val="000000"/>
                <w:sz w:val="20"/>
              </w:rPr>
              <w:t xml:space="preserve">. The NEOs will receive the cash severance and continuation of medical benefits for a termination without “cause” or for “good reason” as described above in the case of a termination not in connection with a change in control.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Equity Award Agreements</w:t>
            </w:r>
            <w:r>
              <w:rPr>
                <w:rFonts w:ascii="Times New Roman;Times;serif" w:hAnsi="Times New Roman;Times;serif"/>
                <w:color w:val="000000"/>
                <w:sz w:val="20"/>
              </w:rPr>
              <w:t xml:space="preserve">. Under each NEO’s equity award agreements, if the NEO is involuntarily terminated without “cause” within twelve (12) months (or in the case of stock options granted in 2022, at any time) following the date of the consummation of a “change in control” (each as defined in the applicable equity plan), any vesting that is based on continued employment shall be deemed satisfied.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Excise Taxes</w:t>
            </w:r>
            <w:r>
              <w:rPr>
                <w:rFonts w:ascii="Times New Roman;Times;serif" w:hAnsi="Times New Roman;Times;serif"/>
                <w:color w:val="000000"/>
                <w:sz w:val="20"/>
              </w:rPr>
              <w:t xml:space="preserve">. Upon a change in control, the NEOs might be subject to certain excise taxes under Section 280G of the Internal Revenue Code. The Company does not reimburse the affected NEOs for those excise taxes or any income taxes payable by the NEOs. To reduce the NEO’s exposure to potential excise taxes, the NEO’s change in control benefit would be decreased to maximize the after-tax benefit to the individual.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Death and Disability: </w:t>
      </w:r>
      <w:r>
        <w:rPr>
          <w:rFonts w:ascii="Times New Roman;Times;serif" w:hAnsi="Times New Roman;Times;serif"/>
          <w:b w:val="false"/>
          <w:i w:val="false"/>
          <w:caps w:val="false"/>
          <w:smallCaps w:val="false"/>
          <w:color w:val="000000"/>
          <w:sz w:val="20"/>
        </w:rPr>
        <w:t xml:space="preserve">A termination of employment due to death or disability does not entitle NEOs to any payments or benefits that are not available to U.S. employees generally, except that, under Dr. Sukhatme’s employment agreement, in the event of death or disability, any vesting of outstanding equity awards that is based on continued employment shall be deemed satisfied for 50% of each of Dr. Sukhatme’s equity awards which are then unvested. (Any other vesting condition applicable to an equity award which is satisfied based on performance, the occurrence of a liquidity event, or any conditions other than continued employment shall remain in effect.)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 Venker’s Agreement with Immunovant: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Venker has a separate employment agreement in place with our subsidiary Immunovant, dated July 28, 2025, relating to his role as Immunovant’s Chief Executive Officer. For more information on that employment agreement see “—Agreements with Our NEOs— Eric Venker— Employment Agreement with Immunovant, Inc.” as well as Immunovant’s Proxy Statement for its Annual Meeting of Shareholders filed with the SEC on July 22, 2026 for more information on the amounts that would have become payable to Dr. Venker in the event of a change in control of Immunovant or in the event of certain terminations of his employment with Immunovant, in each case as of March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65" w:name="ny20073886x1_def14a_109-sumcomp_pg8"/>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equity compensation plan information as of March 31, 2026: </w:t>
      </w:r>
    </w:p>
    <w:tbl>
      <w:tblPr>
        <w:tblW w:w="10205" w:type="dxa"/>
        <w:jc w:val="left"/>
        <w:tblInd w:w="0" w:type="dxa"/>
        <w:tblLayout w:type="fixed"/>
        <w:tblCellMar>
          <w:top w:w="0" w:type="dxa"/>
          <w:left w:w="0" w:type="dxa"/>
          <w:bottom w:w="0" w:type="dxa"/>
          <w:right w:w="0" w:type="dxa"/>
        </w:tblCellMar>
      </w:tblPr>
      <w:tblGrid>
        <w:gridCol w:w="4031"/>
        <w:gridCol w:w="170"/>
        <w:gridCol w:w="170"/>
        <w:gridCol w:w="1235"/>
        <w:gridCol w:w="170"/>
        <w:gridCol w:w="170"/>
        <w:gridCol w:w="1100"/>
        <w:gridCol w:w="170"/>
        <w:gridCol w:w="170"/>
        <w:gridCol w:w="1235"/>
        <w:gridCol w:w="170"/>
        <w:gridCol w:w="170"/>
        <w:gridCol w:w="1244"/>
      </w:tblGrid>
      <w:tr>
        <w:trPr/>
        <w:tc>
          <w:tcPr>
            <w:tcW w:w="40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0"/>
              <w:jc w:val="left"/>
              <w:rPr/>
            </w:pPr>
            <w:r>
              <w:rPr/>
              <w:t> </w:t>
            </w:r>
          </w:p>
        </w:tc>
      </w:tr>
      <w:tr>
        <w:trPr/>
        <w:tc>
          <w:tcPr>
            <w:tcW w:w="403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settlement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and PSUs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and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 </w:t>
            </w:r>
          </w:p>
        </w:tc>
      </w:tr>
      <w:tr>
        <w:trPr/>
        <w:tc>
          <w:tcPr>
            <w:tcW w:w="403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0"/>
              <w:jc w:val="center"/>
              <w:rPr>
                <w:color w:val="000000"/>
              </w:rPr>
            </w:pPr>
            <w:r>
              <w:rPr>
                <w:color w:val="000000"/>
              </w:rPr>
              <w:t> </w:t>
            </w:r>
          </w:p>
        </w:tc>
      </w:tr>
      <w:tr>
        <w:trPr/>
        <w:tc>
          <w:tcPr>
            <w:tcW w:w="403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2021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50,749,222</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55,956,011</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60,944,783</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r>
      <w:tr>
        <w:trPr/>
        <w:tc>
          <w:tcPr>
            <w:tcW w:w="403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2021 Employee Stock Purchase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27,959,085</w:t>
            </w:r>
            <w:r>
              <w:rPr>
                <w:rFonts w:ascii="Times New Roman;Times;serif" w:hAnsi="Times New Roman;Times;serif"/>
                <w:color w:val="000000"/>
                <w:position w:val="7"/>
                <w:sz w:val="16"/>
                <w:sz w:val="20"/>
              </w:rPr>
              <w:t>(7)</w:t>
            </w:r>
            <w:r>
              <w:rPr>
                <w:rFonts w:ascii="Times New Roman;Times;serif" w:hAnsi="Times New Roman;Times;serif"/>
                <w:color w:val="000000"/>
                <w:sz w:val="20"/>
              </w:rPr>
              <w:t xml:space="preserve"> </w:t>
            </w:r>
          </w:p>
        </w:tc>
      </w:tr>
      <w:tr>
        <w:trPr/>
        <w:tc>
          <w:tcPr>
            <w:tcW w:w="403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2015 Equity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0"/>
              <w:jc w:val="center"/>
              <w:rPr>
                <w:color w:val="000000"/>
              </w:rPr>
            </w:pPr>
            <w:r>
              <w:rPr>
                <w:color w:val="000000"/>
              </w:rPr>
              <w:t> </w:t>
            </w:r>
          </w:p>
        </w:tc>
      </w:tr>
      <w:tr>
        <w:trPr/>
        <w:tc>
          <w:tcPr>
            <w:tcW w:w="4031"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Incentive Plan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26,512,911</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16" w:right="0" w:hanging="0"/>
              <w:jc w:val="left"/>
              <w:rPr>
                <w:rFonts w:ascii="Times New Roman;Times;serif" w:hAnsi="Times New Roman;Times;serif"/>
                <w:color w:val="000000"/>
                <w:sz w:val="20"/>
              </w:rPr>
            </w:pPr>
            <w:r>
              <w:rPr>
                <w:rFonts w:ascii="Times New Roman;Times;serif" w:hAnsi="Times New Roman;Times;serif"/>
                <w:color w:val="000000"/>
                <w:sz w:val="20"/>
              </w:rPr>
              <w:t>$10.24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4,837,236</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1" w:right="0" w:hanging="0"/>
              <w:jc w:val="left"/>
              <w:rPr>
                <w:color w:val="000000"/>
              </w:rPr>
            </w:pPr>
            <w:r>
              <w:rPr>
                <w:color w:val="000000"/>
              </w:rPr>
              <w:t xml:space="preserve">— </w:t>
            </w:r>
          </w:p>
        </w:tc>
      </w:tr>
      <w:tr>
        <w:trPr/>
        <w:tc>
          <w:tcPr>
            <w:tcW w:w="403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shareholders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5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4" w:type="dxa"/>
            <w:tcBorders/>
            <w:vAlign w:val="center"/>
          </w:tcPr>
          <w:p>
            <w:pPr>
              <w:pStyle w:val="TableContents"/>
              <w:bidi w:val="0"/>
              <w:spacing w:before="0" w:after="283"/>
              <w:ind w:left="21" w:right="0" w:hanging="0"/>
              <w:jc w:val="left"/>
              <w:rPr>
                <w:color w:val="000000"/>
              </w:rPr>
            </w:pPr>
            <w:r>
              <w:rPr>
                <w:color w:val="000000"/>
              </w:rPr>
              <w:t xml:space="preserve">— </w:t>
            </w:r>
          </w:p>
        </w:tc>
      </w:tr>
      <w:tr>
        <w:trPr/>
        <w:tc>
          <w:tcPr>
            <w:tcW w:w="40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77,262,133</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92" w:right="0" w:hanging="0"/>
              <w:jc w:val="left"/>
              <w:rPr>
                <w:rFonts w:ascii="Times New Roman;Times;serif" w:hAnsi="Times New Roman;Times;serif"/>
                <w:color w:val="000000"/>
                <w:sz w:val="20"/>
              </w:rPr>
            </w:pPr>
            <w:r>
              <w:rPr>
                <w:rFonts w:ascii="Times New Roman;Times;serif" w:hAnsi="Times New Roman;Times;serif"/>
                <w:color w:val="000000"/>
                <w:sz w:val="20"/>
              </w:rPr>
              <w:t>60,793,247</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88,903,868</w:t>
            </w:r>
          </w:p>
        </w:tc>
      </w:tr>
      <w:tr>
        <w:trPr/>
        <w:tc>
          <w:tcPr>
            <w:tcW w:w="403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outstanding RSUs and PSUs that are not exercisable and do not have an exercise price. Information on RSUs and PSUs is included in column (c). Excludes CVARs, all of which were vested and released but not settled as of March 31, 2026.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set forth in this column is calculated excluding outstanding RSUs and PSUs that do not have an exercise price.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column reflects the maximum number of securities to be issued upon settlement of outstanding RSUs and PSUs. For information on the PSUs, please refer to “—Outstanding Equity Awards at 2025 Fiscal Year End.” Excludes CVARs, all of which were vested and released but not settled as of March 31, 2026. </w:t>
            </w:r>
          </w:p>
        </w:tc>
      </w:tr>
    </w:tbl>
    <w:tbl>
      <w:tblPr>
        <w:tblW w:w="6400" w:type="dxa"/>
        <w:jc w:val="left"/>
        <w:tblInd w:w="0" w:type="dxa"/>
        <w:tblLayout w:type="fixed"/>
        <w:tblCellMar>
          <w:top w:w="0" w:type="dxa"/>
          <w:left w:w="0" w:type="dxa"/>
          <w:bottom w:w="0" w:type="dxa"/>
          <w:right w:w="0" w:type="dxa"/>
        </w:tblCellMar>
      </w:tblPr>
      <w:tblGrid>
        <w:gridCol w:w="260"/>
        <w:gridCol w:w="61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2,500 stock options that were exercised but not settled as of March 31, 2026. </w:t>
            </w:r>
          </w:p>
        </w:tc>
      </w:tr>
    </w:tbl>
    <w:tbl>
      <w:tblPr>
        <w:tblW w:w="6730" w:type="dxa"/>
        <w:jc w:val="left"/>
        <w:tblInd w:w="0" w:type="dxa"/>
        <w:tblLayout w:type="fixed"/>
        <w:tblCellMar>
          <w:top w:w="0" w:type="dxa"/>
          <w:left w:w="0" w:type="dxa"/>
          <w:bottom w:w="0" w:type="dxa"/>
          <w:right w:w="0" w:type="dxa"/>
        </w:tblCellMar>
      </w:tblPr>
      <w:tblGrid>
        <w:gridCol w:w="260"/>
        <w:gridCol w:w="64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635,548 RSUs that were vested and released but not settled as of March 31, 2026.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aggregate number of shares reserved for issuance under the 2021 EIP increases annually on the first day of each fiscal year during the term of the plan in an amount equal to the lesser of (i) 5% of the number of our common shares outstanding as of the last day of the immediately preceding fiscal year and (ii) such number of our common shares as determined by our board of directors in its discretion (the “evergreen increase”). In February 2026, our Board of Directors approved an evergreen increase for the fiscal year ending March 31, 2026, resulting in the number of shares available for issuance under the 2021 EIP plan increasing by an amount representing 5% of the common shares outstanding as of March 31, 2025 (having previously deferred this decision from March 31, 2025).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aggregate number of common shares available for issuance under the ESPP is subject to an annual increase on April 1 of each year, equal to the least of (i) 13,900,000 common shares, (ii) 1% of the aggregate number of common shares outstanding (on a fully diluted basis) on the last day of the immediately preceding fiscal year of the Company and (iii) a number of common shares as determined by the Board of Directors. The overall maximum number of common shares that may be issued under the ESPP (including shares added pursuant to the annual increase described above) is 147,447,650 common shares. Prior to April 1, 2026, the Board of Directors resolved not to increase the number of common shares available for issuance under the ESPP on April 1, 2026. </w:t>
            </w:r>
          </w:p>
        </w:tc>
      </w:tr>
    </w:tbl>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90,223 stock options that were exercised but not settled as of March 31, 2026. </w:t>
            </w:r>
          </w:p>
        </w:tc>
      </w:tr>
    </w:tbl>
    <w:tbl>
      <w:tblPr>
        <w:tblW w:w="6865" w:type="dxa"/>
        <w:jc w:val="left"/>
        <w:tblInd w:w="0" w:type="dxa"/>
        <w:tblLayout w:type="fixed"/>
        <w:tblCellMar>
          <w:top w:w="0" w:type="dxa"/>
          <w:left w:w="0" w:type="dxa"/>
          <w:bottom w:w="0" w:type="dxa"/>
          <w:right w:w="0" w:type="dxa"/>
        </w:tblCellMar>
      </w:tblPr>
      <w:tblGrid>
        <w:gridCol w:w="260"/>
        <w:gridCol w:w="66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6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422,216 CVARs that were vested and released but not settled as of March 31, 2026. </w:t>
            </w:r>
          </w:p>
        </w:tc>
      </w:tr>
    </w:tbl>
    <w:tbl>
      <w:tblPr>
        <w:tblW w:w="6580" w:type="dxa"/>
        <w:jc w:val="left"/>
        <w:tblInd w:w="0" w:type="dxa"/>
        <w:tblLayout w:type="fixed"/>
        <w:tblCellMar>
          <w:top w:w="0" w:type="dxa"/>
          <w:left w:w="0" w:type="dxa"/>
          <w:bottom w:w="0" w:type="dxa"/>
          <w:right w:w="0" w:type="dxa"/>
        </w:tblCellMar>
      </w:tblPr>
      <w:tblGrid>
        <w:gridCol w:w="350"/>
        <w:gridCol w:w="62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6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92,723 stock options that were exercised but not settled as of March 31, 2026. </w:t>
            </w:r>
          </w:p>
        </w:tc>
      </w:tr>
    </w:tbl>
    <w:tbl>
      <w:tblPr>
        <w:tblW w:w="8305" w:type="dxa"/>
        <w:jc w:val="left"/>
        <w:tblInd w:w="0" w:type="dxa"/>
        <w:tblLayout w:type="fixed"/>
        <w:tblCellMar>
          <w:top w:w="0" w:type="dxa"/>
          <w:left w:w="0" w:type="dxa"/>
          <w:bottom w:w="0" w:type="dxa"/>
          <w:right w:w="0" w:type="dxa"/>
        </w:tblCellMar>
      </w:tblPr>
      <w:tblGrid>
        <w:gridCol w:w="350"/>
        <w:gridCol w:w="79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7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422,216 CVARs and 635,548 RSUs that were vested and released but not settled as of March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66" w:name="ny20073886x1_def14a_109-sumcomp_pg9"/>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CEO Pay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present below the ratio of the annual total compensation of our CEO, Mr. Gline, to the annual total compensation of our median compensated employee, calculated in accordance with Item 402(u) of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Instruction 2 to Item 402(u) of Regulation S-K, because there has been no change in our employee population or employee compensation arrangements during Fiscal 2025 that we reasonably believe would result in a significant change to our pay ratio disclosure, we have used the same median employee that was identified for our Fiscal 2024 pay ratio disclosure. For a description of the methodology used to identify our median employee, including the determination date, consistently applied compensation measure, employee population, de minimis exclusion and other assumptions, please refer to our proxy statement for the Fiscal 2024 AGM, filed with the SEC on July 29,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then calculated the annual total compensation of our median employee for Fiscal 2025 in accordance with the requirements of Item 402(c)(2)(x) of Regulation S-K, using the same methodology applied to our named executive officers as set forth in the Summary Compensation Table in this proxy statement. The Fiscal 2025 annual total compensation of our median compensated employee was $377,109.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Gline’s Fiscal 2025 annual total compensation, as reported in the Summary Compensation Table, was $3,096,190. Based on this information, the ratio of Mr. Gline’s annual total compensation to the annual total compensation of our median compensated employee for Fiscal 2025 was 8.2:1.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pay ratio reported above is a reasonable estimate calculated in a manner consistent with Item 402(u) of Regulation S-K. Given the different methodologies that various public companies may use to determine an estimate of their pay ratios, the estimated ratio reported above should not be used as a basis for comparison between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67" w:name="ny20073886x1_def14a_110-pvp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by SEC rules to disclose the following information regarding compensation paid to our Principal Executive Officer (the “PEO”) and our other NEOs (collectively,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 the link between our performance and the pay of our NEOs. </w:t>
      </w:r>
    </w:p>
    <w:tbl>
      <w:tblPr>
        <w:tblW w:w="10205" w:type="dxa"/>
        <w:jc w:val="left"/>
        <w:tblInd w:w="0" w:type="dxa"/>
        <w:tblLayout w:type="fixed"/>
        <w:tblCellMar>
          <w:top w:w="0" w:type="dxa"/>
          <w:left w:w="0" w:type="dxa"/>
          <w:bottom w:w="0" w:type="dxa"/>
          <w:right w:w="0" w:type="dxa"/>
        </w:tblCellMar>
      </w:tblPr>
      <w:tblGrid>
        <w:gridCol w:w="494"/>
        <w:gridCol w:w="170"/>
        <w:gridCol w:w="170"/>
        <w:gridCol w:w="1086"/>
        <w:gridCol w:w="170"/>
        <w:gridCol w:w="170"/>
        <w:gridCol w:w="1085"/>
        <w:gridCol w:w="170"/>
        <w:gridCol w:w="170"/>
        <w:gridCol w:w="1086"/>
        <w:gridCol w:w="170"/>
        <w:gridCol w:w="170"/>
        <w:gridCol w:w="1085"/>
        <w:gridCol w:w="170"/>
        <w:gridCol w:w="170"/>
        <w:gridCol w:w="640"/>
        <w:gridCol w:w="171"/>
        <w:gridCol w:w="171"/>
        <w:gridCol w:w="534"/>
        <w:gridCol w:w="170"/>
        <w:gridCol w:w="170"/>
        <w:gridCol w:w="878"/>
        <w:gridCol w:w="170"/>
        <w:gridCol w:w="170"/>
        <w:gridCol w:w="595"/>
      </w:tblGrid>
      <w:tr>
        <w:trPr/>
        <w:tc>
          <w:tcPr>
            <w:tcW w:w="4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6"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r>
      <w:tr>
        <w:trPr/>
        <w:tc>
          <w:tcPr>
            <w:tcW w:w="494"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(1)</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Summary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Table Total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Non-PEO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7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Millions)</w:t>
            </w:r>
            <w:r>
              <w:rPr>
                <w:rFonts w:ascii="Times New Roman;Times;serif" w:hAnsi="Times New Roman;Times;serif"/>
                <w:b/>
                <w:color w:val="000000"/>
                <w:position w:val="5"/>
                <w:sz w:val="13"/>
                <w:sz w:val="16"/>
              </w:rPr>
              <w:t>(6)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9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(7)</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 </w:t>
            </w:r>
          </w:p>
        </w:tc>
      </w:tr>
      <w:tr>
        <w:trPr/>
        <w:tc>
          <w:tcPr>
            <w:tcW w:w="494"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6"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6"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Roivant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5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7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95" w:type="dxa"/>
            <w:vMerge w:val="continue"/>
            <w:tcBorders>
              <w:bottom w:val="single" w:sz="8" w:space="0" w:color="000000"/>
            </w:tcBorders>
            <w:tcMar>
              <w:bottom w:w="48" w:type="dxa"/>
            </w:tcMar>
            <w:vAlign w:val="center"/>
          </w:tcPr>
          <w:p>
            <w:pPr>
              <w:pStyle w:val="Normal"/>
              <w:bidi w:val="0"/>
              <w:jc w:val="left"/>
              <w:rPr/>
            </w:pPr>
            <w:r>
              <w:rPr/>
            </w:r>
          </w:p>
        </w:tc>
      </w:tr>
      <w:tr>
        <w:trPr/>
        <w:tc>
          <w:tcPr>
            <w:tcW w:w="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3,096,190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$382,436,735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8"/>
              </w:rPr>
            </w:pPr>
            <w:r>
              <w:rPr>
                <w:rFonts w:ascii="Times New Roman;Times;serif" w:hAnsi="Times New Roman;Times;serif"/>
                <w:color w:val="000000"/>
                <w:sz w:val="18"/>
              </w:rPr>
              <w:t>$38,292,008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$230,820,261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0"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$561</w:t>
            </w:r>
          </w:p>
        </w:tc>
        <w:tc>
          <w:tcPr>
            <w:tcW w:w="171" w:type="dxa"/>
            <w:tcBorders/>
            <w:shd w:fill="CCEEFF" w:val="clear"/>
            <w:vAlign w:val="center"/>
          </w:tcPr>
          <w:p>
            <w:pPr>
              <w:pStyle w:val="TableContents"/>
              <w:bidi w:val="0"/>
              <w:spacing w:before="0" w:after="0"/>
              <w:jc w:val="left"/>
              <w:rPr/>
            </w:pPr>
            <w:r>
              <w:rPr/>
              <w:t> </w:t>
            </w:r>
          </w:p>
        </w:tc>
        <w:tc>
          <w:tcPr>
            <w:tcW w:w="171"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18"/>
              </w:rPr>
            </w:pPr>
            <w:r>
              <w:rPr>
                <w:rFonts w:ascii="Times New Roman;Times;serif" w:hAnsi="Times New Roman;Times;serif"/>
                <w:color w:val="000000"/>
                <w:sz w:val="18"/>
              </w:rPr>
              <w:t>$145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(397.9)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$27.70 </w:t>
            </w:r>
          </w:p>
        </w:tc>
      </w:tr>
      <w:tr>
        <w:trPr/>
        <w:tc>
          <w:tcPr>
            <w:tcW w:w="49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$163,293,744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$120,292,276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44" w:right="0" w:hanging="0"/>
              <w:jc w:val="left"/>
              <w:rPr>
                <w:rFonts w:ascii="Times New Roman;Times;serif" w:hAnsi="Times New Roman;Times;serif"/>
                <w:color w:val="000000"/>
                <w:sz w:val="18"/>
              </w:rPr>
            </w:pPr>
            <w:r>
              <w:rPr>
                <w:rFonts w:ascii="Times New Roman;Times;serif" w:hAnsi="Times New Roman;Times;serif"/>
                <w:color w:val="000000"/>
                <w:sz w:val="18"/>
              </w:rPr>
              <w:t>$54,974,046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43,159,484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$204</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213" w:right="0" w:hanging="0"/>
              <w:jc w:val="left"/>
              <w:rPr>
                <w:rFonts w:ascii="Times New Roman;Times;serif" w:hAnsi="Times New Roman;Times;serif"/>
                <w:color w:val="000000"/>
                <w:sz w:val="18"/>
              </w:rPr>
            </w:pPr>
            <w:r>
              <w:rPr>
                <w:rFonts w:ascii="Times New Roman;Times;serif" w:hAnsi="Times New Roman;Times;serif"/>
                <w:color w:val="000000"/>
                <w:sz w:val="18"/>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$10.09 </w:t>
            </w:r>
          </w:p>
        </w:tc>
      </w:tr>
      <w:tr>
        <w:trPr/>
        <w:tc>
          <w:tcPr>
            <w:tcW w:w="4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738,189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45,536,504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4,740,297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8,126,392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0"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$213</w:t>
            </w:r>
          </w:p>
        </w:tc>
        <w:tc>
          <w:tcPr>
            <w:tcW w:w="171" w:type="dxa"/>
            <w:tcBorders/>
            <w:shd w:fill="CCEEFF" w:val="clear"/>
            <w:vAlign w:val="center"/>
          </w:tcPr>
          <w:p>
            <w:pPr>
              <w:pStyle w:val="TableContents"/>
              <w:bidi w:val="0"/>
              <w:spacing w:before="0" w:after="0"/>
              <w:jc w:val="left"/>
              <w:rPr/>
            </w:pPr>
            <w:r>
              <w:rPr/>
              <w:t> </w:t>
            </w:r>
          </w:p>
        </w:tc>
        <w:tc>
          <w:tcPr>
            <w:tcW w:w="171" w:type="dxa"/>
            <w:tcBorders/>
            <w:shd w:fill="CCEEFF" w:val="clear"/>
            <w:vAlign w:val="center"/>
          </w:tcPr>
          <w:p>
            <w:pPr>
              <w:pStyle w:val="TableContents"/>
              <w:bidi w:val="0"/>
              <w:spacing w:before="0" w:after="0"/>
              <w:jc w:val="left"/>
              <w:rPr/>
            </w:pPr>
            <w:r>
              <w:rPr/>
              <w:t> </w:t>
            </w:r>
          </w:p>
        </w:tc>
        <w:tc>
          <w:tcPr>
            <w:tcW w:w="534" w:type="dxa"/>
            <w:tcBorders/>
            <w:shd w:fill="CCEEFF" w:val="clear"/>
            <w:vAlign w:val="center"/>
          </w:tcPr>
          <w:p>
            <w:pPr>
              <w:pStyle w:val="TableContents"/>
              <w:bidi w:val="0"/>
              <w:spacing w:before="0" w:after="283"/>
              <w:ind w:left="213" w:right="0" w:hanging="0"/>
              <w:jc w:val="left"/>
              <w:rPr>
                <w:rFonts w:ascii="Times New Roman;Times;serif" w:hAnsi="Times New Roman;Times;serif"/>
                <w:color w:val="000000"/>
                <w:sz w:val="18"/>
              </w:rPr>
            </w:pPr>
            <w:r>
              <w:rPr>
                <w:rFonts w:ascii="Times New Roman;Times;serif" w:hAnsi="Times New Roman;Times;serif"/>
                <w:color w:val="000000"/>
                <w:sz w:val="18"/>
              </w:rPr>
              <w:t>$108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4,231.2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$10.54 </w:t>
            </w:r>
          </w:p>
        </w:tc>
      </w:tr>
      <w:tr>
        <w:trPr/>
        <w:tc>
          <w:tcPr>
            <w:tcW w:w="49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Fiscal 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48,978,825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97,617,266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44" w:right="0" w:hanging="0"/>
              <w:jc w:val="left"/>
              <w:rPr>
                <w:rFonts w:ascii="Times New Roman;Times;serif" w:hAnsi="Times New Roman;Times;serif"/>
                <w:color w:val="000000"/>
                <w:sz w:val="18"/>
              </w:rPr>
            </w:pPr>
            <w:r>
              <w:rPr>
                <w:rFonts w:ascii="Times New Roman;Times;serif" w:hAnsi="Times New Roman;Times;serif"/>
                <w:color w:val="000000"/>
                <w:sz w:val="18"/>
              </w:rPr>
              <w:t>$48,706,774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97,819,396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$149</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283"/>
              <w:ind w:left="213"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14" w:right="0" w:hanging="0"/>
              <w:jc w:val="left"/>
              <w:rPr>
                <w:rFonts w:ascii="Times New Roman;Times;serif" w:hAnsi="Times New Roman;Times;serif"/>
                <w:color w:val="000000"/>
                <w:sz w:val="18"/>
              </w:rPr>
            </w:pPr>
            <w:r>
              <w:rPr>
                <w:rFonts w:ascii="Times New Roman;Times;serif" w:hAnsi="Times New Roman;Times;serif"/>
                <w:color w:val="000000"/>
                <w:sz w:val="18"/>
              </w:rPr>
              <w:t>$(1,115.5)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7.38</w:t>
            </w:r>
          </w:p>
        </w:tc>
      </w:tr>
      <w:tr>
        <w:trPr/>
        <w:tc>
          <w:tcPr>
            <w:tcW w:w="4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Matthew Gline, our Chief Executive Officer, was our PEO for each of the fiscal years presented. The individuals comprising the Non-PEO NEOs for each year presented are listed below. </w:t>
            </w:r>
          </w:p>
        </w:tc>
      </w:tr>
    </w:tbl>
    <w:tbl>
      <w:tblPr>
        <w:tblW w:w="6185" w:type="dxa"/>
        <w:jc w:val="left"/>
        <w:tblInd w:w="0" w:type="dxa"/>
        <w:tblLayout w:type="fixed"/>
        <w:tblCellMar>
          <w:top w:w="0" w:type="dxa"/>
          <w:left w:w="0" w:type="dxa"/>
          <w:bottom w:w="0" w:type="dxa"/>
          <w:right w:w="0" w:type="dxa"/>
        </w:tblCellMar>
      </w:tblPr>
      <w:tblGrid>
        <w:gridCol w:w="1385"/>
        <w:gridCol w:w="170"/>
        <w:gridCol w:w="170"/>
        <w:gridCol w:w="1370"/>
        <w:gridCol w:w="170"/>
        <w:gridCol w:w="170"/>
        <w:gridCol w:w="995"/>
        <w:gridCol w:w="170"/>
        <w:gridCol w:w="170"/>
        <w:gridCol w:w="141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13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Fiscal 2022 </w:t>
            </w:r>
          </w:p>
        </w:tc>
      </w:tr>
      <w:tr>
        <w:trPr/>
        <w:tc>
          <w:tcPr>
            <w:tcW w:w="13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Pulik</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Mayukh Sukhatme</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Eric Venker</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Frank Torti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Pulik</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Mayukh Sukhatme</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Eric Venker</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Jennifer Humes</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Pulik</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Rakhi Kumar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Mayukh Sukhatme</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Eric Venker</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these columns represent the amount of total compensation reported for our PEO and on average for our Non-PEO NEOs for each covered fiscal year in the “Total” column of the Summary Compensation Table.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applicable Summary Compensation Table totals reported for the PEO and the average of the Non-PEO NEOs for each year were subject to the following adjustments per Item 402(v)(2)(iii) of Regulation S-K to calculate “Compensation Actually Paid.” The equity award adjustments reflected in this reconciliation relate solely to equity awards denominated in the Company’s common shares and exclude equity awards denominated in shares of Immunovant common stock held by Dr. Venker and Dr. Torti, which were granted by the Immunovant Board or Compensation Committee in a separate, independent process, and which were not determined by the Roivant Board and Compensation Committee. For additional details regarding the pay versus performance disclosure of Immunovant, please refer to the Proxy Statement for Immunovant’s Annual Meeting of Shareholders filed with the SEC on July 22, 2026. </w:t>
            </w:r>
          </w:p>
        </w:tc>
      </w:tr>
    </w:tbl>
    <w:tbl>
      <w:tblPr>
        <w:tblW w:w="10205" w:type="dxa"/>
        <w:jc w:val="left"/>
        <w:tblInd w:w="0" w:type="dxa"/>
        <w:tblLayout w:type="fixed"/>
        <w:tblCellMar>
          <w:top w:w="0" w:type="dxa"/>
          <w:left w:w="0" w:type="dxa"/>
          <w:bottom w:w="0" w:type="dxa"/>
          <w:right w:w="0" w:type="dxa"/>
        </w:tblCellMar>
      </w:tblPr>
      <w:tblGrid>
        <w:gridCol w:w="7286"/>
        <w:gridCol w:w="170"/>
        <w:gridCol w:w="170"/>
        <w:gridCol w:w="1040"/>
        <w:gridCol w:w="170"/>
        <w:gridCol w:w="170"/>
        <w:gridCol w:w="1199"/>
      </w:tblGrid>
      <w:tr>
        <w:trPr/>
        <w:tc>
          <w:tcPr>
            <w:tcW w:w="72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9" w:type="dxa"/>
            <w:gridSpan w:val="4"/>
            <w:tcBorders/>
            <w:vAlign w:val="center"/>
          </w:tcPr>
          <w:p>
            <w:pPr>
              <w:pStyle w:val="TableContents"/>
              <w:bidi w:val="0"/>
              <w:spacing w:before="0" w:after="0"/>
              <w:jc w:val="left"/>
              <w:rPr/>
            </w:pPr>
            <w:r>
              <w:rPr/>
              <w:t> </w:t>
            </w:r>
          </w:p>
        </w:tc>
      </w:tr>
      <w:tr>
        <w:trPr/>
        <w:tc>
          <w:tcPr>
            <w:tcW w:w="72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w:t>
            </w:r>
          </w:p>
        </w:tc>
      </w:tr>
      <w:tr>
        <w:trPr/>
        <w:tc>
          <w:tcPr>
            <w:tcW w:w="72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for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tc>
      </w:tr>
      <w:tr>
        <w:trPr/>
        <w:tc>
          <w:tcPr>
            <w:tcW w:w="728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Summary Compensation Table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3,096,190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9"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38,292,008 </w:t>
            </w:r>
          </w:p>
        </w:tc>
      </w:tr>
      <w:tr>
        <w:trPr/>
        <w:tc>
          <w:tcPr>
            <w:tcW w:w="7286"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vAlign w:val="center"/>
          </w:tcPr>
          <w:p>
            <w:pPr>
              <w:pStyle w:val="TableContents"/>
              <w:bidi w:val="0"/>
              <w:spacing w:before="0" w:after="0"/>
              <w:jc w:val="center"/>
              <w:rPr>
                <w:color w:val="000000"/>
              </w:rPr>
            </w:pPr>
            <w:r>
              <w:rPr>
                <w:color w:val="000000"/>
              </w:rPr>
              <w:t> </w:t>
            </w:r>
          </w:p>
        </w:tc>
      </w:tr>
      <w:tr>
        <w:trPr/>
        <w:tc>
          <w:tcPr>
            <w:tcW w:w="72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Grant date fair value of Company equity awards granted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9"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28,509,818 </w:t>
            </w:r>
          </w:p>
        </w:tc>
      </w:tr>
      <w:tr>
        <w:trPr/>
        <w:tc>
          <w:tcPr>
            <w:tcW w:w="7286"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Fair value as of the end of the covered fiscal year of all Company equity awards granted during the covered fiscal year that are outstanding and unvested at the end of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93,195,873 </w:t>
            </w:r>
          </w:p>
        </w:tc>
      </w:tr>
      <w:tr>
        <w:trPr/>
        <w:tc>
          <w:tcPr>
            <w:tcW w:w="7286"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Change in fair value as of the end of the covered fiscal year (from the end of the prior fiscal year) of any Company equity awards granted in any prior fiscal year that are outstanding and unvested as of the end of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$338,027,130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9"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99,671,595 </w:t>
            </w:r>
          </w:p>
        </w:tc>
      </w:tr>
      <w:tr>
        <w:trPr/>
        <w:tc>
          <w:tcPr>
            <w:tcW w:w="7286"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Fair value as of the vesting date of any Company equity awards that were granted and vested in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2,543,622 </w:t>
            </w:r>
          </w:p>
        </w:tc>
      </w:tr>
      <w:tr>
        <w:trPr/>
        <w:tc>
          <w:tcPr>
            <w:tcW w:w="7286"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Change in fair value as of the vesting date (from the end of the prior fiscal year) of any Company equity awards granted in any prior fiscal year for which all applicable vesting conditions were satisfied at the end of or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41,313,414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9" w:type="dxa"/>
            <w:tcBorders/>
            <w:shd w:fill="CCEEFF" w:val="clear"/>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25,626,980 </w:t>
            </w:r>
          </w:p>
        </w:tc>
      </w:tr>
      <w:tr>
        <w:trPr/>
        <w:tc>
          <w:tcPr>
            <w:tcW w:w="7286"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$382,436,735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vAlign w:val="center"/>
          </w:tcPr>
          <w:p>
            <w:pPr>
              <w:pStyle w:val="TableContents"/>
              <w:bidi w:val="0"/>
              <w:spacing w:before="0" w:after="283"/>
              <w:ind w:left="148" w:right="0" w:hanging="0"/>
              <w:jc w:val="left"/>
              <w:rPr>
                <w:rFonts w:ascii="Times New Roman;Times;serif" w:hAnsi="Times New Roman;Times;serif"/>
                <w:color w:val="000000"/>
                <w:sz w:val="16"/>
              </w:rPr>
            </w:pPr>
            <w:r>
              <w:rPr>
                <w:rFonts w:ascii="Times New Roman;Times;serif" w:hAnsi="Times New Roman;Times;serif"/>
                <w:color w:val="000000"/>
                <w:sz w:val="16"/>
              </w:rPr>
              <w:t>$230,820,261</w:t>
            </w:r>
          </w:p>
        </w:tc>
      </w:tr>
      <w:tr>
        <w:trPr/>
        <w:tc>
          <w:tcPr>
            <w:tcW w:w="72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9" w:type="dxa"/>
            <w:tcBorders/>
            <w:vAlign w:val="center"/>
          </w:tcPr>
          <w:p>
            <w:pPr>
              <w:pStyle w:val="TableContents"/>
              <w:bidi w:val="0"/>
              <w:spacing w:before="0" w:after="0"/>
              <w:jc w:val="left"/>
              <w:rPr/>
            </w:pPr>
            <w:r>
              <w:rPr/>
              <w:t> </w:t>
            </w:r>
          </w:p>
        </w:tc>
      </w:tr>
    </w:tbl>
    <w:p>
      <w:pPr>
        <w:pStyle w:val="TextBody"/>
        <w:bidi w:val="0"/>
        <w:spacing w:before="80" w:after="283"/>
        <w:ind w:left="400" w:right="0" w:hanging="0"/>
        <w:jc w:val="left"/>
        <w:rPr>
          <w:rFonts w:ascii="Times New Roman;Times;serif" w:hAnsi="Times New Roman;Times;serif"/>
          <w:i/>
          <w:color w:val="000000"/>
          <w:sz w:val="16"/>
        </w:rPr>
      </w:pPr>
      <w:r>
        <w:rPr>
          <w:rFonts w:ascii="Times New Roman;Times;serif" w:hAnsi="Times New Roman;Times;serif"/>
          <w:i/>
          <w:color w:val="000000"/>
          <w:sz w:val="16"/>
        </w:rPr>
        <w:t>Note: Certain amounts may not sum due to rounding.</w:t>
      </w:r>
    </w:p>
    <w:p>
      <w:pPr>
        <w:pStyle w:val="TextBody"/>
        <w:bidi w:val="0"/>
        <w:spacing w:before="60" w:after="283"/>
        <w:ind w:left="400" w:right="0" w:hanging="0"/>
        <w:jc w:val="left"/>
        <w:rPr>
          <w:rFonts w:ascii="Times New Roman;Times;serif" w:hAnsi="Times New Roman;Times;serif"/>
          <w:i/>
          <w:color w:val="000000"/>
          <w:sz w:val="16"/>
        </w:rPr>
      </w:pPr>
      <w:r>
        <w:rPr>
          <w:rFonts w:ascii="Times New Roman;Times;serif" w:hAnsi="Times New Roman;Times;serif"/>
          <w:i/>
          <w:color w:val="000000"/>
          <w:sz w:val="16"/>
        </w:rPr>
        <w:t>The fair values set forth in the table above are computed in accordance with Topic 718 as of the end of Fiscal 2025, other than fair values of awards that vest in the covered year, which are valued as of the applicable vesting date.</w:t>
      </w:r>
      <w:r>
        <w:rPr>
          <w:rFonts w:ascii="Times New Roman;Times;serif" w:hAnsi="Times New Roman;Times;serif"/>
          <w:i/>
          <w:caps w:val="false"/>
          <w:smallCaps w:val="false"/>
          <w:color w:val="000000"/>
          <w:sz w:val="16"/>
        </w:rPr>
        <w:t xml:space="preserve">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Roivant TSR assumes $100 was invested at market close on March 31, 2022 and is calculated by dividing (i) the sum of the cumulative amount of dividends for the measurement period, assuming dividend reinvestment, and the difference between our share price at market close at the end of the measurement period (March 31, 2026 for Fiscal 2025; March 31, 2025 for Fiscal 2024; March 28, 2024 for Fiscal 2023; and March 31, 2023 for Fiscal 2022) and our share price at market close at the beginning of the measurement period (March 31, 2022) by (ii) our share price at market close at the beginning of the measurement period (March 31, 2022). On March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68" w:name="ny20073886x1_def14a_110-pvp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and 2025, March 28, 2024 and March 31, 2023 and 2022, the per share closing prices for our common shares were $27.70, $10.09, $10.54, $7.38 and $4.94, respectively. No dividends were paid for any periods presented.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TSR set forth in this table utilizes the Nasdaq Biotechnology Index, which we also utilize in the stock performance graph required by Item 201(e) of Regulation S-K included in our Annual Report on Form 10-K for the fiscal year ended March 31, 2026. The comparison assumes $100 was invested for the period from March 31, 2022 to March 31, 2026.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“Net (loss) income” in the Company’s Consolidated Statements of Operations included in the Company’s Annual Reports on Form 10-K for each of Fiscal 2025, Fiscal 2024, Fiscal 2023 and Fiscal 2022.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per share closing price for our common shares on each of March 31, 2026, March 31, 2025, March 28, 2024 and March 31, 2023. </w:t>
            </w:r>
          </w:p>
        </w:tc>
      </w:tr>
    </w:tbl>
    <w:p>
      <w:pPr>
        <w:pStyle w:val="TextBody"/>
        <w:bidi w:val="0"/>
        <w:spacing w:before="120" w:after="283"/>
        <w:ind w:left="0" w:right="0" w:firstLine="400"/>
        <w:jc w:val="left"/>
        <w:rPr/>
      </w:pPr>
      <w:r>
        <w:rPr>
          <w:rFonts w:ascii="Times New Roman;Times;serif" w:hAnsi="Times New Roman;Times;serif"/>
          <w:color w:val="000000"/>
          <w:sz w:val="20"/>
        </w:rPr>
        <w:t xml:space="preserve">For Fiscal 2025, we did not use any financial performance measure to link “Compensation Actually Paid to PEO” or “Average Compensation Actually Paid to Non-PEO NEOs” to the Company’s performance, other than the Company’s share price, which was used as a performance vesting condition for the PSU awards granted to certain of our NEOs during Fiscal 2025, as described in more detail on page </w:t>
      </w:r>
      <w:hyperlink w:anchor="tSECP">
        <w:r>
          <w:rPr>
            <w:rStyle w:val="InternetLink"/>
          </w:rPr>
          <w:t>18</w:t>
        </w:r>
      </w:hyperlink>
      <w:r>
        <w:rPr>
          <w:rFonts w:ascii="Times New Roman;Times;serif" w:hAnsi="Times New Roman;Times;serif"/>
          <w:color w:val="000000"/>
          <w:sz w:val="20"/>
        </w:rPr>
        <w:t xml:space="preserve"> above. Specifically, certain share price hurdles are used as performance vesting conditions for these PSU awards. The Compensation Committee believes this metric is the most reflective of our value. For further information regarding our performance-based approach to executive compensation and how the Compensation Committee aligns executive compensation with the Company’s performance, see “Compensation Discussion and Analysis” above. </w:t>
      </w:r>
    </w:p>
    <w:tbl>
      <w:tblPr>
        <w:tblW w:w="3020" w:type="dxa"/>
        <w:jc w:val="left"/>
        <w:tblInd w:w="0" w:type="dxa"/>
        <w:tblLayout w:type="fixed"/>
        <w:tblCellMar>
          <w:top w:w="0" w:type="dxa"/>
          <w:left w:w="0" w:type="dxa"/>
          <w:bottom w:w="0" w:type="dxa"/>
          <w:right w:w="0" w:type="dxa"/>
        </w:tblCellMar>
      </w:tblPr>
      <w:tblGrid>
        <w:gridCol w:w="185"/>
        <w:gridCol w:w="170"/>
        <w:gridCol w:w="170"/>
        <w:gridCol w:w="1940"/>
        <w:gridCol w:w="170"/>
        <w:gridCol w:w="17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Performance Measure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Share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pPr>
      <w:r>
        <w:rPr>
          <w:rFonts w:ascii="Times New Roman;Times;serif" w:hAnsi="Times New Roman;Times;serif"/>
          <w:color w:val="000000"/>
          <w:sz w:val="20"/>
        </w:rPr>
        <w:t>Other than our share price, the Company does not use any other financial performance measures to link executive compensation actually paid to Company performance and, as permitted by the SEC rules, is not required to disclose any other measure as its most important financial performance measures. We utilize operational goals and objectives in our annual cash bonus program to link pay-with-performance. For details on such goals, see page </w:t>
      </w:r>
      <w:hyperlink w:anchor="tOECP">
        <w:r>
          <w:rPr>
            <w:rStyle w:val="InternetLink"/>
          </w:rPr>
          <w:t>17</w:t>
        </w:r>
      </w:hyperlink>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Total Shareholder Return (“TSR”)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Roivant TSR over the four most recently completed fiscal years and the Nasdaq Biotechnology Index TSR (our Peer Group TSR) over the same period.</w:t>
      </w:r>
    </w:p>
    <w:p>
      <w:pPr>
        <w:pStyle w:val="TextBody"/>
        <w:bidi w:val="0"/>
        <w:spacing w:before="305" w:after="283"/>
        <w:jc w:val="center"/>
        <w:rPr>
          <w:color w:val="000000"/>
        </w:rPr>
      </w:pPr>
      <w:r>
        <w:rPr>
          <w:color w:val="000000"/>
        </w:rPr>
        <w:drawing>
          <wp:inline distT="0" distB="0" distL="0" distR="0">
            <wp:extent cx="5905500" cy="2552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05500" cy="2552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69" w:name="ny20073886x1_def14a_110-pvp_pg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Net (Loss)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our Net Income (Loss) during the four most recently completed fiscal years. </w:t>
      </w:r>
    </w:p>
    <w:p>
      <w:pPr>
        <w:pStyle w:val="TextBody"/>
        <w:bidi w:val="0"/>
        <w:spacing w:before="305" w:after="283"/>
        <w:jc w:val="center"/>
        <w:rPr>
          <w:color w:val="000000"/>
        </w:rPr>
      </w:pPr>
      <w:r>
        <w:rPr>
          <w:color w:val="000000"/>
        </w:rPr>
        <w:drawing>
          <wp:inline distT="0" distB="0" distL="0" distR="0">
            <wp:extent cx="5915025" cy="2409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15025" cy="2409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Share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the closing price of our common shares as reported by Nasdaq as of the last business day of each of Fiscal 2025, Fiscal 2024, Fiscal 2023 and Fiscal 2022. </w:t>
      </w:r>
    </w:p>
    <w:p>
      <w:pPr>
        <w:pStyle w:val="TextBody"/>
        <w:bidi w:val="0"/>
        <w:spacing w:before="305" w:after="283"/>
        <w:jc w:val="center"/>
        <w:rPr>
          <w:color w:val="000000"/>
        </w:rPr>
      </w:pPr>
      <w:r>
        <w:rPr>
          <w:color w:val="000000"/>
        </w:rPr>
        <w:drawing>
          <wp:inline distT="0" distB="0" distL="0" distR="0">
            <wp:extent cx="5934075" cy="2428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34075" cy="2428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0" w:name="ny20073886x1_def14a_111-security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tSOO"/>
      <w:bookmarkEnd w:id="71"/>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our common shares as of June 30, 2026 by: </w:t>
      </w:r>
    </w:p>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by the Company to be the beneficial owner of more than 5% of outstanding common shares; </w:t>
            </w:r>
          </w:p>
        </w:tc>
      </w:tr>
    </w:tbl>
    <w:tbl>
      <w:tblPr>
        <w:tblW w:w="3325" w:type="dxa"/>
        <w:jc w:val="left"/>
        <w:tblInd w:w="0" w:type="dxa"/>
        <w:tblLayout w:type="fixed"/>
        <w:tblCellMar>
          <w:top w:w="0" w:type="dxa"/>
          <w:left w:w="0" w:type="dxa"/>
          <w:bottom w:w="0" w:type="dxa"/>
          <w:right w:w="0" w:type="dxa"/>
        </w:tblCellMar>
      </w:tblPr>
      <w:tblGrid>
        <w:gridCol w:w="140"/>
        <w:gridCol w:w="3185"/>
      </w:tblGrid>
      <w:tr>
        <w:trPr/>
        <w:tc>
          <w:tcPr>
            <w:tcW w:w="14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NEOs for Fiscal 2025; </w:t>
            </w:r>
          </w:p>
        </w:tc>
      </w:tr>
    </w:tbl>
    <w:tbl>
      <w:tblPr>
        <w:tblW w:w="2650" w:type="dxa"/>
        <w:jc w:val="left"/>
        <w:tblInd w:w="0" w:type="dxa"/>
        <w:tblLayout w:type="fixed"/>
        <w:tblCellMar>
          <w:top w:w="0" w:type="dxa"/>
          <w:left w:w="0" w:type="dxa"/>
          <w:bottom w:w="0" w:type="dxa"/>
          <w:right w:w="0" w:type="dxa"/>
        </w:tblCellMar>
      </w:tblPr>
      <w:tblGrid>
        <w:gridCol w:w="140"/>
        <w:gridCol w:w="2510"/>
      </w:tblGrid>
      <w:tr>
        <w:trPr/>
        <w:tc>
          <w:tcPr>
            <w:tcW w:w="14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directors; and </w:t>
            </w:r>
          </w:p>
        </w:tc>
      </w:tr>
    </w:tbl>
    <w:tbl>
      <w:tblPr>
        <w:tblW w:w="5320" w:type="dxa"/>
        <w:jc w:val="left"/>
        <w:tblInd w:w="0" w:type="dxa"/>
        <w:tblLayout w:type="fixed"/>
        <w:tblCellMar>
          <w:top w:w="0" w:type="dxa"/>
          <w:left w:w="0" w:type="dxa"/>
          <w:bottom w:w="0" w:type="dxa"/>
          <w:right w:w="0" w:type="dxa"/>
        </w:tblCellMar>
      </w:tblPr>
      <w:tblGrid>
        <w:gridCol w:w="140"/>
        <w:gridCol w:w="5180"/>
      </w:tblGrid>
      <w:tr>
        <w:trPr/>
        <w:tc>
          <w:tcPr>
            <w:tcW w:w="14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executive officers and directors of the Company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stock options that are currently exercisable or exercisable within 60 days and RSUs that vest within 60 days. The ownership percentages set forth in the table below are based on 722,668,062 common shares issued and outstanding as of June 30, 2026. However, shares that a person has the right to acquire within 60 days of June 30, 2026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 Unless otherwise noted in the footnotes to the following table, and subject to applicable community property laws, we believe the persons and entities named in the table have sole voting and investment power with respect to their beneficially owned common shares. For information on the ownership of incentive equity awards by our NEOs, please refer to “Executive Compensation—Outstanding Equity Awards at 2025 Fiscal Year End”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Company believes that each person named in the table below has sole voting and investment power with respect to all shares of common stock beneficially owned by such person. Except as otherwise noted below, the address for persons or entities listed in the table is c/o Roivant Sciences Ltd., 7th Floor, 50 Broadway, London SW1H 0DB, United Kingdom. </w:t>
      </w:r>
    </w:p>
    <w:tbl>
      <w:tblPr>
        <w:tblW w:w="7160" w:type="dxa"/>
        <w:jc w:val="left"/>
        <w:tblInd w:w="0" w:type="dxa"/>
        <w:tblLayout w:type="fixed"/>
        <w:tblCellMar>
          <w:top w:w="0" w:type="dxa"/>
          <w:left w:w="0" w:type="dxa"/>
          <w:bottom w:w="0" w:type="dxa"/>
          <w:right w:w="0" w:type="dxa"/>
        </w:tblCellMar>
      </w:tblPr>
      <w:tblGrid>
        <w:gridCol w:w="4325"/>
        <w:gridCol w:w="170"/>
        <w:gridCol w:w="170"/>
        <w:gridCol w:w="1235"/>
        <w:gridCol w:w="170"/>
        <w:gridCol w:w="170"/>
        <w:gridCol w:w="920"/>
      </w:tblGrid>
      <w:tr>
        <w:trPr/>
        <w:tc>
          <w:tcPr>
            <w:tcW w:w="4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Shareholders: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Dexxon Holdings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102,849,443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73,641,253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49,473,835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41,962,059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 </w:t>
            </w:r>
          </w:p>
        </w:tc>
      </w:tr>
      <w:tr>
        <w:trPr/>
        <w:tc>
          <w:tcPr>
            <w:tcW w:w="43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r>
              <w:rPr>
                <w:rFonts w:ascii="Times New Roman;Times;serif" w:hAnsi="Times New Roman;Times;serif"/>
                <w:color w:val="000000"/>
                <w:position w:val="7"/>
                <w:sz w:val="16"/>
                <w:sz w:val="20"/>
              </w:rPr>
              <w:t>(5)</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 and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18,758,353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Pulik</w:t>
            </w:r>
            <w:r>
              <w:rPr>
                <w:rFonts w:ascii="Times New Roman;Times;serif" w:hAnsi="Times New Roman;Times;serif"/>
                <w:color w:val="000000"/>
                <w:position w:val="7"/>
                <w:sz w:val="16"/>
                <w:sz w:val="20"/>
              </w:rPr>
              <w:t>(6)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1,699,878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Mayukh Sukhatme</w:t>
            </w:r>
            <w:r>
              <w:rPr>
                <w:rFonts w:ascii="Times New Roman;Times;serif" w:hAnsi="Times New Roman;Times;serif"/>
                <w:color w:val="000000"/>
                <w:position w:val="7"/>
                <w:sz w:val="16"/>
                <w:sz w:val="20"/>
              </w:rPr>
              <w:t>(7)</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Investment Officer and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20,104,996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Venker</w:t>
            </w:r>
            <w:r>
              <w:rPr>
                <w:rFonts w:ascii="Times New Roman;Times;serif" w:hAnsi="Times New Roman;Times;serif"/>
                <w:color w:val="000000"/>
                <w:position w:val="7"/>
                <w:sz w:val="16"/>
                <w:sz w:val="20"/>
              </w:rPr>
              <w:t>(8)</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Immunovant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8,634,111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w:t>
            </w:r>
            <w:r>
              <w:rPr>
                <w:rFonts w:ascii="Times New Roman;Times;serif" w:hAnsi="Times New Roman;Times;serif"/>
                <w:color w:val="000000"/>
                <w:position w:val="7"/>
                <w:sz w:val="16"/>
                <w:sz w:val="20"/>
              </w:rPr>
              <w:t>(9)</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Vant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7,530,431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Ilan Oren</w:t>
            </w:r>
            <w:r>
              <w:rPr>
                <w:rFonts w:ascii="Times New Roman;Times;serif" w:hAnsi="Times New Roman;Times;serif"/>
                <w:color w:val="000000"/>
                <w:position w:val="7"/>
                <w:sz w:val="16"/>
                <w:sz w:val="20"/>
              </w:rPr>
              <w:t>(10)</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 and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232,044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Gold</w:t>
            </w:r>
            <w:r>
              <w:rPr>
                <w:rFonts w:ascii="Times New Roman;Times;serif" w:hAnsi="Times New Roman;Times;serif"/>
                <w:color w:val="000000"/>
                <w:position w:val="7"/>
                <w:sz w:val="16"/>
                <w:sz w:val="20"/>
              </w:rPr>
              <w:t>(11)</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9,077,709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w:t>
            </w:r>
            <w:r>
              <w:rPr>
                <w:rFonts w:ascii="Times New Roman;Times;serif" w:hAnsi="Times New Roman;Times;serif"/>
                <w:color w:val="000000"/>
                <w:position w:val="7"/>
                <w:sz w:val="16"/>
                <w:sz w:val="20"/>
              </w:rPr>
              <w:t>(12)</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1,860,218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72" w:name="ny20073886x1_def14a_111-security_pg2"/>
        <w:bookmarkEnd w:id="72"/>
        <w:r>
          <w:rPr>
            <w:rStyle w:val="InternetLink"/>
            <w:rFonts w:ascii="Times New Roman;Times;Serif" w:hAnsi="Times New Roman;Times;Serif"/>
            <w:b/>
            <w:caps w:val="false"/>
            <w:smallCaps w:val="false"/>
            <w:color w:val="000000"/>
            <w:sz w:val="16"/>
          </w:rPr>
          <w:t>TABLE OF CONTENTS</w:t>
        </w:r>
      </w:hyperlink>
    </w:p>
    <w:tbl>
      <w:tblPr>
        <w:tblW w:w="7640" w:type="dxa"/>
        <w:jc w:val="left"/>
        <w:tblInd w:w="0" w:type="dxa"/>
        <w:tblLayout w:type="fixed"/>
        <w:tblCellMar>
          <w:top w:w="0" w:type="dxa"/>
          <w:left w:w="0" w:type="dxa"/>
          <w:bottom w:w="0" w:type="dxa"/>
          <w:right w:w="0" w:type="dxa"/>
        </w:tblCellMar>
      </w:tblPr>
      <w:tblGrid>
        <w:gridCol w:w="4805"/>
        <w:gridCol w:w="170"/>
        <w:gridCol w:w="170"/>
        <w:gridCol w:w="1235"/>
        <w:gridCol w:w="170"/>
        <w:gridCol w:w="170"/>
        <w:gridCol w:w="920"/>
      </w:tblGrid>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8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Momtazee</w:t>
            </w:r>
            <w:r>
              <w:rPr>
                <w:rFonts w:ascii="Times New Roman;Times;serif" w:hAnsi="Times New Roman;Times;serif"/>
                <w:color w:val="000000"/>
                <w:position w:val="7"/>
                <w:sz w:val="16"/>
                <w:sz w:val="20"/>
              </w:rPr>
              <w:t>(13)</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218,267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Epperly</w:t>
            </w:r>
            <w:r>
              <w:rPr>
                <w:rFonts w:ascii="Times New Roman;Times;serif" w:hAnsi="Times New Roman;Times;serif"/>
                <w:color w:val="000000"/>
                <w:position w:val="7"/>
                <w:sz w:val="16"/>
                <w:sz w:val="20"/>
              </w:rPr>
              <w:t>(14)</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225,605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Meghan FitzGerald</w:t>
            </w:r>
            <w:r>
              <w:rPr>
                <w:rFonts w:ascii="Times New Roman;Times;serif" w:hAnsi="Times New Roman;Times;serif"/>
                <w:color w:val="000000"/>
                <w:position w:val="7"/>
                <w:sz w:val="16"/>
                <w:sz w:val="20"/>
              </w:rPr>
              <w:t>(15)</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108,245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(12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5" w:right="0" w:hanging="0"/>
              <w:jc w:val="left"/>
              <w:rPr>
                <w:rFonts w:ascii="Times New Roman;Times;serif" w:hAnsi="Times New Roman;Times;serif"/>
                <w:color w:val="000000"/>
                <w:sz w:val="20"/>
              </w:rPr>
            </w:pPr>
            <w:r>
              <w:rPr>
                <w:rFonts w:ascii="Times New Roman;Times;serif" w:hAnsi="Times New Roman;Times;serif"/>
                <w:color w:val="000000"/>
                <w:sz w:val="20"/>
              </w:rPr>
              <w:t>68,496,974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r>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1180" w:type="dxa"/>
        <w:jc w:val="left"/>
        <w:tblInd w:w="0" w:type="dxa"/>
        <w:tblLayout w:type="fixed"/>
        <w:tblCellMar>
          <w:top w:w="0" w:type="dxa"/>
          <w:left w:w="0" w:type="dxa"/>
          <w:bottom w:w="0" w:type="dxa"/>
          <w:right w:w="0" w:type="dxa"/>
        </w:tblCellMar>
      </w:tblPr>
      <w:tblGrid>
        <w:gridCol w:w="140"/>
        <w:gridCol w:w="1040"/>
      </w:tblGrid>
      <w:tr>
        <w:trPr/>
        <w:tc>
          <w:tcPr>
            <w:tcW w:w="14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40"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Less than 1%</w:t>
            </w:r>
            <w:r>
              <w:rPr>
                <w:rFonts w:ascii="Times New Roman;Times;serif" w:hAnsi="Times New Roman;Times;serif"/>
                <w:i/>
                <w:caps w:val="false"/>
                <w:smallCaps w:val="false"/>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February 14, 2024 by Dexxon Holdings Ltd. (“Dexxon Holdings”), Dexcel Pharma Technologies Ltd. (“Dexcel Pharma”) and Dan Oren, reporting beneficial ownership as of December 31, 2023. Consists of (i) 98,165,313 common shares held by Dexxon Holdings and (ii) 4,684,130 common shares held by Dexcel Pharma. Dan Oren is the controlling shareholder and a director of Dexxon Holdings and the ultimate (indirect) controlling shareholder and the Executive Chairman of Dexcel Pharma. As such, each of Dexxon Holdings, Dexcel Pharma and Dan Oren may be deemed to share beneficial ownership of the common shares. The principal business address of Dexxon Holdings and Dan Oren is 1 Dexcel Street, Or Akiva, 3060000, Israel, and of Dexcel Pharma is 10 Hakidma Street, Yokneam Illit 2069200, Israel.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March 6, 2026 by FMR LLC, reporting beneficial ownership as of February 27, 2026. Consists of 73,641,253 common shares and includes holdings from the following subsidiaries: FIAM LLC, Fidelity Diversifying Solutions LLC, Fidelity Management &amp; Research Company LLC; Fidelity Management Trust Company; and Strategic Advisers LLC. One or more other persons are known to have the right to receive or the power to direct the receipt of dividends from, or the proceeds from the sale of, the common shares of Roivant Sciences Ltd. No one other person’s interest in the common shares of Roivant Sciences Ltd. is more than five percent of the total outstanding common shares. Abigail P. Johnson, a director and the Chairman and Chief Executive Officer of FMR LLC, and members of the Johnson family, as predominant owners of FMR LLC, may be deemed to form a controlling group with respect to FMR LLC. The address of each of the entities noted in this footnote is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May 12, 2026 by Morgan Stanley and Morgan Stanley Investment Management Inc. (“MSIM”), reporting beneficial ownership as of March 31, 2026. Consists of 49,473,835 common shares held by Morgan Stanley, which includes 48,260,685 common shares held by MSIM. The address of each of Morgan Stanley and MSIM is 1585 Broadway, New York, New York 10036.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November 8, 2024 by BlackRock, Inc. reporting beneficial ownership as of September 30, 2024. Consists of 41,962,059 shares of common stock and includes holdings from the following subsidiaries: Blackrock Life Limited; Blackrock Advisors, LLC; Aperio Group,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and BlackRock Fund Managers Ltd. Various persons have the right to receive or the power to direct the receipt of dividends from, or the proceeds from the sale of the common stock of Roivant Sciences Ltd. No one person’s interest in the common stock of Roivant Sciences Ltd. is more than five percent of the total outstanding common shares. The principal business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143,830 common shares and (ii) 18,614,523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78,968 common shares, (ii) 1,609,650 common shares underlying stock options to purchase common shares that are beneficially owned as of June 30, 2026 and (iii) 11,260 RSUs covering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253,329 common shares and (ii) 19,851,667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1,362,254 common shares, (ii) 7,246,706 common shares underlying stock options to purchase common shares that are beneficially owned as of June 30, 2026 and (iii) 25,151 RSUs covering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258,792 common shares and (ii) 7,271,639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105,705 common shares and (ii) 126,339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8,951,370 common shares and (ii) 126,339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1,733,879 common shares and (ii) 126,339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94,881 common shares and (ii) 123,386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1,950 common shares and (ii) 223,655 common shares underlying stock options to purchase common shares that are beneficially owned as of June 30, 2026.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28,439 common shares and (ii) 79,806 common shares underlying stock options to purchase common shares that are beneficially owned as of June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73" w:name="ny20073886x1_def14a_111-security_pg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solely on a review of the copies of such reports furnished to the Company and written representations that no other reports were required, during Fiscal 2025, all Section 16(a) filing requirements applicable to its officers, directors and greater than 10% beneficial owners were complied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74" w:name="ny20073886x1_def14a_112-certain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CRA"/>
      <w:bookmarkEnd w:id="75"/>
      <w:r>
        <w:rPr>
          <w:rFonts w:ascii="Times New Roman;Times;serif" w:hAnsi="Times New Roman;Times;serif"/>
          <w:b/>
          <w:color w:val="000000"/>
          <w:sz w:val="20"/>
        </w:rPr>
        <w:t xml:space="preserve">CERTAIN RELATIONSHIPS AND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certain transactions occurring during our last fiscal year or currently proposed, including those to which (i) Roivant has been a participant, (ii) the amount involved exceeded or will exceed $120,000 and (iii) any of Roivant’s directors, executive officers or holders of more than 5% of Roivant’s share capital, or any members of their immediate family, had or will have a direct or indirect material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as described below, there have not been, nor are there any currently proposed, transactions or series of similar transactions meeting these criteria to which we have been or will be a party other than compensation arrangements, which are described where required under the sections of this Proxy Statement entitled “Information About Roivant’s Directors” and “Executive Compensation.”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Employment and Compensatory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Brett Venker, Vice President of Operations for our subsidiary, Covant, is the brother of Eric Venker, Roivant’s President and Immunovant CEO. During Fiscal 2025, Brett Venker earned total cash compensation, consisting of salary, bonus, non-equity incentive plan compensation and other compensation, of $407,093 and was granted incentive equity awards in the Company and a private subsidiary of the Company with an aggregate grant date fair value, as computed in accordance with Topic 718, of $589,551.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Person Transaction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Roivant’s voting securities, and any of their respective immediate family members and any entity owned or controlled by such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is required to take into account the relevant available facts and circumstances including, but not limited to: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risks, costs and benefits to us;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impact on a director’s independence in the event that the related person is a director, immediate family member of a director or an entity with which a director is affiliated;</w:t>
            </w:r>
          </w:p>
        </w:tc>
      </w:tr>
    </w:tbl>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availability of other sources for comparable services or products; and</w:t>
            </w:r>
          </w:p>
        </w:tc>
      </w:tr>
    </w:tbl>
    <w:tbl>
      <w:tblPr>
        <w:tblW w:w="8905" w:type="dxa"/>
        <w:jc w:val="left"/>
        <w:tblInd w:w="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000000"/>
              </w:rPr>
            </w:pPr>
            <w:r>
              <w:rPr>
                <w:color w:val="000000"/>
              </w:rPr>
              <w:t>•</w:t>
            </w:r>
          </w:p>
        </w:tc>
        <w:tc>
          <w:tcPr>
            <w:tcW w:w="8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available to or from, as the case may be, unrelated third parties or to or from employees generally.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76" w:name="ny20073886x1_def14a_113-prop2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PRO2"/>
      <w:bookmarkEnd w:id="77"/>
      <w:r>
        <w:rPr>
          <w:rFonts w:ascii="Times New Roman;Times;serif" w:hAnsi="Times New Roman;Times;serif"/>
          <w:b/>
          <w:color w:val="000000"/>
          <w:sz w:val="20"/>
        </w:rPr>
        <w:t>PROPOSAL NO. 2</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has selected Ernst &amp; Young LLP (“EY”) to serve as our independent registered public accounting firm for our fiscal year ending March 31, 2027. The Audit Committee is submitting the selection of our independent registered public accounting firm for ratification by the shareholders at the Annual Meeting. If the shareholders fail to ratify the selection, the Board of Directors will reconsider whether to retain EY. Even if the selection is ratified, the Board of Directors in its discretion may direct the appointment of a different independent registered public accounting firm at any time during the year if the Board of Directors determines that such a change would be in the best interest of the Company and its shareholders. In addition, under Bermuda law, our shareholders have the right to appoint our auditor. Therefore, we are also submitting for approval at the Annual Meeting the appointment of Ernst &amp; Young LLP as our auditor for statutory purposes under the Companies Act until the close of the next annual general meeting of shareholders, and authorization for the Board of Directors, acting through the Audit Committee, to determine the remuneration of Ernst &amp; Young LLP in that capacity.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Fees and Services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aggregate fees billed to us by EY for Fiscal 2025 and Fiscal 2024. </w:t>
      </w:r>
    </w:p>
    <w:tbl>
      <w:tblPr>
        <w:tblW w:w="4355" w:type="dxa"/>
        <w:jc w:val="left"/>
        <w:tblInd w:w="0" w:type="dxa"/>
        <w:tblLayout w:type="fixed"/>
        <w:tblCellMar>
          <w:top w:w="0" w:type="dxa"/>
          <w:left w:w="0" w:type="dxa"/>
          <w:bottom w:w="0" w:type="dxa"/>
          <w:right w:w="0" w:type="dxa"/>
        </w:tblCellMar>
      </w:tblPr>
      <w:tblGrid>
        <w:gridCol w:w="1625"/>
        <w:gridCol w:w="170"/>
        <w:gridCol w:w="170"/>
        <w:gridCol w:w="980"/>
        <w:gridCol w:w="170"/>
        <w:gridCol w:w="170"/>
        <w:gridCol w:w="10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3,110,437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$3,761,000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98,900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$7,839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$3,195,526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$3,859,900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in respect of both the Company and our subsidiary, Immunovant, Inc. (“Immunovant”), fees related to the following: (i) the audit of the annual consolidated financial statements included in the Annual Reports on Form 10-K filed by each of the Company and Immunovant, (ii) the audit of internal control over financial reporting for the Company and Immunovant, (iii) review of the unaudited condensed consolidated financial statements included in the Quarterly Reports on Form 10-Q filed by each of the Company and Immunovant, (iv) accounting consultations on matters related to the audit or review of the Company’s or Immunovant’s annual and interim financial statements, (v) other services related to filings with the SEC by the Company and Immunovant, including comfort letters and consents, and (vi) services provided in connection with statutory and regulatory filings or engagements for the Company and for certain of our subsidiaries, as well as standalone audits and reviews for certain of our subsidiaries. This amount includes fees associated with certain statutory audits for Fiscal 2025 that have not yet been completed. All services described above were pre-approved by the Audit Committee. </w:t>
            </w:r>
          </w:p>
        </w:tc>
      </w:tr>
    </w:tbl>
    <w:tbl>
      <w:tblPr>
        <w:tblW w:w="5830" w:type="dxa"/>
        <w:jc w:val="left"/>
        <w:tblInd w:w="0" w:type="dxa"/>
        <w:tblLayout w:type="fixed"/>
        <w:tblCellMar>
          <w:top w:w="0" w:type="dxa"/>
          <w:left w:w="0" w:type="dxa"/>
          <w:bottom w:w="0" w:type="dxa"/>
          <w:right w:w="0" w:type="dxa"/>
        </w:tblCellMar>
      </w:tblPr>
      <w:tblGrid>
        <w:gridCol w:w="260"/>
        <w:gridCol w:w="55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5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fees for professional services related to tax compliance and reporting. </w:t>
            </w:r>
          </w:p>
        </w:tc>
      </w:tr>
    </w:tbl>
    <w:tbl>
      <w:tblPr>
        <w:tblW w:w="5425" w:type="dxa"/>
        <w:jc w:val="left"/>
        <w:tblInd w:w="0" w:type="dxa"/>
        <w:tblLayout w:type="fixed"/>
        <w:tblCellMar>
          <w:top w:w="0" w:type="dxa"/>
          <w:left w:w="0" w:type="dxa"/>
          <w:bottom w:w="0" w:type="dxa"/>
          <w:right w:w="0" w:type="dxa"/>
        </w:tblCellMar>
      </w:tblPr>
      <w:tblGrid>
        <w:gridCol w:w="260"/>
        <w:gridCol w:w="51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fees related to access to certain publications and other materials.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performed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All of the services of EY listed under Audit Fees for Fiscal 2025 were pre-approved by the Audit Committee. None of the Audit Fees or other fees in the table above were for services that were subject to a waiver of the pre-approval requirement pursuant to paragraph (c)(7)(i)(c) of Rule 2-01 of Regulation S-X of the SEC.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common shares cast in accordance with our Bye-laws is required to ratify the selection by the Audit Committee of EY as our independent registered public accounting firm for our fiscal year ending March 31, 2027, to appoint EY as our auditor for statutory purposes under the Companies Act for our fiscal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78" w:name="ny20073886x1_def14a_113-prop2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year ending March 31, 2027, and to authorize the Board of Directors, through the Audit Committee, to set the remuneration for EY as our auditor for our fiscal year ending March 31, 2027. Abstentions and broker non-votes are not considered to be votes cast and therefore will have no effect on the outcome of the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shareholders do not approve the appointment of EY and the Audit Committee’s authority to set EY’s remuneration, the Audit Committee may consider the appointment of another auditor to be approved by the shareholders. Even if the selection is ratified, the Board of Directors in its discretion may direct the appointment of a different independent registered public accounting firm at any time during the year if the Board of Directors determines that such a change would be in the best interest of the Company and its shareholders. We expect that representatives of EY will be present at the Annual Meeting. They will have an opportunity to make a statement if so desired and will be available to respond to appropriate questions.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ratification of EY as our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79" w:name="ny20073886x1_def14a_114-audit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ROT"/>
      <w:bookmarkEnd w:id="80"/>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Audit Committee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Roivant specifically incorporates it by reference in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serves as the representative of Roivant’s Board of Directors with respect to its oversight of: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Roivant’s accounting and financial reporting processes and the audit of its financial statements; </w:t>
            </w:r>
          </w:p>
        </w:tc>
      </w:tr>
    </w:tbl>
    <w:tbl>
      <w:tblPr>
        <w:tblW w:w="4000" w:type="dxa"/>
        <w:jc w:val="left"/>
        <w:tblInd w:w="0" w:type="dxa"/>
        <w:tblLayout w:type="fixed"/>
        <w:tblCellMar>
          <w:top w:w="0" w:type="dxa"/>
          <w:left w:w="0" w:type="dxa"/>
          <w:bottom w:w="0" w:type="dxa"/>
          <w:right w:w="0" w:type="dxa"/>
        </w:tblCellMar>
      </w:tblPr>
      <w:tblGrid>
        <w:gridCol w:w="140"/>
        <w:gridCol w:w="3860"/>
      </w:tblGrid>
      <w:tr>
        <w:trPr/>
        <w:tc>
          <w:tcPr>
            <w:tcW w:w="140" w:type="dxa"/>
            <w:tcBorders/>
            <w:vAlign w:val="center"/>
          </w:tcPr>
          <w:p>
            <w:pPr>
              <w:pStyle w:val="TableContents"/>
              <w:bidi w:val="0"/>
              <w:spacing w:before="0" w:after="0"/>
              <w:jc w:val="left"/>
              <w:rPr>
                <w:color w:val="000000"/>
              </w:rPr>
            </w:pPr>
            <w:r>
              <w:rPr>
                <w:color w:val="000000"/>
              </w:rPr>
              <w:t>•</w:t>
            </w:r>
          </w:p>
        </w:tc>
        <w:tc>
          <w:tcPr>
            <w:tcW w:w="3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integrity of Roivant’s financial statements;</w:t>
            </w:r>
          </w:p>
        </w:tc>
      </w:tr>
    </w:tbl>
    <w:tbl>
      <w:tblPr>
        <w:tblW w:w="5245" w:type="dxa"/>
        <w:jc w:val="left"/>
        <w:tblInd w:w="0" w:type="dxa"/>
        <w:tblLayout w:type="fixed"/>
        <w:tblCellMar>
          <w:top w:w="0" w:type="dxa"/>
          <w:left w:w="0" w:type="dxa"/>
          <w:bottom w:w="0" w:type="dxa"/>
          <w:right w:w="0" w:type="dxa"/>
        </w:tblCellMar>
      </w:tblPr>
      <w:tblGrid>
        <w:gridCol w:w="140"/>
        <w:gridCol w:w="5105"/>
      </w:tblGrid>
      <w:tr>
        <w:trPr/>
        <w:tc>
          <w:tcPr>
            <w:tcW w:w="14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Roivant’s compliance with legal and regulatory requirements;</w:t>
            </w:r>
          </w:p>
        </w:tc>
      </w:tr>
    </w:tbl>
    <w:tbl>
      <w:tblPr>
        <w:tblW w:w="8845" w:type="dxa"/>
        <w:jc w:val="left"/>
        <w:tblInd w:w="0" w:type="dxa"/>
        <w:tblLayout w:type="fixed"/>
        <w:tblCellMar>
          <w:top w:w="0" w:type="dxa"/>
          <w:left w:w="0" w:type="dxa"/>
          <w:bottom w:w="0" w:type="dxa"/>
          <w:right w:w="0" w:type="dxa"/>
        </w:tblCellMar>
      </w:tblPr>
      <w:tblGrid>
        <w:gridCol w:w="140"/>
        <w:gridCol w:w="8705"/>
      </w:tblGrid>
      <w:tr>
        <w:trPr/>
        <w:tc>
          <w:tcPr>
            <w:tcW w:w="14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Company’s information security (including cybersecurity) and technology risk management programs;</w:t>
            </w:r>
          </w:p>
        </w:tc>
      </w:tr>
    </w:tbl>
    <w:tbl>
      <w:tblPr>
        <w:tblW w:w="7120" w:type="dxa"/>
        <w:jc w:val="left"/>
        <w:tblInd w:w="0" w:type="dxa"/>
        <w:tblLayout w:type="fixed"/>
        <w:tblCellMar>
          <w:top w:w="0" w:type="dxa"/>
          <w:left w:w="0" w:type="dxa"/>
          <w:bottom w:w="0" w:type="dxa"/>
          <w:right w:w="0" w:type="dxa"/>
        </w:tblCellMar>
      </w:tblPr>
      <w:tblGrid>
        <w:gridCol w:w="140"/>
        <w:gridCol w:w="6980"/>
      </w:tblGrid>
      <w:tr>
        <w:trPr/>
        <w:tc>
          <w:tcPr>
            <w:tcW w:w="14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significant risks, and assessing the steps management has taken to control these risks;</w:t>
            </w:r>
          </w:p>
        </w:tc>
      </w:tr>
    </w:tbl>
    <w:tbl>
      <w:tblPr>
        <w:tblW w:w="7120" w:type="dxa"/>
        <w:jc w:val="left"/>
        <w:tblInd w:w="0" w:type="dxa"/>
        <w:tblLayout w:type="fixed"/>
        <w:tblCellMar>
          <w:top w:w="0" w:type="dxa"/>
          <w:left w:w="0" w:type="dxa"/>
          <w:bottom w:w="0" w:type="dxa"/>
          <w:right w:w="0" w:type="dxa"/>
        </w:tblCellMar>
      </w:tblPr>
      <w:tblGrid>
        <w:gridCol w:w="140"/>
        <w:gridCol w:w="6980"/>
      </w:tblGrid>
      <w:tr>
        <w:trPr/>
        <w:tc>
          <w:tcPr>
            <w:tcW w:w="14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performance and responsibilities of Roivant’s internal audit function (if any); and</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appointment, qualifications, and independence of the independent registered public accounting firm.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also reviews the performance of the independent registered public accounting firm in the annual audit of Roivant’s financial statements and in assignments unrelated to the audit, and reviews the independent registered public accounting firm’s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composed of three non-employee directors. The Board of Directors has determined that each member of the Audit Committee is independent and that Ms. Epperly qualifies as an “audit committee financial expert” under SEC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audited financial statements for Roivant’s fiscal year ended on March 31, 2026 with Roivant’s management. The Audit Committee has discussed with the independent registered public accounting firm the matters required to be discussed by the applicable requirements of the Public Company Accounting Oversight Board (the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Roivant’s Annual Report on Form 10-K for its fiscal year ended on March 31, 2026.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 Epperly (Chair)</w:t>
      </w:r>
    </w:p>
    <w:p>
      <w:pPr>
        <w:pStyle w:val="TextBody"/>
        <w:bidi w:val="0"/>
        <w:spacing w:before="0" w:after="283"/>
        <w:ind w:left="400" w:right="0" w:hanging="0"/>
        <w:jc w:val="left"/>
        <w:rPr>
          <w:color w:val="000000"/>
        </w:rPr>
      </w:pPr>
      <w:r>
        <w:rPr>
          <w:color w:val="000000"/>
        </w:rPr>
        <w:t xml:space="preserve">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K. Manchester</w:t>
      </w:r>
    </w:p>
    <w:p>
      <w:pPr>
        <w:pStyle w:val="TextBody"/>
        <w:bidi w:val="0"/>
        <w:spacing w:before="0" w:after="283"/>
        <w:ind w:left="400" w:right="0" w:hanging="0"/>
        <w:jc w:val="left"/>
        <w:rPr>
          <w:color w:val="000000"/>
        </w:rPr>
      </w:pPr>
      <w:r>
        <w:rPr>
          <w:color w:val="000000"/>
        </w:rPr>
        <w:t xml:space="preserve">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 FitzGerald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81" w:name="ny20073886x1_def14a_115-prop3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PRO3"/>
      <w:bookmarkEnd w:id="82"/>
      <w:r>
        <w:rPr>
          <w:rFonts w:ascii="Times New Roman;Times;serif" w:hAnsi="Times New Roman;Times;serif"/>
          <w:b/>
          <w:color w:val="000000"/>
          <w:sz w:val="20"/>
        </w:rPr>
        <w:t>PROPOSAL NO. 3</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TO APPROVE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14A(a)(1) of the Exchange Act, our Board of Directors is providing the shareholders with an opportunity to approve, on a non-binding, advisory basis, the compensation of our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proposal, commonly known as a “say on pay” proposal, gives our shareholders the opportunity to vote to approve, on a non-binding, advisory basis, the compensation of our NEOs. This vote is not intended to address any specific item of compensation or the compensation of any particular officer, but rather the overall compensation of our NEOs. Accordingly, we are asking our shareholders to approve the following non-binding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RESOLVED, that the Company’s shareholders approve, on a non-binding, advisory basis, the compensation of the Company’s named executive officers, as disclosed in this Proxy Statement pursuant to Item 402 under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you vote, we recommend that you read the “Executive Compensation” section of this Proxy Statement for additional details on our executive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vote is advisory, and therefore not binding on us, the Board of Directors or the Compensation Committee. However, our Board of Directors and Compensation Committee value the opinions of our shareholders and intend to take into account the outcome of the vote when considering future compensation decisions for our NEOs.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on a non-binding, advisory basis of the compensation of our NEOs requires the affirmative vote of a majority of common shares cast in accordance with our Bye-laws. Abstentions and broker non-votes are not considered to be votes cast and therefore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a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approval, on a non-binding, advisory basis, of the compensation of the Company’s NEOs.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3" w:name="ny20073886x1_def14a_116-qa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QAA"/>
      <w:bookmarkEnd w:id="84"/>
      <w:r>
        <w:rPr>
          <w:rFonts w:ascii="Times New Roman;Times;serif" w:hAnsi="Times New Roman;Times;serif"/>
          <w:b/>
          <w:color w:val="000000"/>
          <w:sz w:val="20"/>
        </w:rPr>
        <w:t xml:space="preserve">QUESTIONS AND ANSWERS ABOUT THE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providing these proxy materials to you in connection with our Board of Directors’ solicitation of proxies for use at the 2026 Annual General Meeting of Shareholders (the “Annual Meeting”), including at any adjournment or postponement of the Annual Meeting. The Annual Meeting will be held on Wednesday, September 16, 2026, at 10:30 a.m. United Kingdom local time, at the Royal Lancaster London Hotel, Lancaster Terrace, London W2 2TY, United Kingdom. Shareholders are invited to attend the Annual Meeting and are requested to vote on the proposals described in this proxy statement (the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shareholders as of the close of business on July 23, 2026 will receive the proxy materials and have the ability to access them via the Internet, including this Proxy Statement and our Annual Report, at </w:t>
      </w:r>
      <w:r>
        <w:rPr>
          <w:rFonts w:ascii="Times New Roman;Times;serif" w:hAnsi="Times New Roman;Times;serif"/>
          <w:i/>
          <w:color w:val="000000"/>
          <w:sz w:val="20"/>
        </w:rPr>
        <w:t>http://www.proxyvote.com</w:t>
      </w:r>
      <w:r>
        <w:rPr>
          <w:rFonts w:ascii="Times New Roman;Times;serif" w:hAnsi="Times New Roman;Times;serif"/>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proposals will be voted on at the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three matters scheduled for a vote: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two (2) directors, Daniel Gold and Meghan FitzGerald, to serve as Class II directors to hold office until the date of the annual general meeting of shareholders following the fiscal year ending March 31, 2029, and until their successors are duly elected and qualified, or until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EY as our independent registered public accounting firm for our fiscal year ending March 31, 2027, to appoint EY as our auditor for statutory purposes under the Bermuda Companies Act 1981, as amended (the “Companies Act”), for our fiscal year ending March 31, 2027, and to authorize the Board of Directors, through the Audit Committee, to set the remuneration for EY as our auditor for our fiscal year ending March 31, 2027; and </w:t>
            </w:r>
          </w:p>
        </w:tc>
      </w:tr>
    </w:tbl>
    <w:tbl>
      <w:tblPr>
        <w:tblW w:w="8350" w:type="dxa"/>
        <w:jc w:val="left"/>
        <w:tblInd w:w="0" w:type="dxa"/>
        <w:tblLayout w:type="fixed"/>
        <w:tblCellMar>
          <w:top w:w="0" w:type="dxa"/>
          <w:left w:w="0" w:type="dxa"/>
          <w:bottom w:w="0" w:type="dxa"/>
          <w:right w:w="0" w:type="dxa"/>
        </w:tblCellMar>
      </w:tblPr>
      <w:tblGrid>
        <w:gridCol w:w="200"/>
        <w:gridCol w:w="81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cast a non-binding, advisory vote to approve the compensation of our named executive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three matters scheduled for a vote, in accordance with the Companies Act and Section 73 of our Amended and Restated Bye-laws (the “Bye-laws”), our audited financial statements as of and for our fiscal year ended on March 31, 2026, will be laid before the Annual Meeting. These financial statements were audited by EY. The Audit Committee and the Board of Directors have approved these financial statements. There is no requirement under Bermuda law that these financial statements be approved by our shareholders and no such approval will be sought at the Annual Meeting. Copies of these proxy materials have been provided to EY, our auditor for our fiscal year ended March 31, 2026, as required by the Companies Act.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our Board of Directors recommend that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you vote: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ALL </w:t>
            </w:r>
            <w:r>
              <w:rPr>
                <w:rFonts w:ascii="Times New Roman;Times;serif" w:hAnsi="Times New Roman;Times;serif"/>
                <w:color w:val="000000"/>
                <w:sz w:val="20"/>
              </w:rPr>
              <w:t xml:space="preserve">for the election of the two (2) directors nominated by our Board of Directors and named in this Proxy Statement as Class II directors to serve for a three-year term;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EY as our independent registered public accounting firm for the fiscal year ending March 31, 2027; and </w:t>
            </w:r>
          </w:p>
        </w:tc>
      </w:tr>
    </w:tbl>
    <w:tbl>
      <w:tblPr>
        <w:tblW w:w="9880" w:type="dxa"/>
        <w:jc w:val="left"/>
        <w:tblInd w:w="0" w:type="dxa"/>
        <w:tblLayout w:type="fixed"/>
        <w:tblCellMar>
          <w:top w:w="0" w:type="dxa"/>
          <w:left w:w="0" w:type="dxa"/>
          <w:bottom w:w="0" w:type="dxa"/>
          <w:right w:w="0" w:type="dxa"/>
        </w:tblCellMar>
      </w:tblPr>
      <w:tblGrid>
        <w:gridCol w:w="200"/>
        <w:gridCol w:w="968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approval, on a non-binding, advisory basis, of the compensation of the Company’s named executive officers.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and when will the Annual Meeting be held?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on Wednesday, September 16, 2026, at 10:30 a.m. United Kingdom local time, at the Royal Lancaster London Hotel, Lancaster Terrace, London W2 2TY, United Kingdom. Information on how to vote in person at the Annual Meeting is discussed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85" w:name="ny20073886x1_def14a_116-qa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fixed the close of business on July 23, 2026 as the record date for the determination of shareholders entitled to notice of, and to vote at, the Annual Meeting, or at any adjournment of the Annual Meeting (the “Record Date”). Only shareholders of record at the close of business on the Record Date will be entitled to vote at the Annual Meeting. On the Record Date, there were 722,406,273 common shares outstanding and entitled to vote.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July 23, 2026, your common shares were registered directly in your name with our transfer agent, Equiniti Trust Company, LLC, then you are a shareholder of record. As a shareholder of record, you may vote by proxy as specified in the proxy materials or you may vote in person at the Annual Meeting. Whether or not you plan to attend the Annual Meeting, we urge you to vote by proxy over the Internet or by telephone, or vote by proxy by using a proxy card that you may request or that we may elect to deliver to you at a later time, to ensure your vote is counted. </w:t>
      </w:r>
    </w:p>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a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July 23, 2026, your common shares were held not in your name, but rather in an account at your broker, bank or other agent, then you are the beneficial owner of common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bank or other agent regarding how to vote the common shares in your account. You are also invited to attend the Annual Meeting. However, since you are not the shareholder of record, you may not vote your common shares in person at the meeting unless you request and obtain a valid proxy from your broker, bank or other agent.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you may vote in person at the Annual Meeting, vote by proxy over the Internet or by telephone, or vote by proxy by using a proxy card that you may request or that we may elect to deliver to you at a later time. Whether or not you plan to attend the Annual Meeting, we urge you to vote by proxy to ensure your vote is counted. You may still attend the Annual Meeting and vote in person even if you have already voted by proxy. </w:t>
      </w:r>
    </w:p>
    <w:tbl>
      <w:tblPr>
        <w:tblW w:w="9415" w:type="dxa"/>
        <w:jc w:val="left"/>
        <w:tblInd w:w="0" w:type="dxa"/>
        <w:tblLayout w:type="fixed"/>
        <w:tblCellMar>
          <w:top w:w="0" w:type="dxa"/>
          <w:left w:w="0" w:type="dxa"/>
          <w:bottom w:w="0" w:type="dxa"/>
          <w:right w:w="0" w:type="dxa"/>
        </w:tblCellMar>
      </w:tblPr>
      <w:tblGrid>
        <w:gridCol w:w="140"/>
        <w:gridCol w:w="9275"/>
      </w:tblGrid>
      <w:tr>
        <w:trPr/>
        <w:tc>
          <w:tcPr>
            <w:tcW w:w="14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in Person</w:t>
            </w:r>
            <w:r>
              <w:rPr>
                <w:rFonts w:ascii="Times New Roman;Times;serif" w:hAnsi="Times New Roman;Times;serif"/>
                <w:color w:val="000000"/>
                <w:sz w:val="20"/>
              </w:rPr>
              <w:t xml:space="preserve">: To vote in person, come to the Annual Meeting and we will give you a ballot when you arrive.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Proxy Card</w:t>
            </w:r>
            <w:r>
              <w:rPr>
                <w:rFonts w:ascii="Times New Roman;Times;serif" w:hAnsi="Times New Roman;Times;serif"/>
                <w:color w:val="000000"/>
                <w:sz w:val="20"/>
              </w:rPr>
              <w:t xml:space="preserve">: To vote using a proxy card, which you may request or we may elect to deliver to you, simply complete, sign and date the proxy card and return it promptly in the envelope provided with the proxy card. If you return your signed proxy card to us before the Annual Meeting, we will vote your shares as you direct. If you vote over the Internet or telephone, you are not required to mail a proxy card.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Telephone</w:t>
            </w:r>
            <w:r>
              <w:rPr>
                <w:rFonts w:ascii="Times New Roman;Times;serif" w:hAnsi="Times New Roman;Times;serif"/>
                <w:color w:val="000000"/>
                <w:sz w:val="20"/>
              </w:rPr>
              <w:t xml:space="preserve">: To vote over the telephone, dial toll-free 1-800-690-6903 using a touch-tone phone and follow the recorded instructions. You will be asked to provide the vote control number from the Notice. Have your Notice in hand when you call and follow the instructions. Your vote must be received by 11:59 p.m. Eastern Time on September 15, 2026,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Voting by Internet</w:t>
            </w:r>
            <w:r>
              <w:rPr>
                <w:rFonts w:ascii="Times New Roman;Times;serif" w:hAnsi="Times New Roman;Times;serif"/>
                <w:color w:val="000000"/>
                <w:sz w:val="20"/>
              </w:rPr>
              <w:t xml:space="preserve">: To vote over the Internet, go to </w:t>
            </w:r>
            <w:r>
              <w:rPr>
                <w:rFonts w:ascii="Times New Roman;Times;serif" w:hAnsi="Times New Roman;Times;serif"/>
                <w:i/>
                <w:color w:val="000000"/>
                <w:sz w:val="20"/>
              </w:rPr>
              <w:t>http://www.proxyvote.com</w:t>
            </w:r>
            <w:r>
              <w:rPr>
                <w:rFonts w:ascii="Times New Roman;Times;serif" w:hAnsi="Times New Roman;Times;serif"/>
                <w:color w:val="000000"/>
                <w:sz w:val="20"/>
              </w:rPr>
              <w:t xml:space="preserve"> to complete an electronic proxy card. You will be asked to provide the vote control number from the Notice. Have your Notice in hand when you access the web site and follow the instructions to obtain your records and to create an electronic voting instruction form. Your vote must be received by 11:59 p.m. Eastern Time on September 15, 2026, to be counted.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common shares registered in the name of your broker, bank or other agent, you should have received a Notice containing voting instructions from that organization, rather than from Roivant. Simply follow the voting instructions in the Notice to ensure that your vote is counted. You may vote by telephone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86" w:name="ny20073886x1_def14a_116-qa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over the Internet as instructed by your broker, bank or other agent. To vote in person at the Annual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common share you owned as of the close of business on July 23, 2026.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each proposal. </w:t>
      </w:r>
    </w:p>
    <w:tbl>
      <w:tblPr>
        <w:tblW w:w="10205" w:type="dxa"/>
        <w:jc w:val="left"/>
        <w:tblInd w:w="0" w:type="dxa"/>
        <w:tblLayout w:type="fixed"/>
        <w:tblCellMar>
          <w:top w:w="0" w:type="dxa"/>
          <w:left w:w="0" w:type="dxa"/>
          <w:bottom w:w="0" w:type="dxa"/>
          <w:right w:w="0" w:type="dxa"/>
        </w:tblCellMar>
      </w:tblPr>
      <w:tblGrid>
        <w:gridCol w:w="849"/>
        <w:gridCol w:w="170"/>
        <w:gridCol w:w="170"/>
        <w:gridCol w:w="4033"/>
        <w:gridCol w:w="170"/>
        <w:gridCol w:w="170"/>
        <w:gridCol w:w="4643"/>
      </w:tblGrid>
      <w:tr>
        <w:trPr/>
        <w:tc>
          <w:tcPr>
            <w:tcW w:w="8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pPr>
            <w:r>
              <w:rPr/>
              <w:t> </w:t>
            </w:r>
          </w:p>
        </w:tc>
      </w:tr>
      <w:tr>
        <w:trPr/>
        <w:tc>
          <w:tcPr>
            <w:tcW w:w="8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w:t>
            </w:r>
          </w:p>
        </w:tc>
      </w:tr>
      <w:tr>
        <w:trPr/>
        <w:tc>
          <w:tcPr>
            <w:tcW w:w="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Plurality of Votes Cast (the two nominees who receive the most “For” votes cast will be elected as directors) </w:t>
            </w:r>
          </w:p>
        </w:tc>
      </w:tr>
      <w:tr>
        <w:trPr/>
        <w:tc>
          <w:tcPr>
            <w:tcW w:w="8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color w:val="000000"/>
              </w:rPr>
            </w:pPr>
            <w:r>
              <w:rPr>
                <w:color w:val="000000"/>
              </w:rPr>
              <w:t> </w:t>
            </w:r>
          </w:p>
        </w:tc>
      </w:tr>
      <w:tr>
        <w:trPr/>
        <w:tc>
          <w:tcPr>
            <w:tcW w:w="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EY as our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Majority of Votes Cast (the affirmative votes of a majority of the votes cast) </w:t>
            </w:r>
          </w:p>
        </w:tc>
      </w:tr>
      <w:tr>
        <w:trPr/>
        <w:tc>
          <w:tcPr>
            <w:tcW w:w="8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color w:val="000000"/>
              </w:rPr>
            </w:pPr>
            <w:r>
              <w:rPr>
                <w:color w:val="000000"/>
              </w:rPr>
              <w:t> </w:t>
            </w:r>
          </w:p>
        </w:tc>
      </w:tr>
      <w:tr>
        <w:trPr/>
        <w:tc>
          <w:tcPr>
            <w:tcW w:w="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Non-binding, advisory vote to approve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Votes Cast (the affirmative votes of a majority of the votes cast)</w:t>
            </w:r>
          </w:p>
        </w:tc>
      </w:tr>
      <w:tr>
        <w:trPr/>
        <w:tc>
          <w:tcPr>
            <w:tcW w:w="8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Times New Roman;Times;serif" w:hAnsi="Times New Roman;Times;serif"/>
          <w:b/>
          <w:color w:val="000000"/>
          <w:sz w:val="20"/>
        </w:rPr>
      </w:pPr>
      <w:bookmarkStart w:id="87" w:name="tQA1"/>
      <w:bookmarkEnd w:id="87"/>
      <w:r>
        <w:rPr>
          <w:rFonts w:ascii="Times New Roman;Times;serif" w:hAnsi="Times New Roman;Times;serif"/>
          <w:b/>
          <w:color w:val="000000"/>
          <w:sz w:val="20"/>
        </w:rPr>
        <w:t xml:space="preserve">What if I do not specify how my common shares are to be voted?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and you submit a proxy but you do not provide voting instructions, your shares will be voted: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ALL for the election of the two (2) directors nominated by our Board of Directors and named in this Proxy Statement as Class II directors to serve for a three-year term (Proposal No. 1);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EY as our independent registered public accounting firm for the fiscal year ending March 31, 2027 (Proposal No. 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approval, on a non-binding, advisory basis, of the compensation of the Company’s named executive officers (Proposal No. 3);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discretion of the named proxy holders regarding any other matters properly presented for a vote at the Annual Meeting. </w:t>
            </w:r>
          </w:p>
        </w:tc>
      </w:tr>
    </w:tbl>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Bank or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you do not provide your broker, bank or other nominee that holds your common shares with voting instructions, then your broker, bank or other nominee will determine if it has discretion to vote on each matter. Brokers do not have discretion to vote on non-routine matters. Proposals No. 1 (election of directors) and No. 3 (compensation of named executive officers) are both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common shares with respect to Proposals No. 1 (election of directors) and No. 3 (compensation of named executive officers) which would result in a “broker non-vote,” but may, in its discretion, vote your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88" w:name="ny20073886x1_def14a_116-qa_pg4"/>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shares with respect to Proposal No. 2 (ratification of appointment of independent registered public accounting firm). For additional information regarding broker non-votes, see the section of this Proxy Statement entitled “What are the effects of abstentions and broker non-votes?” below.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effects of abstentions and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abstention represents a shareholder’s affirmative choice to decline to vote on a proposal. If a shareholder indicates on its proxy card that it wishes to abstain from voting its common shares, or if a broker, bank or other nominee holding its customers’ common shares of record causes abstentions to be recorded for common shares, these common shares will be considered present and entitled to vote at the Annual Meeting. As a result, abstentions will be counted for purposes of determining the presence or absence of a quorum. Abstentions, where applicable, are not considered to be votes cast and therefore will have no effect on the outcome of the vote for any such proposals as long as a quorum exists.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broker non-vote occurs when a broker, bank or other nominee holding common shares for a beneficial owner does not vote on a particular proposal because the broker, bank or other nominee does not have discretionary voting power with respect to such proposal and has not received voting instructions from the beneficial owner of the common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shareholders is necessary to hold a valid meeting. A quorum will be present if two or more persons are present in person and represent in person or by proxy in excess of 50% of the total voting rights of all issued and outstanding common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agent) or if you vote in person at the Annual Meeting. Abstentions and broker non-votes will be counted towards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within half an hour from the time appointed for the Annual Meeting a quorum is not present, then the meeting will stand adjourned to the same day one week later, at the same time and place or to such other day, time or place as the Secretary may determine. Unless the meeting is adjourned to a specific date, place and time announced at the Annual Meeting being adjourned, new notice of the date, place and time for the resumption of the adjourned meeting will be given to each shareholder entitled to attend and vote thereat in accordance with our Bye-laws.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revoke my proxy or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Shareholder of Record: Common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or change your vote at any time before the final vote at the Annual Meeting. If you are the record holder of your shares, you may revoke your proxy or change your vote in any one of the following ways: </w:t>
      </w:r>
    </w:p>
    <w:tbl>
      <w:tblPr>
        <w:tblW w:w="6250" w:type="dxa"/>
        <w:jc w:val="left"/>
        <w:tblInd w:w="0" w:type="dxa"/>
        <w:tblLayout w:type="fixed"/>
        <w:tblCellMar>
          <w:top w:w="0" w:type="dxa"/>
          <w:left w:w="0" w:type="dxa"/>
          <w:bottom w:w="0" w:type="dxa"/>
          <w:right w:w="0" w:type="dxa"/>
        </w:tblCellMar>
      </w:tblPr>
      <w:tblGrid>
        <w:gridCol w:w="200"/>
        <w:gridCol w:w="60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5890" w:type="dxa"/>
        <w:jc w:val="left"/>
        <w:tblInd w:w="0" w:type="dxa"/>
        <w:tblLayout w:type="fixed"/>
        <w:tblCellMar>
          <w:top w:w="0" w:type="dxa"/>
          <w:left w:w="0" w:type="dxa"/>
          <w:bottom w:w="0" w:type="dxa"/>
          <w:right w:w="0" w:type="dxa"/>
        </w:tblCellMar>
      </w:tblPr>
      <w:tblGrid>
        <w:gridCol w:w="200"/>
        <w:gridCol w:w="569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over the Internet.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Roivant Sciences Ltd., Attn: Secretary, at Clarendon House, 2 Church Street, Hamilton HM 11, Bermuda.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in person. Simply attending the Annual Meeting will not, by itself, revoke your proxy.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vote at the Annual Meeting, your most current proxy card, or vote by proxy over the Internet or telephone, unless revoked, reflects the vote that will be counted.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Common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bank as a nominee or agent, you should follow the instructions provided by your broker or bank.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89" w:name="ny20073886x1_def14a_116-qa_pg5"/>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Annual Meeting. If any other matters are properly brought before the meeting, it is the intention of the persons named on the proxy card to vote all shares represented by valid proxies on those matters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or set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or set of proxy materials, your shares may be registered in more than one name or in different accounts. Please follow the voting instructions on each Notice to ensure that all of your shares are voted.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shareholder proposals and director nominations due for next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our proxy materials for next year’s annual general meeting of shareholders, your proposal must be submitted in writing by April 1, 2027, to our Secretary at Roivant Sciences Ltd., Clarendon House, 2 Church Street, Hamilton HM 11, Bermuda. Any member submitting a shareholder proposal to be included in our Proxy Statement must comply with the provisions of SEC rule 14a-8.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wish to nominate an individual for election or bring other business before next year’s annual general meeting of shareholders that is not to be included in next year’s proxy materials pursuant to the shareholder proposal procedures under the rules and regulations of the SEC, you must deliver your notice to our Secretary at the address mentioned above no earlier than May 19, 2027, and no later than June 18, 2027; provided that if the date of the annual general meeting of shareholders is earlier than August 17, 2027, or later than October 16, 2027, you must submit your proposal to the address mentioned above not later than ten (10) days following the earlier of the date on which notice of the annual general meeting was posted to our shareholders or the date on which public disclosure of the date of the annual general meeting was made. Any such nomination by a shareholder or other business must comply with the provisions of Bye-law 26. In addition to complying with the advance notice provisions of our Bye-laws, shareholders who intend to solicit proxies in support of director nominees other than the Company’s nominees must give timely notice that complies with the additional requirements of the SEC’s universal proxy rule, Rule 14a-19 under the Exchange Act, which must be received no later than July 18, 2027. If the date of next year’s annual general meeting of shareholders changes by more than 30 days from the date of the 2026 Annual Meeting, such notice must instead be provided by the later of 60 days prior to the date of such annual general meeting of shareholders or the 10th day following public announcement by the Company of the date of the 2027 annual general meeting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may be announced at the Annual Meeting. In addition, final voting results will be published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90" w:name="ny20073886x1_def14a_117-info_pg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AI"/>
      <w:bookmarkEnd w:id="91"/>
      <w:r>
        <w:rPr>
          <w:rFonts w:ascii="Times New Roman;Times;serif" w:hAnsi="Times New Roman;Times;serif"/>
          <w:b/>
          <w:color w:val="000000"/>
          <w:sz w:val="20"/>
        </w:rPr>
        <w:t xml:space="preserve">ADDITIONAL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a number of brokers with account holders who are Roivant shareholders will be “householding” our proxy materials. A single set of Annual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Roivant. Direct your written request to Roivant Sciences Ltd., Attn: Secretary, at Clarendon House, 2 Church Street, Hamilton HM 11, Bermuda, or call us at +44 207 400 3347. Shareholders who currently receive multiple copies of the Annual Meeting materials at their addresses and would like to request “householding” of their communications should contact their brokers.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About Our Website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Web links to our website throughout this document are provided for convenience only. Please note that information on or accessible through our website is not part of, or incorporated by reference into,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Board of Directors does not intend to present any matters other than those described herein at the Annual Meeting and is unaware of any matters to be presented by other parties. If other matters are properly brought before the Annual Meeting for action by the shareholders, proxies will be voted in accordance with the recommendation of the Board of Directors or, in the absence of such a recommendation, in the discretion of the proxy holder.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the Annual Report on Form 10-K for Fiscal 2025 (the “2025 Annual Report”), with the SEC. It is available free of charge at the SEC’s web site at www.sec.gov, and free of charge from us upon request. Exhibits to the 2025 Annual Report are available upon your written request and upon payment of a reasonable fee, which is limited to our expenses in furnishing the requested exhibit. All requests should be directed to Attn: Secretary at Clarendon House, 2 Church Street, Hamilton HM 11, Bermuda.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92" w:name="ny20073886x1_def14a_400-proxycard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93" w:name="ny20073886x1_def14a_400-proxycard_pg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41833</Words>
  <Characters>228791</Characters>
  <CharactersWithSpaces>272826</CharactersWithSpaces>
  <Paragraphs>6384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