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060" w:firstLine="656"/>
        <w:spacing w:after="0" w:line="498" w:lineRule="auto"/>
        <w:tabs>
          <w:tab w:leader="none" w:pos="11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Shares, $0.0000000341740141 par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ROIV</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Redeemable warrants, each whole warrant</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ROIVW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 for one Common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ind w:left="1140" w:right="1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20, 2023, Vivek Ramaswamy, a Class II director of Roivant Sciences Ltd. (the “Company”), stepped down from his role on the Company’s board of directors (the “Board”) effective immediately, to imminently pursue an outside opportunity. Mr. Ramaswamy’s decision to resign from the Board was not due to any disagreement with the Company, its management or the Board on any matter relating to the Company’s operations, policies or practices. The Company thanks Mr. Ramaswamy for his many years of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2023-02-21T15:12:39Z</dcterms:created>
  <dcterms:modified xsi:type="dcterms:W3CDTF">2023-02-21T15:12:39Z</dcterms:modified>
</cp:coreProperties>
</file>