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1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October 3, 2025</w:t>
      </w:r>
    </w:p>
    <w:p>
      <w:pPr>
        <w:spacing w:after="0" w:line="39" w:lineRule="exact"/>
        <w:rPr>
          <w:sz w:val="24"/>
          <w:szCs w:val="24"/>
          <w:color w:val="auto"/>
        </w:rPr>
      </w:pPr>
    </w:p>
    <w:p>
      <w:pPr>
        <w:ind w:left="72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594804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48045" cy="16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95250</wp:posOffset>
            </wp:positionV>
            <wp:extent cx="5948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48045" cy="8255"/>
                    </a:xfrm>
                    <a:prstGeom prst="rect">
                      <a:avLst/>
                    </a:prstGeom>
                    <a:noFill/>
                  </pic:spPr>
                </pic:pic>
              </a:graphicData>
            </a:graphic>
          </wp:anchor>
        </w:drawing>
      </w:r>
    </w:p>
    <w:p>
      <w:pPr>
        <w:spacing w:after="0" w:line="28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2445385</wp:posOffset>
            </wp:positionH>
            <wp:positionV relativeFrom="paragraph">
              <wp:posOffset>76835</wp:posOffset>
            </wp:positionV>
            <wp:extent cx="1057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UNDER</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2445385</wp:posOffset>
            </wp:positionH>
            <wp:positionV relativeFrom="paragraph">
              <wp:posOffset>76835</wp:posOffset>
            </wp:positionV>
            <wp:extent cx="1057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18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5"/>
          <w:szCs w:val="35"/>
          <w:b w:val="1"/>
          <w:bCs w:val="1"/>
          <w:color w:val="auto"/>
        </w:rPr>
        <w:t>ROIVANT SCIENCES LTD.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2"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3560" w:type="dxa"/>
            <w:vAlign w:val="bottom"/>
          </w:tcPr>
          <w:p>
            <w:pPr>
              <w:jc w:val="center"/>
              <w:ind w:right="1416"/>
              <w:spacing w:after="0"/>
              <w:rPr>
                <w:sz w:val="20"/>
                <w:szCs w:val="20"/>
                <w:color w:val="auto"/>
              </w:rPr>
            </w:pPr>
            <w:r>
              <w:rPr>
                <w:rFonts w:ascii="Times New Roman" w:cs="Times New Roman" w:eastAsia="Times New Roman" w:hAnsi="Times New Roman"/>
                <w:sz w:val="17"/>
                <w:szCs w:val="17"/>
                <w:b w:val="1"/>
                <w:bCs w:val="1"/>
                <w:color w:val="auto"/>
                <w:w w:val="96"/>
              </w:rPr>
              <w:t>Bermuda</w:t>
            </w:r>
          </w:p>
        </w:tc>
        <w:tc>
          <w:tcPr>
            <w:tcW w:w="3040" w:type="dxa"/>
            <w:vAlign w:val="bottom"/>
          </w:tcPr>
          <w:p>
            <w:pPr>
              <w:jc w:val="center"/>
              <w:ind w:left="1396"/>
              <w:spacing w:after="0"/>
              <w:rPr>
                <w:sz w:val="20"/>
                <w:szCs w:val="20"/>
                <w:color w:val="auto"/>
              </w:rPr>
            </w:pPr>
            <w:r>
              <w:rPr>
                <w:rFonts w:ascii="Times New Roman" w:cs="Times New Roman" w:eastAsia="Times New Roman" w:hAnsi="Times New Roman"/>
                <w:sz w:val="17"/>
                <w:szCs w:val="17"/>
                <w:b w:val="1"/>
                <w:bCs w:val="1"/>
                <w:color w:val="auto"/>
                <w:w w:val="97"/>
              </w:rPr>
              <w:t>98-1173944</w:t>
            </w:r>
          </w:p>
        </w:tc>
      </w:tr>
      <w:tr>
        <w:trPr>
          <w:trHeight w:val="208"/>
        </w:trPr>
        <w:tc>
          <w:tcPr>
            <w:tcW w:w="3560" w:type="dxa"/>
            <w:vAlign w:val="bottom"/>
          </w:tcPr>
          <w:p>
            <w:pPr>
              <w:jc w:val="center"/>
              <w:ind w:right="1456"/>
              <w:spacing w:after="0"/>
              <w:rPr>
                <w:sz w:val="20"/>
                <w:szCs w:val="20"/>
                <w:color w:val="auto"/>
              </w:rPr>
            </w:pPr>
            <w:r>
              <w:rPr>
                <w:rFonts w:ascii="Times New Roman" w:cs="Times New Roman" w:eastAsia="Times New Roman" w:hAnsi="Times New Roman"/>
                <w:sz w:val="17"/>
                <w:szCs w:val="17"/>
                <w:color w:val="auto"/>
                <w:w w:val="99"/>
              </w:rPr>
              <w:t>(State or Other Jurisdiction of</w:t>
            </w:r>
          </w:p>
        </w:tc>
        <w:tc>
          <w:tcPr>
            <w:tcW w:w="3040" w:type="dxa"/>
            <w:vAlign w:val="bottom"/>
          </w:tcPr>
          <w:p>
            <w:pPr>
              <w:jc w:val="center"/>
              <w:ind w:left="1356"/>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18"/>
        </w:trPr>
        <w:tc>
          <w:tcPr>
            <w:tcW w:w="3560" w:type="dxa"/>
            <w:vAlign w:val="bottom"/>
          </w:tcPr>
          <w:p>
            <w:pPr>
              <w:jc w:val="center"/>
              <w:ind w:right="1416"/>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3040" w:type="dxa"/>
            <w:vAlign w:val="bottom"/>
          </w:tcPr>
          <w:p>
            <w:pPr>
              <w:jc w:val="center"/>
              <w:ind w:left="1396"/>
              <w:spacing w:after="0"/>
              <w:rPr>
                <w:sz w:val="20"/>
                <w:szCs w:val="20"/>
                <w:color w:val="auto"/>
              </w:rPr>
            </w:pPr>
            <w:r>
              <w:rPr>
                <w:rFonts w:ascii="Times New Roman" w:cs="Times New Roman" w:eastAsia="Times New Roman" w:hAnsi="Times New Roman"/>
                <w:sz w:val="17"/>
                <w:szCs w:val="17"/>
                <w:color w:val="auto"/>
                <w:w w:val="99"/>
              </w:rPr>
              <w:t>Identification Number)</w:t>
            </w:r>
          </w:p>
        </w:tc>
      </w:tr>
    </w:tbl>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ind w:left="3940" w:right="3960" w:firstLine="250"/>
        <w:spacing w:after="0" w:line="266" w:lineRule="auto"/>
        <w:tabs>
          <w:tab w:leader="none" w:pos="4397"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Broadway London SW1H 0DB</w:t>
      </w:r>
    </w:p>
    <w:p>
      <w:pPr>
        <w:jc w:val="both"/>
        <w:ind w:left="4040" w:right="4060" w:firstLine="15"/>
        <w:spacing w:after="0" w:line="27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United Kingdom +44 207 400 3347</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2445385</wp:posOffset>
            </wp:positionH>
            <wp:positionV relativeFrom="paragraph">
              <wp:posOffset>83820</wp:posOffset>
            </wp:positionV>
            <wp:extent cx="1057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1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Corporation Service Company</w:t>
      </w:r>
    </w:p>
    <w:p>
      <w:pPr>
        <w:spacing w:after="0" w:line="2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251 Little Falls Drive</w:t>
      </w:r>
    </w:p>
    <w:p>
      <w:pPr>
        <w:spacing w:after="0" w:line="13"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Wilmington, Delaware 19808</w:t>
      </w:r>
    </w:p>
    <w:p>
      <w:pPr>
        <w:spacing w:after="0" w:line="1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(800) 927-9801</w:t>
      </w:r>
    </w:p>
    <w:p>
      <w:pPr>
        <w:spacing w:after="0" w:line="13"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2445385</wp:posOffset>
            </wp:positionH>
            <wp:positionV relativeFrom="paragraph">
              <wp:posOffset>83820</wp:posOffset>
            </wp:positionV>
            <wp:extent cx="1057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Copy to:</w:t>
      </w:r>
    </w:p>
    <w:p>
      <w:pPr>
        <w:spacing w:after="0" w:line="9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Derek J. Dostal</w:t>
      </w:r>
    </w:p>
    <w:p>
      <w:pPr>
        <w:spacing w:after="0" w:line="2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Stephen A. Byeff</w:t>
      </w:r>
    </w:p>
    <w:p>
      <w:pPr>
        <w:spacing w:after="0" w:line="1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Davis Polk &amp; Wardwell LLP</w:t>
      </w:r>
    </w:p>
    <w:p>
      <w:pPr>
        <w:spacing w:after="0" w:line="1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450 Lexington Avenue</w:t>
      </w:r>
    </w:p>
    <w:p>
      <w:pPr>
        <w:spacing w:after="0" w:line="1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New York, New York 10017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2445385</wp:posOffset>
            </wp:positionH>
            <wp:positionV relativeFrom="paragraph">
              <wp:posOffset>75565</wp:posOffset>
            </wp:positionV>
            <wp:extent cx="1057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174" w:lineRule="exact"/>
        <w:rPr>
          <w:sz w:val="24"/>
          <w:szCs w:val="24"/>
          <w:color w:val="auto"/>
        </w:rPr>
      </w:pPr>
    </w:p>
    <w:p>
      <w:pPr>
        <w:ind w:right="20" w:firstLine="347"/>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18" w:lineRule="exact"/>
        <w:rPr>
          <w:sz w:val="24"/>
          <w:szCs w:val="24"/>
          <w:color w:val="auto"/>
        </w:rPr>
      </w:pPr>
    </w:p>
    <w:p>
      <w:pPr>
        <w:ind w:right="20" w:firstLine="347"/>
        <w:spacing w:after="0" w:line="22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30" w:lineRule="exact"/>
        <w:rPr>
          <w:sz w:val="24"/>
          <w:szCs w:val="24"/>
          <w:color w:val="auto"/>
        </w:rPr>
      </w:pPr>
    </w:p>
    <w:p>
      <w:pPr>
        <w:ind w:right="220" w:firstLine="347"/>
        <w:spacing w:after="0" w:line="220"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30" w:lineRule="exact"/>
        <w:rPr>
          <w:sz w:val="24"/>
          <w:szCs w:val="24"/>
          <w:color w:val="auto"/>
        </w:rPr>
      </w:pPr>
    </w:p>
    <w:p>
      <w:pPr>
        <w:jc w:val="both"/>
        <w:ind w:right="60" w:firstLine="347"/>
        <w:spacing w:after="0" w:line="277" w:lineRule="auto"/>
        <w:rPr>
          <w:sz w:val="20"/>
          <w:szCs w:val="20"/>
          <w:color w:val="auto"/>
        </w:rPr>
      </w:pPr>
      <w:r>
        <w:rPr>
          <w:rFonts w:ascii="Times New Roman" w:cs="Times New Roman" w:eastAsia="Times New Roman" w:hAnsi="Times New Roman"/>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06" w:lineRule="exact"/>
        <w:rPr>
          <w:sz w:val="24"/>
          <w:szCs w:val="24"/>
          <w:color w:val="auto"/>
        </w:rPr>
      </w:pPr>
    </w:p>
    <w:p>
      <w:pPr>
        <w:ind w:firstLine="347"/>
        <w:spacing w:after="0" w:line="22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30" w:lineRule="exact"/>
        <w:rPr>
          <w:sz w:val="24"/>
          <w:szCs w:val="24"/>
          <w:color w:val="auto"/>
        </w:rPr>
      </w:pPr>
    </w:p>
    <w:p>
      <w:pPr>
        <w:ind w:right="160" w:firstLine="347"/>
        <w:spacing w:after="0" w:line="226"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30" w:lineRule="exact"/>
        <w:rPr>
          <w:sz w:val="24"/>
          <w:szCs w:val="24"/>
          <w:color w:val="auto"/>
        </w:rPr>
      </w:pPr>
    </w:p>
    <w:p>
      <w:pPr>
        <w:ind w:right="460" w:firstLine="347"/>
        <w:spacing w:after="0" w:line="22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4" w:lineRule="exact"/>
        <w:rPr>
          <w:sz w:val="24"/>
          <w:szCs w:val="24"/>
          <w:color w:val="auto"/>
        </w:rPr>
      </w:pPr>
    </w:p>
    <w:p>
      <w:pPr>
        <w:ind w:right="40" w:firstLine="347"/>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340"/>
          </w:cols>
          <w:pgMar w:left="1260" w:top="219" w:right="1299" w:bottom="1151" w:gutter="0" w:footer="0" w:header="0"/>
        </w:sectPr>
      </w:pPr>
    </w:p>
    <w:p>
      <w:pPr>
        <w:spacing w:after="0" w:line="4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3">
            <w:col w:w="4700" w:space="720"/>
            <w:col w:w="1120" w:space="40"/>
            <w:col w:w="2760"/>
          </w:cols>
          <w:pgMar w:left="1260" w:top="219" w:right="1299" w:bottom="1151"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5" w:lineRule="exact"/>
        <w:rPr>
          <w:sz w:val="24"/>
          <w:szCs w:val="24"/>
          <w:color w:val="auto"/>
        </w:rPr>
      </w:pPr>
    </w:p>
    <w:p>
      <w:pPr>
        <w:sectPr>
          <w:pgSz w:w="11900" w:h="16838" w:orient="portrait"/>
          <w:cols w:equalWidth="0" w:num="4">
            <w:col w:w="1420" w:space="40"/>
            <w:col w:w="3240" w:space="720"/>
            <w:col w:w="1840" w:space="40"/>
            <w:col w:w="2040"/>
          </w:cols>
          <w:pgMar w:left="1260" w:top="219" w:right="1299" w:bottom="1151" w:gutter="0" w:footer="0" w:header="0"/>
          <w:type w:val="continuous"/>
        </w:sectPr>
      </w:pPr>
    </w:p>
    <w:p>
      <w:pPr>
        <w:ind w:right="360" w:firstLine="347"/>
        <w:spacing w:after="0" w:line="22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5948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80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184150</wp:posOffset>
            </wp:positionV>
            <wp:extent cx="594804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8045" cy="1651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307975</wp:posOffset>
            </wp:positionV>
            <wp:extent cx="674052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340"/>
          </w:cols>
          <w:pgMar w:left="1260" w:top="219" w:right="1299" w:bottom="1151" w:gutter="0" w:footer="0" w:header="0"/>
          <w:type w:val="continuous"/>
        </w:sectPr>
      </w:pPr>
    </w:p>
    <w:bookmarkStart w:id="1" w:name="page2"/>
    <w:bookmarkEnd w:id="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19" w:lineRule="exact"/>
        <w:rPr>
          <w:sz w:val="20"/>
          <w:szCs w:val="20"/>
          <w:color w:val="auto"/>
        </w:rPr>
      </w:pPr>
    </w:p>
    <w:p>
      <w:pPr>
        <w:ind w:left="440" w:right="519" w:firstLine="347"/>
        <w:spacing w:after="0" w:line="293" w:lineRule="auto"/>
        <w:rPr>
          <w:sz w:val="20"/>
          <w:szCs w:val="20"/>
          <w:color w:val="auto"/>
        </w:rPr>
      </w:pPr>
      <w:r>
        <w:rPr>
          <w:rFonts w:ascii="Times New Roman" w:cs="Times New Roman" w:eastAsia="Times New Roman" w:hAnsi="Times New Roman"/>
          <w:sz w:val="17"/>
          <w:szCs w:val="17"/>
          <w:color w:val="auto"/>
        </w:rPr>
        <w:t>This registration statement of Roivant Sciences Ltd. (together with its consolidated subsidiaries, “Roivant,” the “Company,” “we” or “us”) contains two prospectuses:</w:t>
      </w:r>
    </w:p>
    <w:p>
      <w:pPr>
        <w:spacing w:after="0" w:line="43" w:lineRule="exact"/>
        <w:rPr>
          <w:sz w:val="20"/>
          <w:szCs w:val="20"/>
          <w:color w:val="auto"/>
        </w:rPr>
      </w:pPr>
    </w:p>
    <w:p>
      <w:pPr>
        <w:ind w:left="1140" w:right="599" w:hanging="348"/>
        <w:spacing w:after="0" w:line="268" w:lineRule="auto"/>
        <w:tabs>
          <w:tab w:leader="none" w:pos="1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prospectus which covers the offering, issuance and sale from time to time of common shares, $0.0000000341740141 par value per share (the “Common Shares”), preference shares, debt securities, warrants to purchase Common Shares, preference shares or debt securities, and units consisting of two or more types of the foregoing securities; and</w:t>
      </w:r>
    </w:p>
    <w:p>
      <w:pPr>
        <w:spacing w:after="0" w:line="63" w:lineRule="exact"/>
        <w:rPr>
          <w:rFonts w:ascii="Times New Roman" w:cs="Times New Roman" w:eastAsia="Times New Roman" w:hAnsi="Times New Roman"/>
          <w:sz w:val="17"/>
          <w:szCs w:val="17"/>
          <w:color w:val="auto"/>
        </w:rPr>
      </w:pPr>
    </w:p>
    <w:p>
      <w:pPr>
        <w:ind w:left="1140" w:right="459" w:hanging="348"/>
        <w:spacing w:after="0" w:line="274" w:lineRule="auto"/>
        <w:tabs>
          <w:tab w:leader="none" w:pos="1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prospectus covering the offering, issuance and sale by us of Common Shares up to a maximum aggregate offering price of $400.0 million pursuant to a Sales Agreement, dated September 19, 2022 with TD Securities (USA) LLC, successor to Cowen and Company, LLC (the “Sales Agreement”).</w:t>
      </w:r>
    </w:p>
    <w:p>
      <w:pPr>
        <w:spacing w:after="0" w:line="59" w:lineRule="exact"/>
        <w:rPr>
          <w:sz w:val="20"/>
          <w:szCs w:val="20"/>
          <w:color w:val="auto"/>
        </w:rPr>
      </w:pPr>
    </w:p>
    <w:p>
      <w:pPr>
        <w:jc w:val="both"/>
        <w:ind w:left="440" w:right="579" w:firstLine="347"/>
        <w:spacing w:after="0" w:line="274" w:lineRule="auto"/>
        <w:rPr>
          <w:sz w:val="20"/>
          <w:szCs w:val="20"/>
          <w:color w:val="auto"/>
        </w:rPr>
      </w:pPr>
      <w:r>
        <w:rPr>
          <w:rFonts w:ascii="Times New Roman" w:cs="Times New Roman" w:eastAsia="Times New Roman" w:hAnsi="Times New Roman"/>
          <w:sz w:val="17"/>
          <w:szCs w:val="17"/>
          <w:color w:val="auto"/>
        </w:rPr>
        <w:t>The base prospectus immediately follows this explanatory note. The Sales Agreement prospectus immediately follows the base prospectus. As of the date of filing this registration statement, no portion of the $400.0 million of Common Shares contemplated by the Sales Agreement has been sold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98425</wp:posOffset>
            </wp:positionV>
            <wp:extent cx="674052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 w:name="page3"/>
    <w:bookmarkEnd w:id="2"/>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86995</wp:posOffset>
            </wp:positionV>
            <wp:extent cx="2998470" cy="69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847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193040</wp:posOffset>
            </wp:positionV>
            <wp:extent cx="1057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4"/>
          <w:szCs w:val="24"/>
          <w:b w:val="1"/>
          <w:bCs w:val="1"/>
          <w:color w:val="auto"/>
        </w:rPr>
        <w:t>Common Shares</w:t>
      </w:r>
    </w:p>
    <w:p>
      <w:pPr>
        <w:spacing w:after="0" w:line="4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4"/>
          <w:szCs w:val="24"/>
          <w:b w:val="1"/>
          <w:bCs w:val="1"/>
          <w:color w:val="auto"/>
        </w:rPr>
        <w:t>Preference Shares</w:t>
      </w:r>
    </w:p>
    <w:p>
      <w:pPr>
        <w:spacing w:after="0" w:line="1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152400</wp:posOffset>
            </wp:positionV>
            <wp:extent cx="1057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318" w:lineRule="exact"/>
        <w:rPr>
          <w:sz w:val="20"/>
          <w:szCs w:val="20"/>
          <w:color w:val="auto"/>
        </w:rPr>
      </w:pPr>
    </w:p>
    <w:p>
      <w:pPr>
        <w:ind w:left="540" w:right="559" w:firstLine="347"/>
        <w:spacing w:after="0" w:line="268" w:lineRule="auto"/>
        <w:rPr>
          <w:sz w:val="20"/>
          <w:szCs w:val="20"/>
          <w:color w:val="auto"/>
        </w:rPr>
      </w:pPr>
      <w:r>
        <w:rPr>
          <w:rFonts w:ascii="Times New Roman" w:cs="Times New Roman" w:eastAsia="Times New Roman" w:hAnsi="Times New Roman"/>
          <w:sz w:val="17"/>
          <w:szCs w:val="17"/>
          <w:color w:val="auto"/>
        </w:rPr>
        <w:t>From time to time, we may offer common shares, $0.0000000341740141 par value per share (the “Common Shares”), preference shares, senior and/or subordinated debt securities, warrants to purchase any of such securities or units consisting of a combination of any of the foregoing. Selling securityholders may also from time to time offer such securities.</w:t>
      </w:r>
    </w:p>
    <w:p>
      <w:pPr>
        <w:spacing w:after="0" w:line="63" w:lineRule="exact"/>
        <w:rPr>
          <w:sz w:val="20"/>
          <w:szCs w:val="20"/>
          <w:color w:val="auto"/>
        </w:rPr>
      </w:pPr>
    </w:p>
    <w:p>
      <w:pPr>
        <w:ind w:left="540" w:right="659" w:firstLine="347"/>
        <w:spacing w:after="0" w:line="261" w:lineRule="auto"/>
        <w:rPr>
          <w:sz w:val="20"/>
          <w:szCs w:val="20"/>
          <w:color w:val="auto"/>
        </w:rPr>
      </w:pPr>
      <w:r>
        <w:rPr>
          <w:rFonts w:ascii="Times New Roman" w:cs="Times New Roman" w:eastAsia="Times New Roman" w:hAnsi="Times New Roman"/>
          <w:sz w:val="17"/>
          <w:szCs w:val="17"/>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73" w:lineRule="exact"/>
        <w:rPr>
          <w:sz w:val="20"/>
          <w:szCs w:val="20"/>
          <w:color w:val="auto"/>
        </w:rPr>
      </w:pPr>
    </w:p>
    <w:p>
      <w:pPr>
        <w:ind w:left="540" w:right="739" w:firstLine="347"/>
        <w:spacing w:after="0" w:line="265" w:lineRule="auto"/>
        <w:rPr>
          <w:sz w:val="20"/>
          <w:szCs w:val="20"/>
          <w:color w:val="auto"/>
        </w:rPr>
      </w:pPr>
      <w:r>
        <w:rPr>
          <w:rFonts w:ascii="Times New Roman" w:cs="Times New Roman" w:eastAsia="Times New Roman" w:hAnsi="Times New Roman"/>
          <w:sz w:val="17"/>
          <w:szCs w:val="17"/>
          <w:color w:val="auto"/>
        </w:rPr>
        <w:t>Our Common Shares are listed on the Nasdaq Global Select Market under the trading symbol “ROIV.” On October 1, 2025, the last reported sale price of our Common Shares was $15.75 per share. The applicable prospectus supplement will contain information, where applicable, as to other listings, if any, on the Nasdaq Global Select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177165</wp:posOffset>
            </wp:positionV>
            <wp:extent cx="1057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0" w:right="639" w:firstLine="347"/>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Investing in our securities involves a high degree of risk. See the “Risk Factors” section on page </w:t>
      </w:r>
      <w:r>
        <w:rPr>
          <w:rFonts w:ascii="Times New Roman" w:cs="Times New Roman" w:eastAsia="Times New Roman" w:hAnsi="Times New Roman"/>
          <w:sz w:val="17"/>
          <w:szCs w:val="17"/>
          <w:b w:val="1"/>
          <w:bCs w:val="1"/>
          <w:u w:val="single" w:color="auto"/>
          <w:color w:val="0000EE"/>
        </w:rPr>
        <w:t>2</w:t>
      </w:r>
      <w:r>
        <w:rPr>
          <w:rFonts w:ascii="Times New Roman" w:cs="Times New Roman" w:eastAsia="Times New Roman" w:hAnsi="Times New Roman"/>
          <w:sz w:val="17"/>
          <w:szCs w:val="17"/>
          <w:b w:val="1"/>
          <w:bCs w:val="1"/>
          <w:color w:val="auto"/>
        </w:rPr>
        <w:t xml:space="preserve"> of this prospectus, in any applicable prospectus supplement and in our Securities and Exchange Commission (“SEC”) filings that are incorporated by reference herein.</w:t>
      </w:r>
    </w:p>
    <w:p>
      <w:pPr>
        <w:spacing w:after="0" w:line="59" w:lineRule="exact"/>
        <w:rPr>
          <w:sz w:val="20"/>
          <w:szCs w:val="20"/>
          <w:color w:val="auto"/>
        </w:rPr>
      </w:pPr>
    </w:p>
    <w:p>
      <w:pPr>
        <w:ind w:left="540" w:right="659" w:firstLine="347"/>
        <w:spacing w:after="0" w:line="260" w:lineRule="auto"/>
        <w:rPr>
          <w:sz w:val="20"/>
          <w:szCs w:val="20"/>
          <w:color w:val="auto"/>
        </w:rPr>
      </w:pPr>
      <w:r>
        <w:rPr>
          <w:rFonts w:ascii="Times New Roman" w:cs="Times New Roman" w:eastAsia="Times New Roman" w:hAnsi="Times New Roman"/>
          <w:sz w:val="17"/>
          <w:szCs w:val="17"/>
          <w:color w:val="auto"/>
        </w:rPr>
        <w:t>The securities may be sold directly by us or any selling securityholder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if any, will also be set forth in a prospectus supplement.</w:t>
      </w:r>
    </w:p>
    <w:p>
      <w:pPr>
        <w:spacing w:after="0" w:line="73" w:lineRule="exact"/>
        <w:rPr>
          <w:sz w:val="20"/>
          <w:szCs w:val="20"/>
          <w:color w:val="auto"/>
        </w:rPr>
      </w:pPr>
    </w:p>
    <w:p>
      <w:pPr>
        <w:jc w:val="both"/>
        <w:ind w:left="540" w:right="719" w:firstLine="347"/>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p>
      <w:pPr>
        <w:ind w:left="540" w:right="679" w:firstLine="347"/>
        <w:spacing w:after="0" w:line="268" w:lineRule="auto"/>
        <w:rPr>
          <w:sz w:val="20"/>
          <w:szCs w:val="20"/>
          <w:color w:val="auto"/>
        </w:rPr>
      </w:pPr>
      <w:r>
        <w:rPr>
          <w:rFonts w:ascii="Times New Roman" w:cs="Times New Roman" w:eastAsia="Times New Roman" w:hAnsi="Times New Roman"/>
          <w:sz w:val="17"/>
          <w:szCs w:val="17"/>
          <w:color w:val="auto"/>
        </w:rPr>
        <w:t>The filing of the registration statement of which this prospectus forms a part is not indicative of any current intention to offer or sell securities. As of the date of the registration statement of which this prospectus forms a part, we have an active share repurchase program in place and may or may not utilize the registration statement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151130</wp:posOffset>
            </wp:positionV>
            <wp:extent cx="1057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128270</wp:posOffset>
            </wp:positionV>
            <wp:extent cx="674052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41"/>
        </w:trPr>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3"/>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0"/>
        </w:trPr>
        <w:tc>
          <w:tcPr>
            <w:tcW w:w="7840" w:type="dxa"/>
            <w:vAlign w:val="bottom"/>
            <w:gridSpan w:val="16"/>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About This Prospectus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7"/>
                <w:szCs w:val="17"/>
                <w:color w:val="0000EE"/>
                <w:w w:val="84"/>
              </w:rPr>
              <w:t>ii</w:t>
            </w:r>
          </w:p>
        </w:tc>
      </w:tr>
      <w:tr>
        <w:trPr>
          <w:trHeight w:val="182"/>
        </w:trPr>
        <w:tc>
          <w:tcPr>
            <w:tcW w:w="1580" w:type="dxa"/>
            <w:vAlign w:val="bottom"/>
            <w:tcBorders>
              <w:top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Prospectus Summary</w:t>
            </w:r>
          </w:p>
        </w:tc>
        <w:tc>
          <w:tcPr>
            <w:tcW w:w="6260" w:type="dxa"/>
            <w:vAlign w:val="bottom"/>
            <w:tcBorders>
              <w:top w:val="single" w:sz="8" w:color="CCEEFF"/>
            </w:tcBorders>
            <w:gridSpan w:val="7"/>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EE"/>
            </w:tcBorders>
            <w:gridSpan w:val="2"/>
          </w:tcPr>
          <w:p>
            <w:pPr>
              <w:jc w:val="right"/>
              <w:spacing w:after="0" w:line="182" w:lineRule="exact"/>
              <w:rPr>
                <w:sz w:val="20"/>
                <w:szCs w:val="20"/>
                <w:color w:val="auto"/>
              </w:rPr>
            </w:pPr>
            <w:r>
              <w:rPr>
                <w:rFonts w:ascii="Times New Roman" w:cs="Times New Roman" w:eastAsia="Times New Roman" w:hAnsi="Times New Roman"/>
                <w:sz w:val="17"/>
                <w:szCs w:val="17"/>
                <w:color w:val="0000EE"/>
                <w:w w:val="93"/>
              </w:rPr>
              <w:t>1</w:t>
            </w:r>
          </w:p>
        </w:tc>
        <w:tc>
          <w:tcPr>
            <w:tcW w:w="60" w:type="dxa"/>
            <w:vAlign w:val="bottom"/>
            <w:tcBorders>
              <w:top w:val="single" w:sz="8" w:color="CCEEFF"/>
            </w:tcBorders>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8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Risk Factors</w:t>
            </w:r>
          </w:p>
        </w:tc>
        <w:tc>
          <w:tcPr>
            <w:tcW w:w="6960" w:type="dxa"/>
            <w:vAlign w:val="bottom"/>
            <w:gridSpan w:val="14"/>
            <w:shd w:val="clear" w:color="auto" w:fill="CCEEFF"/>
          </w:tcPr>
          <w:p>
            <w:pPr>
              <w:spacing w:after="0"/>
              <w:rPr>
                <w:sz w:val="15"/>
                <w:szCs w:val="15"/>
                <w:color w:val="auto"/>
              </w:rPr>
            </w:pPr>
          </w:p>
        </w:tc>
        <w:tc>
          <w:tcPr>
            <w:tcW w:w="220" w:type="dxa"/>
            <w:vAlign w:val="bottom"/>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0000EE"/>
              </w:rPr>
              <w:t>2</w:t>
            </w:r>
          </w:p>
        </w:tc>
        <w:tc>
          <w:tcPr>
            <w:tcW w:w="60" w:type="dxa"/>
            <w:vAlign w:val="bottom"/>
            <w:shd w:val="clear" w:color="auto" w:fill="CCEEFF"/>
          </w:tcPr>
          <w:p>
            <w:pPr>
              <w:spacing w:after="0"/>
              <w:rPr>
                <w:sz w:val="15"/>
                <w:szCs w:val="15"/>
                <w:color w:val="auto"/>
              </w:rPr>
            </w:pP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2"/>
        </w:trPr>
        <w:tc>
          <w:tcPr>
            <w:tcW w:w="784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Forward-Looking Statements</w:t>
            </w:r>
          </w:p>
        </w:tc>
        <w:tc>
          <w:tcPr>
            <w:tcW w:w="2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3</w:t>
            </w:r>
          </w:p>
        </w:tc>
        <w:tc>
          <w:tcPr>
            <w:tcW w:w="60" w:type="dxa"/>
            <w:vAlign w:val="bottom"/>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114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Use of Proceeds</w:t>
            </w:r>
          </w:p>
        </w:tc>
        <w:tc>
          <w:tcPr>
            <w:tcW w:w="6700" w:type="dxa"/>
            <w:vAlign w:val="bottom"/>
            <w:gridSpan w:val="12"/>
            <w:shd w:val="clear" w:color="auto" w:fill="CCEEFF"/>
          </w:tcPr>
          <w:p>
            <w:pPr>
              <w:spacing w:after="0"/>
              <w:rPr>
                <w:sz w:val="15"/>
                <w:szCs w:val="15"/>
                <w:color w:val="auto"/>
              </w:rPr>
            </w:pPr>
          </w:p>
        </w:tc>
        <w:tc>
          <w:tcPr>
            <w:tcW w:w="220" w:type="dxa"/>
            <w:vAlign w:val="bottom"/>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0000EE"/>
              </w:rPr>
              <w:t>5</w:t>
            </w:r>
          </w:p>
        </w:tc>
        <w:tc>
          <w:tcPr>
            <w:tcW w:w="60" w:type="dxa"/>
            <w:vAlign w:val="bottom"/>
            <w:shd w:val="clear" w:color="auto" w:fill="CCEEFF"/>
          </w:tcPr>
          <w:p>
            <w:pPr>
              <w:spacing w:after="0"/>
              <w:rPr>
                <w:sz w:val="15"/>
                <w:szCs w:val="15"/>
                <w:color w:val="auto"/>
              </w:rPr>
            </w:pP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2"/>
        </w:trPr>
        <w:tc>
          <w:tcPr>
            <w:tcW w:w="784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Description of Share Capital</w:t>
            </w:r>
          </w:p>
        </w:tc>
        <w:tc>
          <w:tcPr>
            <w:tcW w:w="2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7"/>
                <w:szCs w:val="17"/>
                <w:color w:val="0000EE"/>
              </w:rPr>
              <w:t>6</w:t>
            </w:r>
          </w:p>
        </w:tc>
        <w:tc>
          <w:tcPr>
            <w:tcW w:w="60" w:type="dxa"/>
            <w:vAlign w:val="bottom"/>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784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280" w:type="dxa"/>
            <w:vAlign w:val="bottom"/>
            <w:gridSpan w:val="5"/>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13</w:t>
            </w: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2"/>
        </w:trPr>
        <w:tc>
          <w:tcPr>
            <w:tcW w:w="2100" w:type="dxa"/>
            <w:vAlign w:val="bottom"/>
            <w:gridSpan w:val="13"/>
          </w:tcPr>
          <w:p>
            <w:pPr>
              <w:spacing w:after="0" w:line="182" w:lineRule="exact"/>
              <w:rPr>
                <w:sz w:val="20"/>
                <w:szCs w:val="20"/>
                <w:color w:val="auto"/>
              </w:rPr>
            </w:pPr>
            <w:r>
              <w:rPr>
                <w:rFonts w:ascii="Times New Roman" w:cs="Times New Roman" w:eastAsia="Times New Roman" w:hAnsi="Times New Roman"/>
                <w:sz w:val="17"/>
                <w:szCs w:val="17"/>
                <w:color w:val="0000EE"/>
              </w:rPr>
              <w:t>Description of Warrants</w:t>
            </w:r>
          </w:p>
        </w:tc>
        <w:tc>
          <w:tcPr>
            <w:tcW w:w="5740" w:type="dxa"/>
            <w:vAlign w:val="bottom"/>
            <w:gridSpan w:val="3"/>
          </w:tcPr>
          <w:p>
            <w:pPr>
              <w:spacing w:after="0"/>
              <w:rPr>
                <w:sz w:val="15"/>
                <w:szCs w:val="15"/>
                <w:color w:val="auto"/>
              </w:rPr>
            </w:pPr>
          </w:p>
        </w:tc>
        <w:tc>
          <w:tcPr>
            <w:tcW w:w="280" w:type="dxa"/>
            <w:vAlign w:val="bottom"/>
            <w:gridSpan w:val="5"/>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19</w:t>
            </w: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784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Description of Units</w:t>
            </w:r>
          </w:p>
        </w:tc>
        <w:tc>
          <w:tcPr>
            <w:tcW w:w="280" w:type="dxa"/>
            <w:vAlign w:val="bottom"/>
            <w:gridSpan w:val="5"/>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20</w:t>
            </w: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2"/>
        </w:trPr>
        <w:tc>
          <w:tcPr>
            <w:tcW w:w="142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Forms of Securities</w:t>
            </w:r>
          </w:p>
        </w:tc>
        <w:tc>
          <w:tcPr>
            <w:tcW w:w="6420" w:type="dxa"/>
            <w:vAlign w:val="bottom"/>
            <w:gridSpan w:val="9"/>
          </w:tcPr>
          <w:p>
            <w:pPr>
              <w:spacing w:after="0"/>
              <w:rPr>
                <w:sz w:val="15"/>
                <w:szCs w:val="15"/>
                <w:color w:val="auto"/>
              </w:rPr>
            </w:pPr>
          </w:p>
        </w:tc>
        <w:tc>
          <w:tcPr>
            <w:tcW w:w="280" w:type="dxa"/>
            <w:vAlign w:val="bottom"/>
            <w:gridSpan w:val="5"/>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21</w:t>
            </w: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784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Plan of Distribution</w:t>
            </w:r>
          </w:p>
        </w:tc>
        <w:tc>
          <w:tcPr>
            <w:tcW w:w="280" w:type="dxa"/>
            <w:vAlign w:val="bottom"/>
            <w:gridSpan w:val="5"/>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23</w:t>
            </w: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2"/>
        </w:trPr>
        <w:tc>
          <w:tcPr>
            <w:tcW w:w="1380" w:type="dxa"/>
            <w:vAlign w:val="bottom"/>
            <w:gridSpan w:val="6"/>
          </w:tcPr>
          <w:p>
            <w:pPr>
              <w:spacing w:after="0" w:line="182" w:lineRule="exact"/>
              <w:rPr>
                <w:sz w:val="20"/>
                <w:szCs w:val="20"/>
                <w:color w:val="auto"/>
              </w:rPr>
            </w:pPr>
            <w:r>
              <w:rPr>
                <w:rFonts w:ascii="Times New Roman" w:cs="Times New Roman" w:eastAsia="Times New Roman" w:hAnsi="Times New Roman"/>
                <w:sz w:val="17"/>
                <w:szCs w:val="17"/>
                <w:color w:val="0000EE"/>
              </w:rPr>
              <w:t>Legal Matters</w:t>
            </w:r>
          </w:p>
        </w:tc>
        <w:tc>
          <w:tcPr>
            <w:tcW w:w="6460" w:type="dxa"/>
            <w:vAlign w:val="bottom"/>
            <w:gridSpan w:val="10"/>
          </w:tcPr>
          <w:p>
            <w:pPr>
              <w:spacing w:after="0"/>
              <w:rPr>
                <w:sz w:val="15"/>
                <w:szCs w:val="15"/>
                <w:color w:val="auto"/>
              </w:rPr>
            </w:pPr>
          </w:p>
        </w:tc>
        <w:tc>
          <w:tcPr>
            <w:tcW w:w="280" w:type="dxa"/>
            <w:vAlign w:val="bottom"/>
            <w:gridSpan w:val="5"/>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25</w:t>
            </w: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Experts</w:t>
            </w:r>
          </w:p>
        </w:tc>
        <w:tc>
          <w:tcPr>
            <w:tcW w:w="7300" w:type="dxa"/>
            <w:vAlign w:val="bottom"/>
            <w:gridSpan w:val="15"/>
            <w:shd w:val="clear" w:color="auto" w:fill="CCEEFF"/>
          </w:tcPr>
          <w:p>
            <w:pPr>
              <w:spacing w:after="0"/>
              <w:rPr>
                <w:sz w:val="15"/>
                <w:szCs w:val="15"/>
                <w:color w:val="auto"/>
              </w:rPr>
            </w:pPr>
          </w:p>
        </w:tc>
        <w:tc>
          <w:tcPr>
            <w:tcW w:w="280" w:type="dxa"/>
            <w:vAlign w:val="bottom"/>
            <w:gridSpan w:val="5"/>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25</w:t>
            </w: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2"/>
        </w:trPr>
        <w:tc>
          <w:tcPr>
            <w:tcW w:w="7840" w:type="dxa"/>
            <w:vAlign w:val="bottom"/>
            <w:gridSpan w:val="16"/>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Additional Information</w:t>
            </w:r>
          </w:p>
        </w:tc>
        <w:tc>
          <w:tcPr>
            <w:tcW w:w="280" w:type="dxa"/>
            <w:vAlign w:val="bottom"/>
            <w:gridSpan w:val="5"/>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25</w:t>
            </w: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784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280" w:type="dxa"/>
            <w:vAlign w:val="bottom"/>
            <w:gridSpan w:val="5"/>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7"/>
                <w:szCs w:val="17"/>
                <w:color w:val="0000EE"/>
              </w:rPr>
              <w:t>26</w:t>
            </w:r>
          </w:p>
        </w:tc>
      </w:tr>
      <w:tr>
        <w:trPr>
          <w:trHeight w:val="71"/>
        </w:trPr>
        <w:tc>
          <w:tcPr>
            <w:tcW w:w="5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9" w:lineRule="exact"/>
        <w:rPr>
          <w:sz w:val="20"/>
          <w:szCs w:val="20"/>
          <w:color w:val="auto"/>
        </w:rPr>
      </w:pPr>
    </w:p>
    <w:p>
      <w:pPr>
        <w:ind w:left="440" w:right="459" w:firstLine="347"/>
        <w:spacing w:after="0" w:line="263"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 using a “shelf” registration process under the Securities Act of 1933, as amended (the “Securities Act”). Under this shelf registration statement, we or any selling securityholder may, from time to time, offer and sell in one or more offerings Common Shares, preference shares, various series of debt securities, warrants to purchase any of such securities and/or units either individually or in combination with other securities. This prospectus provides you with a general description of the securities we or any selling securityholder may offer.</w:t>
      </w:r>
    </w:p>
    <w:p>
      <w:pPr>
        <w:spacing w:after="0" w:line="68" w:lineRule="exact"/>
        <w:rPr>
          <w:sz w:val="20"/>
          <w:szCs w:val="20"/>
          <w:color w:val="auto"/>
        </w:rPr>
      </w:pPr>
    </w:p>
    <w:p>
      <w:pPr>
        <w:ind w:left="440" w:right="639" w:firstLine="347"/>
        <w:spacing w:after="0" w:line="259" w:lineRule="auto"/>
        <w:rPr>
          <w:sz w:val="20"/>
          <w:szCs w:val="20"/>
          <w:color w:val="auto"/>
        </w:rPr>
      </w:pPr>
      <w:r>
        <w:rPr>
          <w:rFonts w:ascii="Times New Roman" w:cs="Times New Roman" w:eastAsia="Times New Roman" w:hAnsi="Times New Roman"/>
          <w:sz w:val="17"/>
          <w:szCs w:val="17"/>
          <w:color w:val="auto"/>
        </w:rPr>
        <w:t>Each time we or any selling securityholder sells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important information relating to the applicable offering. We urge you to carefully read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70" w:lineRule="exact"/>
        <w:rPr>
          <w:sz w:val="20"/>
          <w:szCs w:val="20"/>
          <w:color w:val="auto"/>
        </w:rPr>
      </w:pPr>
    </w:p>
    <w:p>
      <w:pPr>
        <w:ind w:left="440" w:right="619" w:firstLine="347"/>
        <w:spacing w:after="0" w:line="263" w:lineRule="auto"/>
        <w:rPr>
          <w:sz w:val="20"/>
          <w:szCs w:val="20"/>
          <w:color w:val="auto"/>
        </w:rPr>
      </w:pPr>
      <w:r>
        <w:rPr>
          <w:rFonts w:ascii="Times New Roman" w:cs="Times New Roman" w:eastAsia="Times New Roman" w:hAnsi="Times New Roman"/>
          <w:sz w:val="17"/>
          <w:szCs w:val="17"/>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68" w:lineRule="exact"/>
        <w:rPr>
          <w:sz w:val="20"/>
          <w:szCs w:val="20"/>
          <w:color w:val="auto"/>
        </w:rPr>
      </w:pPr>
    </w:p>
    <w:p>
      <w:pPr>
        <w:ind w:left="440" w:right="479" w:firstLine="347"/>
        <w:spacing w:after="0" w:line="264" w:lineRule="auto"/>
        <w:rPr>
          <w:sz w:val="20"/>
          <w:szCs w:val="20"/>
          <w:color w:val="auto"/>
        </w:rPr>
      </w:pPr>
      <w:r>
        <w:rPr>
          <w:rFonts w:ascii="Times New Roman" w:cs="Times New Roman" w:eastAsia="Times New Roman" w:hAnsi="Times New Roman"/>
          <w:sz w:val="17"/>
          <w:szCs w:val="17"/>
          <w:color w:val="auto"/>
        </w:rPr>
        <w:t>The information appearing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securities. Our business, financial condition, results of operations and prospects may have changed since those dates.</w:t>
      </w:r>
    </w:p>
    <w:p>
      <w:pPr>
        <w:spacing w:after="0" w:line="278" w:lineRule="exact"/>
        <w:rPr>
          <w:sz w:val="20"/>
          <w:szCs w:val="20"/>
          <w:color w:val="auto"/>
        </w:rPr>
      </w:pPr>
    </w:p>
    <w:p>
      <w:pPr>
        <w:ind w:left="440" w:right="479" w:firstLine="347"/>
        <w:spacing w:after="0" w:line="260" w:lineRule="auto"/>
        <w:rPr>
          <w:sz w:val="20"/>
          <w:szCs w:val="20"/>
          <w:color w:val="auto"/>
        </w:rPr>
      </w:pPr>
      <w:r>
        <w:rPr>
          <w:rFonts w:ascii="Times New Roman" w:cs="Times New Roman" w:eastAsia="Times New Roman" w:hAnsi="Times New Roman"/>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contained in the applicable prospectus supplement and any related free writing prospectus, and under similar headings in the other documents that are incorporated by reference into this prospectus and the applicable prospectus supplement. Accordingly, investors should not place undue reliance on this information.</w:t>
      </w:r>
    </w:p>
    <w:p>
      <w:pPr>
        <w:spacing w:after="0" w:line="280" w:lineRule="exact"/>
        <w:rPr>
          <w:sz w:val="20"/>
          <w:szCs w:val="20"/>
          <w:color w:val="auto"/>
        </w:rPr>
      </w:pPr>
    </w:p>
    <w:p>
      <w:pPr>
        <w:ind w:left="440" w:right="459" w:firstLine="347"/>
        <w:spacing w:after="0" w:line="263"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68" w:lineRule="exact"/>
        <w:rPr>
          <w:sz w:val="20"/>
          <w:szCs w:val="20"/>
          <w:color w:val="auto"/>
        </w:rPr>
      </w:pPr>
    </w:p>
    <w:p>
      <w:pPr>
        <w:ind w:left="440" w:right="539" w:firstLine="347"/>
        <w:spacing w:after="0" w:line="268" w:lineRule="auto"/>
        <w:rPr>
          <w:sz w:val="20"/>
          <w:szCs w:val="20"/>
          <w:color w:val="auto"/>
        </w:rPr>
      </w:pPr>
      <w:r>
        <w:rPr>
          <w:rFonts w:ascii="Times New Roman" w:cs="Times New Roman" w:eastAsia="Times New Roman" w:hAnsi="Times New Roman"/>
          <w:sz w:val="17"/>
          <w:szCs w:val="17"/>
          <w:color w:val="auto"/>
        </w:rPr>
        <w:t>The filing of the registration statement of which this prospectus forms a part is not indicative of any current intention to offer or sell securities. As of the date of the registration statement of which this prospectus forms a part, we have an active share repurchase program in place and may or may not utilize the registration statement for the foreseeable future.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 w:name="page6"/>
    <w:bookmarkEnd w:id="5"/>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84455</wp:posOffset>
            </wp:positionV>
            <wp:extent cx="5448300" cy="6216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48300" cy="62166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17" w:lineRule="exact"/>
        <w:rPr>
          <w:sz w:val="20"/>
          <w:szCs w:val="20"/>
          <w:color w:val="auto"/>
        </w:rPr>
      </w:pPr>
    </w:p>
    <w:p>
      <w:pPr>
        <w:ind w:left="460" w:right="539" w:firstLine="347"/>
        <w:spacing w:after="0" w:line="25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 Unless the context indicates otherwise, references in this prospectus to the “Company,” “Roivant,” “we,” “us,” “our” and similar terms refer to Roivant Sciences Ltd., a Bermuda exempted limited company, and its consolidated subsidiaries. Our fiscal year ends on March 31.</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3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left="460" w:right="479" w:firstLine="347"/>
        <w:spacing w:after="0" w:line="260" w:lineRule="auto"/>
        <w:rPr>
          <w:sz w:val="20"/>
          <w:szCs w:val="20"/>
          <w:color w:val="auto"/>
        </w:rPr>
      </w:pPr>
      <w:r>
        <w:rPr>
          <w:rFonts w:ascii="Times New Roman" w:cs="Times New Roman" w:eastAsia="Times New Roman" w:hAnsi="Times New Roman"/>
          <w:sz w:val="17"/>
          <w:szCs w:val="17"/>
          <w:color w:val="auto"/>
        </w:rPr>
        <w:t>Roivant is a biopharmaceutical company that aims to improve the lives of patients by accelerating the development and commercialization of medicines that matter. Roivant’s pipeline includes brepocitinib, a potent small molecule inhibitor of TYK2 and JAK1 in development for the treatment of dermatomyositis, non-infectious uveitis and cutaneous sarcoidosis;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9" w:lineRule="exact"/>
        <w:rPr>
          <w:sz w:val="20"/>
          <w:szCs w:val="20"/>
          <w:color w:val="auto"/>
        </w:rPr>
      </w:pPr>
    </w:p>
    <w:p>
      <w:pPr>
        <w:jc w:val="both"/>
        <w:ind w:left="460" w:right="459" w:firstLine="347"/>
        <w:spacing w:after="0" w:line="274" w:lineRule="auto"/>
        <w:rPr>
          <w:sz w:val="20"/>
          <w:szCs w:val="20"/>
          <w:color w:val="auto"/>
        </w:rPr>
      </w:pPr>
      <w:r>
        <w:rPr>
          <w:rFonts w:ascii="Times New Roman" w:cs="Times New Roman" w:eastAsia="Times New Roman" w:hAnsi="Times New Roman"/>
          <w:sz w:val="17"/>
          <w:szCs w:val="17"/>
          <w:color w:val="auto"/>
        </w:rPr>
        <w:t>We were registered as an exempted limited company in Bermuda in 2014, under the name Valor Biotechnology Ltd. In November 2014 we changed our name to Roivant Sciences Ltd. Our principal executive offices are located at 7th Floor, 50 Broadway, London SW1H 0DB, United Kingdom. Our telephone number is +44 207 400 3347.</w:t>
      </w:r>
    </w:p>
    <w:p>
      <w:pPr>
        <w:spacing w:after="0" w:line="59" w:lineRule="exact"/>
        <w:rPr>
          <w:sz w:val="20"/>
          <w:szCs w:val="20"/>
          <w:color w:val="auto"/>
        </w:rPr>
      </w:pPr>
    </w:p>
    <w:p>
      <w:pPr>
        <w:jc w:val="both"/>
        <w:ind w:left="460" w:right="479" w:firstLine="347"/>
        <w:spacing w:after="0" w:line="274" w:lineRule="auto"/>
        <w:rPr>
          <w:sz w:val="20"/>
          <w:szCs w:val="20"/>
          <w:color w:val="auto"/>
        </w:rPr>
      </w:pPr>
      <w:r>
        <w:rPr>
          <w:rFonts w:ascii="Times New Roman" w:cs="Times New Roman" w:eastAsia="Times New Roman" w:hAnsi="Times New Roman"/>
          <w:sz w:val="17"/>
          <w:szCs w:val="17"/>
          <w:color w:val="auto"/>
        </w:rPr>
        <w:t>Our web page address is https://roivant.com.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Nasdaq Global Select Market Listing</w:t>
      </w:r>
    </w:p>
    <w:p>
      <w:pPr>
        <w:spacing w:after="0" w:line="119" w:lineRule="exact"/>
        <w:rPr>
          <w:sz w:val="20"/>
          <w:szCs w:val="20"/>
          <w:color w:val="auto"/>
        </w:rPr>
      </w:pPr>
    </w:p>
    <w:p>
      <w:pPr>
        <w:ind w:left="460" w:right="459" w:firstLine="347"/>
        <w:spacing w:after="0" w:line="268" w:lineRule="auto"/>
        <w:rPr>
          <w:sz w:val="20"/>
          <w:szCs w:val="20"/>
          <w:color w:val="auto"/>
        </w:rPr>
      </w:pPr>
      <w:r>
        <w:rPr>
          <w:rFonts w:ascii="Times New Roman" w:cs="Times New Roman" w:eastAsia="Times New Roman" w:hAnsi="Times New Roman"/>
          <w:sz w:val="17"/>
          <w:szCs w:val="17"/>
          <w:color w:val="auto"/>
        </w:rPr>
        <w:t>Our Common Shares are listed on the Nasdaq Global Select Market under the symbol “ROIV.” The applicable prospectus supplement will contain information, where applicable, as to other listings, if any, on the Nasdaq Global Select Market or any other securities market or other exchange of the securities covered by the applicable prospectus supplement.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left="440" w:right="479" w:firstLine="347"/>
        <w:spacing w:after="0" w:line="258" w:lineRule="auto"/>
        <w:rPr>
          <w:sz w:val="20"/>
          <w:szCs w:val="20"/>
          <w:color w:val="auto"/>
        </w:rPr>
      </w:pPr>
      <w:r>
        <w:rPr>
          <w:rFonts w:ascii="Times New Roman" w:cs="Times New Roman" w:eastAsia="Times New Roman" w:hAnsi="Times New Roman"/>
          <w:sz w:val="17"/>
          <w:szCs w:val="17"/>
          <w:color w:val="auto"/>
        </w:rPr>
        <w:t>Our business and investing in our securities involves a high degree of risk. You should carefully consider the risks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You should also consider the risks, uncertainties and other information set forth in the reports and other materials filed or furnished by us and our majority-controlled subsidiary, Immunovant, Inc. (“Immunovant”), with the SEC. The risks identified in these SEC filings could have a material and adverse impact on our business, prospects, results of operations, financial condition and cash flows. If any such events were to happen, the trading price of our Common Shares could decline, and you could lose all or part of your investment. Please also read carefully the section below titled “Forward-Looking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left="440" w:right="499" w:firstLine="347"/>
        <w:spacing w:after="0" w:line="260" w:lineRule="auto"/>
        <w:rPr>
          <w:sz w:val="20"/>
          <w:szCs w:val="20"/>
          <w:color w:val="auto"/>
        </w:rPr>
      </w:pPr>
      <w:r>
        <w:rPr>
          <w:rFonts w:ascii="Times New Roman" w:cs="Times New Roman" w:eastAsia="Times New Roman" w:hAnsi="Times New Roman"/>
          <w:sz w:val="17"/>
          <w:szCs w:val="17"/>
          <w:color w:val="auto"/>
        </w:rPr>
        <w:t>This prospectus and the documents we have filed with the SEC that are incorporated by reference contain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71" w:lineRule="exact"/>
        <w:rPr>
          <w:sz w:val="20"/>
          <w:szCs w:val="20"/>
          <w:color w:val="auto"/>
        </w:rPr>
      </w:pPr>
    </w:p>
    <w:p>
      <w:pPr>
        <w:ind w:left="440" w:right="479" w:firstLine="347"/>
        <w:spacing w:after="0" w:line="263"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68" w:lineRule="exact"/>
        <w:rPr>
          <w:sz w:val="20"/>
          <w:szCs w:val="20"/>
          <w:color w:val="auto"/>
        </w:rPr>
      </w:pPr>
    </w:p>
    <w:p>
      <w:pPr>
        <w:ind w:left="1140" w:right="161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relatively limited operating history and the inherent uncertainties and risks involved in biopharmaceutical product development and commercialization;</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acquire, in-license or discover new product candidates;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allocation of capital and personnel across our businesses;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Vant structure;</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future payments we may owe in connection with our product candidates;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divestitures and other strategic transactions;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our cash, cash equivalents and marketable securities;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future need for additional capital to fund our operations;</w:t>
      </w:r>
    </w:p>
    <w:p>
      <w:pPr>
        <w:spacing w:after="0" w:line="116" w:lineRule="exact"/>
        <w:rPr>
          <w:rFonts w:ascii="Times New Roman" w:cs="Times New Roman" w:eastAsia="Times New Roman" w:hAnsi="Times New Roman"/>
          <w:sz w:val="17"/>
          <w:szCs w:val="17"/>
          <w:color w:val="auto"/>
        </w:rPr>
      </w:pPr>
    </w:p>
    <w:p>
      <w:pPr>
        <w:ind w:left="1140" w:right="71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and preclinical studies, which are very expensive, time-consuming, difficult to design and implement and involve uncertain outcomes;</w:t>
      </w:r>
    </w:p>
    <w:p>
      <w:pPr>
        <w:spacing w:after="0" w:line="43" w:lineRule="exact"/>
        <w:rPr>
          <w:rFonts w:ascii="Times New Roman" w:cs="Times New Roman" w:eastAsia="Times New Roman" w:hAnsi="Times New Roman"/>
          <w:sz w:val="17"/>
          <w:szCs w:val="17"/>
          <w:color w:val="auto"/>
        </w:rPr>
      </w:pPr>
    </w:p>
    <w:p>
      <w:pPr>
        <w:ind w:left="1140" w:right="83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uncertain and rapidly changing global and regional economic, political and public health conditions;</w:t>
      </w:r>
    </w:p>
    <w:p>
      <w:pPr>
        <w:spacing w:after="0" w:line="43" w:lineRule="exact"/>
        <w:rPr>
          <w:rFonts w:ascii="Times New Roman" w:cs="Times New Roman" w:eastAsia="Times New Roman" w:hAnsi="Times New Roman"/>
          <w:sz w:val="17"/>
          <w:szCs w:val="17"/>
          <w:color w:val="auto"/>
        </w:rPr>
      </w:pPr>
    </w:p>
    <w:p>
      <w:pPr>
        <w:ind w:left="1140" w:right="103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designing and implement clinical trials and preclinical studies is very expensive, time-consuming and difficult;</w:t>
      </w:r>
    </w:p>
    <w:p>
      <w:pPr>
        <w:spacing w:after="0" w:line="43" w:lineRule="exact"/>
        <w:rPr>
          <w:rFonts w:ascii="Times New Roman" w:cs="Times New Roman" w:eastAsia="Times New Roman" w:hAnsi="Times New Roman"/>
          <w:sz w:val="17"/>
          <w:szCs w:val="17"/>
          <w:color w:val="auto"/>
        </w:rPr>
      </w:pPr>
    </w:p>
    <w:p>
      <w:pPr>
        <w:ind w:left="1140" w:right="85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we may encounter enrolling and retaining patients in clinical trials, which could adversely affect or otherwise delay clinical development activities;</w:t>
      </w:r>
    </w:p>
    <w:p>
      <w:pPr>
        <w:spacing w:after="0" w:line="43" w:lineRule="exact"/>
        <w:rPr>
          <w:rFonts w:ascii="Times New Roman" w:cs="Times New Roman" w:eastAsia="Times New Roman" w:hAnsi="Times New Roman"/>
          <w:sz w:val="17"/>
          <w:szCs w:val="17"/>
          <w:color w:val="auto"/>
        </w:rPr>
      </w:pPr>
    </w:p>
    <w:p>
      <w:pPr>
        <w:ind w:left="1140" w:right="73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preclinical studies and clinical trials not supporting our proposed claims for a product candidate or regulatory approval;</w:t>
      </w:r>
    </w:p>
    <w:p>
      <w:pPr>
        <w:spacing w:after="0" w:line="43" w:lineRule="exact"/>
        <w:rPr>
          <w:rFonts w:ascii="Times New Roman" w:cs="Times New Roman" w:eastAsia="Times New Roman" w:hAnsi="Times New Roman"/>
          <w:sz w:val="17"/>
          <w:szCs w:val="17"/>
          <w:color w:val="auto"/>
        </w:rPr>
      </w:pPr>
    </w:p>
    <w:p>
      <w:pPr>
        <w:ind w:left="1140" w:right="75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preliminary or top-line data from our clinical trials changing as more data become available or data being delayed due to audit or verification procedures;</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product candidate manufacturing or formulation that could result in additional costs or delays;</w:t>
      </w:r>
    </w:p>
    <w:p>
      <w:pPr>
        <w:spacing w:after="0" w:line="116" w:lineRule="exact"/>
        <w:rPr>
          <w:rFonts w:ascii="Times New Roman" w:cs="Times New Roman" w:eastAsia="Times New Roman" w:hAnsi="Times New Roman"/>
          <w:sz w:val="17"/>
          <w:szCs w:val="17"/>
          <w:color w:val="auto"/>
        </w:rPr>
      </w:pPr>
    </w:p>
    <w:p>
      <w:pPr>
        <w:ind w:left="1140" w:right="55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obtaining approval of a new drug is an extensive, lengthy, expensive and inherently uncertain process and the FDA or another regulatory authority may delay, limit or deny approval;</w:t>
      </w:r>
    </w:p>
    <w:p>
      <w:pPr>
        <w:spacing w:after="0" w:line="43" w:lineRule="exact"/>
        <w:rPr>
          <w:rFonts w:ascii="Times New Roman" w:cs="Times New Roman" w:eastAsia="Times New Roman" w:hAnsi="Times New Roman"/>
          <w:sz w:val="17"/>
          <w:szCs w:val="17"/>
          <w:color w:val="auto"/>
        </w:rPr>
      </w:pPr>
    </w:p>
    <w:p>
      <w:pPr>
        <w:ind w:left="1140" w:right="999" w:hanging="348"/>
        <w:spacing w:after="0" w:line="293"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clinical trials to demonstrate substantial evidence of the safety and efficacy of our product candidates;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639" w:hanging="348"/>
        <w:spacing w:after="0" w:line="274"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undesirable side effects caused by our product candidates that halt their clinical development, delay or prevent their regulatory approval, limit the scope of any approved label or market acceptance or result in negative consequences;</w:t>
      </w:r>
    </w:p>
    <w:p>
      <w:pPr>
        <w:spacing w:after="0" w:line="58" w:lineRule="exact"/>
        <w:rPr>
          <w:rFonts w:ascii="Times New Roman" w:cs="Times New Roman" w:eastAsia="Times New Roman" w:hAnsi="Times New Roman"/>
          <w:sz w:val="17"/>
          <w:szCs w:val="17"/>
          <w:color w:val="auto"/>
        </w:rPr>
      </w:pPr>
    </w:p>
    <w:p>
      <w:pPr>
        <w:ind w:left="1140" w:right="679" w:hanging="348"/>
        <w:spacing w:after="0" w:line="29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obtain regulatory approval for a product candidate in certain jurisdictions, even if we are able to obtain approval in certain other jurisdictions;</w:t>
      </w:r>
    </w:p>
    <w:p>
      <w:pPr>
        <w:spacing w:after="0" w:line="43" w:lineRule="exact"/>
        <w:rPr>
          <w:rFonts w:ascii="Times New Roman" w:cs="Times New Roman" w:eastAsia="Times New Roman" w:hAnsi="Times New Roman"/>
          <w:sz w:val="17"/>
          <w:szCs w:val="17"/>
          <w:color w:val="auto"/>
        </w:rPr>
      </w:pPr>
    </w:p>
    <w:p>
      <w:pPr>
        <w:ind w:left="1140" w:right="579" w:hanging="348"/>
        <w:spacing w:after="0" w:line="29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any third-party we rely upon to conduct, supervise and monitor our clinical trials to perform in a satisfactory manner or to comply with applicable legal, regulatory or other requirements;</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produce clinical and commercial supplies of our product candidates;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key personnel and our ability to attract, motivate and retain highly qualified personnel;</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that our use of AI could expose us to liability;</w:t>
      </w:r>
    </w:p>
    <w:p>
      <w:pPr>
        <w:spacing w:after="0" w:line="116" w:lineRule="exact"/>
        <w:rPr>
          <w:rFonts w:ascii="Times New Roman" w:cs="Times New Roman" w:eastAsia="Times New Roman" w:hAnsi="Times New Roman"/>
          <w:sz w:val="17"/>
          <w:szCs w:val="17"/>
          <w:color w:val="auto"/>
        </w:rPr>
      </w:pPr>
    </w:p>
    <w:p>
      <w:pPr>
        <w:ind w:left="1140" w:right="599" w:hanging="348"/>
        <w:spacing w:after="0" w:line="29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patent and other intellectual property protection for our technology and product candidates;</w:t>
      </w:r>
    </w:p>
    <w:p>
      <w:pPr>
        <w:spacing w:after="0" w:line="43" w:lineRule="exact"/>
        <w:rPr>
          <w:rFonts w:ascii="Times New Roman" w:cs="Times New Roman" w:eastAsia="Times New Roman" w:hAnsi="Times New Roman"/>
          <w:sz w:val="17"/>
          <w:szCs w:val="17"/>
          <w:color w:val="auto"/>
        </w:rPr>
      </w:pPr>
    </w:p>
    <w:p>
      <w:pPr>
        <w:ind w:left="1140" w:right="499" w:hanging="348"/>
        <w:spacing w:after="0" w:line="274"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issue (or the threatening of their validity, patentability, enforceability, breadth or strength of protection) or provide meaningful exclusivity for our product candidates of our patent applications that we own or have in-licensed;</w:t>
      </w:r>
    </w:p>
    <w:p>
      <w:pPr>
        <w:spacing w:after="0" w:line="58"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inadequacy of patent terms and their scope to protect our competitive position;</w:t>
      </w:r>
    </w:p>
    <w:p>
      <w:pPr>
        <w:spacing w:after="0" w:line="116" w:lineRule="exact"/>
        <w:rPr>
          <w:rFonts w:ascii="Times New Roman" w:cs="Times New Roman" w:eastAsia="Times New Roman" w:hAnsi="Times New Roman"/>
          <w:sz w:val="17"/>
          <w:szCs w:val="17"/>
          <w:color w:val="auto"/>
        </w:rPr>
      </w:pPr>
    </w:p>
    <w:p>
      <w:pPr>
        <w:ind w:left="1140" w:right="759" w:hanging="348"/>
        <w:spacing w:after="0" w:line="29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our largest shareholders own a significant percentage of our stock and will be able to exert significant control over matters subject to shareholder approval;</w:t>
      </w:r>
    </w:p>
    <w:p>
      <w:pPr>
        <w:spacing w:after="0" w:line="43" w:lineRule="exact"/>
        <w:rPr>
          <w:rFonts w:ascii="Times New Roman" w:cs="Times New Roman" w:eastAsia="Times New Roman" w:hAnsi="Times New Roman"/>
          <w:sz w:val="17"/>
          <w:szCs w:val="17"/>
          <w:color w:val="auto"/>
        </w:rPr>
      </w:pPr>
    </w:p>
    <w:p>
      <w:pPr>
        <w:ind w:left="1140" w:right="459" w:hanging="348"/>
        <w:spacing w:after="0" w:line="29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of ownership caused by future sales and issuances of our or the Vants’ equity securities or rights to purchase equity securities;</w:t>
      </w:r>
    </w:p>
    <w:p>
      <w:pPr>
        <w:spacing w:after="0" w:line="43" w:lineRule="exact"/>
        <w:rPr>
          <w:rFonts w:ascii="Times New Roman" w:cs="Times New Roman" w:eastAsia="Times New Roman" w:hAnsi="Times New Roman"/>
          <w:sz w:val="17"/>
          <w:szCs w:val="17"/>
          <w:color w:val="auto"/>
        </w:rPr>
      </w:pPr>
    </w:p>
    <w:p>
      <w:pPr>
        <w:ind w:left="1140" w:right="739" w:hanging="348"/>
        <w:spacing w:after="0" w:line="29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or the perception of future sales, of our common shares by us or our existing shareholders, and the impact thereof on the price of our common shares;</w:t>
      </w:r>
    </w:p>
    <w:p>
      <w:pPr>
        <w:spacing w:after="0" w:line="43" w:lineRule="exact"/>
        <w:rPr>
          <w:rFonts w:ascii="Times New Roman" w:cs="Times New Roman" w:eastAsia="Times New Roman" w:hAnsi="Times New Roman"/>
          <w:sz w:val="17"/>
          <w:szCs w:val="17"/>
          <w:color w:val="auto"/>
        </w:rPr>
      </w:pPr>
    </w:p>
    <w:p>
      <w:pPr>
        <w:ind w:left="1140" w:right="579" w:hanging="348"/>
        <w:spacing w:after="0" w:line="293"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pending or potential litigation, including but not limited to our expectations regarding the outcome of any such litigation and costs and expenses associated with such litigation;</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 and</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risks and uncertainties indicated from time to time in filings made with the SEC.</w:t>
      </w:r>
    </w:p>
    <w:p>
      <w:pPr>
        <w:spacing w:after="0" w:line="117" w:lineRule="exact"/>
        <w:rPr>
          <w:sz w:val="20"/>
          <w:szCs w:val="20"/>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References to our “product candidates” include our current and any future products or product candidates.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9" w:lineRule="exact"/>
        <w:rPr>
          <w:sz w:val="20"/>
          <w:szCs w:val="20"/>
          <w:color w:val="auto"/>
        </w:rPr>
      </w:pPr>
    </w:p>
    <w:p>
      <w:pPr>
        <w:ind w:left="440" w:right="579" w:firstLine="347"/>
        <w:spacing w:after="0" w:line="274" w:lineRule="auto"/>
        <w:rPr>
          <w:sz w:val="20"/>
          <w:szCs w:val="20"/>
          <w:color w:val="auto"/>
        </w:rPr>
      </w:pPr>
      <w:r>
        <w:rPr>
          <w:rFonts w:ascii="Times New Roman" w:cs="Times New Roman" w:eastAsia="Times New Roman" w:hAnsi="Times New Roman"/>
          <w:sz w:val="17"/>
          <w:szCs w:val="17"/>
          <w:color w:val="auto"/>
        </w:rPr>
        <w:t>Except as described in any applicable prospectus or prospectus supplement or in any free writing prospectuses we have authorized for use in connection with a specific offering, we currently intend to use the net proceeds for working capital and general corporate purposes.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SHARE CAPITAL</w:t>
      </w:r>
    </w:p>
    <w:p>
      <w:pPr>
        <w:spacing w:after="0" w:line="117" w:lineRule="exact"/>
        <w:rPr>
          <w:sz w:val="20"/>
          <w:szCs w:val="20"/>
          <w:color w:val="auto"/>
        </w:rPr>
      </w:pPr>
    </w:p>
    <w:p>
      <w:pPr>
        <w:ind w:left="440" w:right="479" w:firstLine="347"/>
        <w:spacing w:after="0" w:line="264" w:lineRule="auto"/>
        <w:rPr>
          <w:sz w:val="20"/>
          <w:szCs w:val="20"/>
          <w:color w:val="auto"/>
        </w:rPr>
      </w:pPr>
      <w:r>
        <w:rPr>
          <w:rFonts w:ascii="Times New Roman" w:cs="Times New Roman" w:eastAsia="Times New Roman" w:hAnsi="Times New Roman"/>
          <w:sz w:val="17"/>
          <w:szCs w:val="17"/>
          <w:i w:val="1"/>
          <w:iCs w:val="1"/>
          <w:color w:val="auto"/>
        </w:rPr>
        <w:t>The following summary of the material terms of our securities is not intended to be a complete summary of the rights and preferences of such securities, and is qualified by reference to our memorandum of association, bye-laws and the warrant-related documents described herein, which are exhibits to the registration statement of which this prospectus is a part. We urge to you read each of our memorandum of association, bye-laws and the warrant-related documents described herein in their entirety for a complete description of the rights and preferences of our securities.</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left="440" w:right="539" w:firstLine="347"/>
        <w:spacing w:after="0" w:line="268" w:lineRule="auto"/>
        <w:rPr>
          <w:sz w:val="20"/>
          <w:szCs w:val="20"/>
          <w:color w:val="auto"/>
        </w:rPr>
      </w:pPr>
      <w:r>
        <w:rPr>
          <w:rFonts w:ascii="Times New Roman" w:cs="Times New Roman" w:eastAsia="Times New Roman" w:hAnsi="Times New Roman"/>
          <w:sz w:val="17"/>
          <w:szCs w:val="17"/>
          <w:color w:val="auto"/>
        </w:rPr>
        <w:t>We are an exempted company incorporated under the laws of Bermuda. We are registered with the Registrar of Companies in Bermuda under registration number 48931. We were incorporated on April 7, 2014 under the name Valor Biotechnology Ltd. We changed our name to Roivant Sciences Ltd. on November 5, 2014. Our registered office is located at Clarendon House, 2 Church Street, Hamilton HM11, Bermuda.</w:t>
      </w:r>
    </w:p>
    <w:p>
      <w:pPr>
        <w:spacing w:after="0" w:line="63" w:lineRule="exact"/>
        <w:rPr>
          <w:sz w:val="20"/>
          <w:szCs w:val="20"/>
          <w:color w:val="auto"/>
        </w:rPr>
      </w:pPr>
    </w:p>
    <w:p>
      <w:pPr>
        <w:ind w:left="440" w:right="499" w:firstLine="347"/>
        <w:spacing w:after="0" w:line="293" w:lineRule="auto"/>
        <w:rPr>
          <w:sz w:val="20"/>
          <w:szCs w:val="20"/>
          <w:color w:val="auto"/>
        </w:rPr>
      </w:pPr>
      <w:r>
        <w:rPr>
          <w:rFonts w:ascii="Times New Roman" w:cs="Times New Roman" w:eastAsia="Times New Roman" w:hAnsi="Times New Roman"/>
          <w:sz w:val="17"/>
          <w:szCs w:val="17"/>
          <w:color w:val="auto"/>
        </w:rPr>
        <w:t>The objects of our business are unrestricted, and Roivant Sciences Ltd. has the capacity of a natural person. We can therefore undertake activities without restriction on our capacity.</w:t>
      </w:r>
    </w:p>
    <w:p>
      <w:pPr>
        <w:spacing w:after="0" w:line="43" w:lineRule="exact"/>
        <w:rPr>
          <w:sz w:val="20"/>
          <w:szCs w:val="20"/>
          <w:color w:val="auto"/>
        </w:rPr>
      </w:pPr>
    </w:p>
    <w:p>
      <w:pPr>
        <w:ind w:left="440" w:right="679" w:firstLine="347"/>
        <w:spacing w:after="0" w:line="293" w:lineRule="auto"/>
        <w:rPr>
          <w:sz w:val="20"/>
          <w:szCs w:val="20"/>
          <w:color w:val="auto"/>
        </w:rPr>
      </w:pPr>
      <w:r>
        <w:rPr>
          <w:rFonts w:ascii="Times New Roman" w:cs="Times New Roman" w:eastAsia="Times New Roman" w:hAnsi="Times New Roman"/>
          <w:sz w:val="17"/>
          <w:szCs w:val="17"/>
          <w:color w:val="auto"/>
        </w:rPr>
        <w:t>There have been no public takeover offers by third parties for our shares nor any public takeover offers by us for the shares of another company that have occurred during the last or current financial years.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119" w:lineRule="exact"/>
        <w:rPr>
          <w:sz w:val="20"/>
          <w:szCs w:val="20"/>
          <w:color w:val="auto"/>
        </w:rPr>
      </w:pPr>
    </w:p>
    <w:p>
      <w:pPr>
        <w:ind w:left="440" w:right="479" w:firstLine="347"/>
        <w:spacing w:after="0" w:line="263" w:lineRule="auto"/>
        <w:rPr>
          <w:sz w:val="20"/>
          <w:szCs w:val="20"/>
          <w:color w:val="auto"/>
        </w:rPr>
      </w:pPr>
      <w:r>
        <w:rPr>
          <w:rFonts w:ascii="Times New Roman" w:cs="Times New Roman" w:eastAsia="Times New Roman" w:hAnsi="Times New Roman"/>
          <w:sz w:val="17"/>
          <w:szCs w:val="17"/>
          <w:color w:val="auto"/>
        </w:rPr>
        <w:t>As of October 1, 2025, we had 690,889,856 Common Shares issued and outstanding. All of the currently issued and outstanding Common Shares are fully paid. Pursuant to our amended and restated bye-laws, subject to the requirements of the Nasdaq, and to any resolution of the shareholders to the contrary, our board of directors is authorized to issue any of our authorized but unissued shares. There are no limitations on the right of non-Bermudians or non-residents of Bermuda to hold or vote our shares provided Common Shares remain listed on an appointed stock exchange, which includes Nasdaq.</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Common Shares</w:t>
      </w:r>
    </w:p>
    <w:p>
      <w:pPr>
        <w:spacing w:after="0" w:line="119" w:lineRule="exact"/>
        <w:rPr>
          <w:sz w:val="20"/>
          <w:szCs w:val="20"/>
          <w:color w:val="auto"/>
        </w:rPr>
      </w:pPr>
    </w:p>
    <w:p>
      <w:pPr>
        <w:ind w:left="440" w:right="499" w:firstLine="347"/>
        <w:spacing w:after="0" w:line="265" w:lineRule="auto"/>
        <w:rPr>
          <w:sz w:val="20"/>
          <w:szCs w:val="20"/>
          <w:color w:val="auto"/>
        </w:rPr>
      </w:pPr>
      <w:r>
        <w:rPr>
          <w:rFonts w:ascii="Times New Roman" w:cs="Times New Roman" w:eastAsia="Times New Roman" w:hAnsi="Times New Roman"/>
          <w:sz w:val="17"/>
          <w:szCs w:val="17"/>
          <w:color w:val="auto"/>
        </w:rPr>
        <w:t>Holders of Common Shares have no pre-emptive, redemption, conversion or sinking fund rights. Holders of Common Shares are entitled to one vote per share on all matters submitted to a vote of holders of Common Shares. Unless a different majority is required by law or by our amended and restated bye-laws, resolutions to be approved by holders of Common Shares require approval by a simple majority of votes cast at a meeting at which a quorum is present.</w:t>
      </w:r>
    </w:p>
    <w:p>
      <w:pPr>
        <w:spacing w:after="0" w:line="66" w:lineRule="exact"/>
        <w:rPr>
          <w:sz w:val="20"/>
          <w:szCs w:val="20"/>
          <w:color w:val="auto"/>
        </w:rPr>
      </w:pPr>
    </w:p>
    <w:p>
      <w:pPr>
        <w:ind w:left="440" w:right="519" w:firstLine="347"/>
        <w:spacing w:after="0" w:line="274" w:lineRule="auto"/>
        <w:rPr>
          <w:sz w:val="20"/>
          <w:szCs w:val="20"/>
          <w:color w:val="auto"/>
        </w:rPr>
      </w:pPr>
      <w:r>
        <w:rPr>
          <w:rFonts w:ascii="Times New Roman" w:cs="Times New Roman" w:eastAsia="Times New Roman" w:hAnsi="Times New Roman"/>
          <w:sz w:val="17"/>
          <w:szCs w:val="17"/>
          <w:color w:val="auto"/>
        </w:rPr>
        <w:t>In the event of our liquidation, dissolution or winding up, the holders of Common Shares are entitled to share equally and ratably in our assets, if any, remaining after the payment of all of our debts and liabilities, subject to any liquidation preference on any issued and outstanding preference shares.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Preference Shares</w:t>
      </w:r>
    </w:p>
    <w:p>
      <w:pPr>
        <w:spacing w:after="0" w:line="119" w:lineRule="exact"/>
        <w:rPr>
          <w:sz w:val="20"/>
          <w:szCs w:val="20"/>
          <w:color w:val="auto"/>
        </w:rPr>
      </w:pPr>
    </w:p>
    <w:p>
      <w:pPr>
        <w:ind w:left="440" w:right="479" w:firstLine="347"/>
        <w:spacing w:after="0" w:line="262" w:lineRule="auto"/>
        <w:rPr>
          <w:sz w:val="20"/>
          <w:szCs w:val="20"/>
          <w:color w:val="auto"/>
        </w:rPr>
      </w:pPr>
      <w:r>
        <w:rPr>
          <w:rFonts w:ascii="Times New Roman" w:cs="Times New Roman" w:eastAsia="Times New Roman" w:hAnsi="Times New Roman"/>
          <w:sz w:val="17"/>
          <w:szCs w:val="17"/>
          <w:color w:val="auto"/>
        </w:rPr>
        <w:t>Pursuant to Bermuda law and our amended and restated bye-laws, our board of directors may, by resolution, establish one or more series of preference shares having such number of shares, designations, dividend rates, relative voting rights, conversion or exchange rights, redemption rights, liquidation rights, rights to elect or appoint directors and other relative participation, optional or other special rights, qualifications, limitations or restrictions as may be fixed by the board of directors without any further shareholder approval. Such rights, preferences, powers and limitations, as may be established, could have the effect of discouraging an attempt to obtain control of our company.</w:t>
      </w: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Dividend Rights</w:t>
      </w:r>
    </w:p>
    <w:p>
      <w:pPr>
        <w:spacing w:after="0" w:line="119" w:lineRule="exact"/>
        <w:rPr>
          <w:sz w:val="20"/>
          <w:szCs w:val="20"/>
          <w:color w:val="auto"/>
        </w:rPr>
      </w:pPr>
    </w:p>
    <w:p>
      <w:pPr>
        <w:ind w:left="440" w:right="519" w:firstLine="347"/>
        <w:spacing w:after="0" w:line="263" w:lineRule="auto"/>
        <w:rPr>
          <w:sz w:val="20"/>
          <w:szCs w:val="20"/>
          <w:color w:val="auto"/>
        </w:rPr>
      </w:pPr>
      <w:r>
        <w:rPr>
          <w:rFonts w:ascii="Times New Roman" w:cs="Times New Roman" w:eastAsia="Times New Roman" w:hAnsi="Times New Roman"/>
          <w:sz w:val="17"/>
          <w:szCs w:val="17"/>
          <w:color w:val="auto"/>
        </w:rPr>
        <w:t>Under Bermuda law,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each common share is entitled to dividends if, as and when dividends are declared by our board of directors, subject to any preferred dividend right of the holders of any preference shares. We do not anticipate paying cash dividends in the foreseeable future.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Variation of Rights</w:t>
      </w:r>
    </w:p>
    <w:p>
      <w:pPr>
        <w:spacing w:after="0" w:line="119" w:lineRule="exact"/>
        <w:rPr>
          <w:sz w:val="20"/>
          <w:szCs w:val="20"/>
          <w:color w:val="auto"/>
        </w:rPr>
      </w:pPr>
    </w:p>
    <w:p>
      <w:pPr>
        <w:ind w:left="440" w:right="559" w:firstLine="347"/>
        <w:spacing w:after="0" w:line="259" w:lineRule="auto"/>
        <w:rPr>
          <w:sz w:val="20"/>
          <w:szCs w:val="20"/>
          <w:color w:val="auto"/>
        </w:rPr>
      </w:pPr>
      <w:r>
        <w:rPr>
          <w:rFonts w:ascii="Times New Roman" w:cs="Times New Roman" w:eastAsia="Times New Roman" w:hAnsi="Times New Roman"/>
          <w:sz w:val="17"/>
          <w:szCs w:val="17"/>
          <w:color w:val="auto"/>
        </w:rPr>
        <w:t>If at any time we have more than one class of shares, the rights attaching to any class, unless otherwise provided for by the terms of issue of the relevant class, may be varied either: (1) with the consent in writing of the holders of 66 2/3% of the issued shares of that class; or (2) with the sanction of a resolution passed by a majority of the votes cast at a general meeting of the relevant class of shareholders at which a quorum consisting of at least one person holding or representing a majority of the issued shares of the relevant class is present. Our amended and restated bye-laws specify that the creation or issue of shares ranking equally with existing shares will not, unless expressly provided by the terms of issue of existing shares, vary the rights attached to existing shares. In addition, the creation or issue of preference shares ranking prior to Common Shares will not be deemed to vary the rights attached to Common Shares or, subject to the terms of any other class or series of preference shares, to vary the rights attached to any other class or series of preference shares.</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Transfer of Shares</w:t>
      </w:r>
    </w:p>
    <w:p>
      <w:pPr>
        <w:spacing w:after="0" w:line="119" w:lineRule="exact"/>
        <w:rPr>
          <w:sz w:val="20"/>
          <w:szCs w:val="20"/>
          <w:color w:val="auto"/>
        </w:rPr>
      </w:pPr>
    </w:p>
    <w:p>
      <w:pPr>
        <w:ind w:left="440" w:right="499" w:firstLine="347"/>
        <w:spacing w:after="0" w:line="260" w:lineRule="auto"/>
        <w:rPr>
          <w:sz w:val="20"/>
          <w:szCs w:val="20"/>
          <w:color w:val="auto"/>
        </w:rPr>
      </w:pPr>
      <w:r>
        <w:rPr>
          <w:rFonts w:ascii="Times New Roman" w:cs="Times New Roman" w:eastAsia="Times New Roman" w:hAnsi="Times New Roman"/>
          <w:sz w:val="17"/>
          <w:szCs w:val="17"/>
          <w:color w:val="auto"/>
        </w:rPr>
        <w:t>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or unless all applicable consents, authorizations and permissions of any governmental agency or body in Bermuda have been obtained. Subject to these restrictions, a holder of Common Shares may transfer the title to all or any of his or her Common Shares by completing an instrument of transfer in writing in such form as our board of directors may accept. The instrument of transfer must be signed by the transferor and transferee, although in the case of a fully paid share our board of directors may accept the instrument signed only by the transferor.</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Meetings of Shareholders</w:t>
      </w:r>
    </w:p>
    <w:p>
      <w:pPr>
        <w:spacing w:after="0" w:line="119" w:lineRule="exact"/>
        <w:rPr>
          <w:sz w:val="20"/>
          <w:szCs w:val="20"/>
          <w:color w:val="auto"/>
        </w:rPr>
      </w:pPr>
    </w:p>
    <w:p>
      <w:pPr>
        <w:ind w:left="440" w:right="559" w:firstLine="347"/>
        <w:spacing w:after="0" w:line="265" w:lineRule="auto"/>
        <w:rPr>
          <w:sz w:val="20"/>
          <w:szCs w:val="20"/>
          <w:color w:val="auto"/>
        </w:rPr>
      </w:pPr>
      <w:r>
        <w:rPr>
          <w:rFonts w:ascii="Times New Roman" w:cs="Times New Roman" w:eastAsia="Times New Roman" w:hAnsi="Times New Roman"/>
          <w:sz w:val="17"/>
          <w:szCs w:val="17"/>
          <w:color w:val="auto"/>
        </w:rPr>
        <w:t>Under Bermuda law, a company is required to convene at least one general meeting of shareholders each calendar year, which we refer to as the annual general meeting. While Bermuda law permits the shareholders to waive the requirement to hold an annual general meeting by resolution (either for a specific year or a period of time or indefinitely), our amended and restated bye-laws provide that, notwithstanding, an annual general meeting shall be held in each year.</w:t>
      </w:r>
    </w:p>
    <w:p>
      <w:pPr>
        <w:spacing w:after="0" w:line="66" w:lineRule="exact"/>
        <w:rPr>
          <w:sz w:val="20"/>
          <w:szCs w:val="20"/>
          <w:color w:val="auto"/>
        </w:rPr>
      </w:pPr>
    </w:p>
    <w:p>
      <w:pPr>
        <w:ind w:left="440" w:right="459" w:firstLine="347"/>
        <w:spacing w:after="0" w:line="258" w:lineRule="auto"/>
        <w:rPr>
          <w:sz w:val="20"/>
          <w:szCs w:val="20"/>
          <w:color w:val="auto"/>
        </w:rPr>
      </w:pPr>
      <w:r>
        <w:rPr>
          <w:rFonts w:ascii="Times New Roman" w:cs="Times New Roman" w:eastAsia="Times New Roman" w:hAnsi="Times New Roman"/>
          <w:sz w:val="17"/>
          <w:szCs w:val="17"/>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does not invalidate the proceedings at a meeting. Our amended and restated bye-laws provide that our principal executive officer or the chairperson of our board of directors or any two directors or any director and the secretary or our board of directors may convene an annual general meeting and our principal executive officer or the chairperson of our board of directors or our board of directors may convene a special general meeting. Under our amended and restated bye-laws, at least 14 days’ notice of an annual general meeting or 10 days’ notice of a special general meeting must be given to each shareholder entitled to vote at such meeting. This notice requirement is subject to the ability to hold such meetings on shorter notice if such notice is agreed: (1) in the case of an annual general meeting by all of the shareholders entitled to attend and vote at such meeting; or (2)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in person at the start of the meeting and representing in person or by proxy in excess of 50% of all issued and outstanding Common Shares.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Access to Books and Records and Dissemination of Information</w:t>
      </w:r>
    </w:p>
    <w:p>
      <w:pPr>
        <w:spacing w:after="0" w:line="119" w:lineRule="exact"/>
        <w:rPr>
          <w:sz w:val="20"/>
          <w:szCs w:val="20"/>
          <w:color w:val="auto"/>
        </w:rPr>
      </w:pPr>
    </w:p>
    <w:p>
      <w:pPr>
        <w:ind w:left="440" w:right="479" w:firstLine="347"/>
        <w:spacing w:after="0" w:line="265" w:lineRule="auto"/>
        <w:rPr>
          <w:sz w:val="20"/>
          <w:szCs w:val="20"/>
          <w:color w:val="auto"/>
        </w:rPr>
      </w:pPr>
      <w:r>
        <w:rPr>
          <w:rFonts w:ascii="Times New Roman" w:cs="Times New Roman" w:eastAsia="Times New Roman" w:hAnsi="Times New Roman"/>
          <w:sz w:val="17"/>
          <w:szCs w:val="17"/>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in the annual general meeting. The register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40" w:right="499"/>
        <w:spacing w:after="0" w:line="260" w:lineRule="auto"/>
        <w:rPr>
          <w:sz w:val="20"/>
          <w:szCs w:val="20"/>
          <w:color w:val="auto"/>
        </w:rPr>
      </w:pPr>
      <w:r>
        <w:rPr>
          <w:rFonts w:ascii="Times New Roman" w:cs="Times New Roman" w:eastAsia="Times New Roman" w:hAnsi="Times New Roman"/>
          <w:sz w:val="17"/>
          <w:szCs w:val="17"/>
          <w:color w:val="auto"/>
        </w:rPr>
        <w:t>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Election and Removal of Directors</w:t>
      </w:r>
    </w:p>
    <w:p>
      <w:pPr>
        <w:spacing w:after="0" w:line="119" w:lineRule="exact"/>
        <w:rPr>
          <w:sz w:val="20"/>
          <w:szCs w:val="20"/>
          <w:color w:val="auto"/>
        </w:rPr>
      </w:pPr>
    </w:p>
    <w:p>
      <w:pPr>
        <w:ind w:left="440" w:right="499" w:firstLine="347"/>
        <w:spacing w:after="0" w:line="260" w:lineRule="auto"/>
        <w:rPr>
          <w:sz w:val="20"/>
          <w:szCs w:val="20"/>
          <w:color w:val="auto"/>
        </w:rPr>
      </w:pPr>
      <w:r>
        <w:rPr>
          <w:rFonts w:ascii="Times New Roman" w:cs="Times New Roman" w:eastAsia="Times New Roman" w:hAnsi="Times New Roman"/>
          <w:sz w:val="17"/>
          <w:szCs w:val="17"/>
          <w:color w:val="auto"/>
        </w:rPr>
        <w:t>Our amended and restated bye-laws provide that our board of directors shall consist of not less than five (5) Directors and not more than such maximum number of Directors as the board of directors may from time to time determine, being initially fifteen (15) Directors. Our board of directors currently consists of eight directors. Our board of directors is divided into three classes that are required to be, as nearly as possible, of equal size. Each class of directors is elected for a three-year term of office, but the terms will be staggered so that the term of only one class of directors expires at each annual general meeting. The terms of the Class I, Class II and Class III directors will expire in 2028, 2027 and 2026, respectively. At each succeeding annual general meeting, successors to the class of directors whose term expires at the annual general meeting will be elected for a three-year term.</w:t>
      </w:r>
    </w:p>
    <w:p>
      <w:pPr>
        <w:spacing w:after="0" w:line="75" w:lineRule="exact"/>
        <w:rPr>
          <w:sz w:val="20"/>
          <w:szCs w:val="20"/>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281" w:lineRule="exact"/>
        <w:rPr>
          <w:sz w:val="20"/>
          <w:szCs w:val="20"/>
          <w:color w:val="auto"/>
        </w:rPr>
      </w:pPr>
    </w:p>
    <w:p>
      <w:pPr>
        <w:ind w:left="440" w:right="599" w:firstLine="347"/>
        <w:spacing w:after="0" w:line="263" w:lineRule="auto"/>
        <w:rPr>
          <w:sz w:val="20"/>
          <w:szCs w:val="20"/>
          <w:color w:val="auto"/>
        </w:rPr>
      </w:pPr>
      <w:r>
        <w:rPr>
          <w:rFonts w:ascii="Times New Roman" w:cs="Times New Roman" w:eastAsia="Times New Roman" w:hAnsi="Times New Roman"/>
          <w:sz w:val="17"/>
          <w:szCs w:val="17"/>
          <w:color w:val="auto"/>
        </w:rPr>
        <w:t>A director may be removed, only with cause, by the shareholders by the affirmative vote of at least 662/3% of the issued and outstanding voting shares entitled to vote for the election of directors,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or her removal.</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Proceedings of Board of Directors</w:t>
      </w:r>
    </w:p>
    <w:p>
      <w:pPr>
        <w:spacing w:after="0" w:line="119" w:lineRule="exact"/>
        <w:rPr>
          <w:sz w:val="20"/>
          <w:szCs w:val="20"/>
          <w:color w:val="auto"/>
        </w:rPr>
      </w:pPr>
    </w:p>
    <w:p>
      <w:pPr>
        <w:ind w:left="440" w:right="579" w:firstLine="347"/>
        <w:spacing w:after="0" w:line="268" w:lineRule="auto"/>
        <w:rPr>
          <w:sz w:val="20"/>
          <w:szCs w:val="20"/>
          <w:color w:val="auto"/>
        </w:rPr>
      </w:pPr>
      <w:r>
        <w:rPr>
          <w:rFonts w:ascii="Times New Roman" w:cs="Times New Roman" w:eastAsia="Times New Roman" w:hAnsi="Times New Roman"/>
          <w:sz w:val="17"/>
          <w:szCs w:val="17"/>
          <w:color w:val="auto"/>
        </w:rPr>
        <w:t>Our amended and restated bye-laws provide that our business is to be managed and conducted by our board of directors. Bermuda law permits individual and corporate directors and there is no requirement in our bye-laws or Bermuda law that directors hold any of our shares. There is also no requirement in our amended and restated bye-laws or Bermuda law that our directors must retire at a certain age.</w:t>
      </w:r>
    </w:p>
    <w:p>
      <w:pPr>
        <w:spacing w:after="0" w:line="63"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The compensation of our directors will be determined by the board of directors, and there is no requirement that a specified number or percentage of “independent” directors must approve any such determination. Our directors may also be paid all travel, hotel and other reasonable out-of-pocket expenses properly incurred by them in connection with our business or their duties as directors.</w:t>
      </w:r>
    </w:p>
    <w:p>
      <w:pPr>
        <w:spacing w:after="0" w:line="63" w:lineRule="exact"/>
        <w:rPr>
          <w:sz w:val="20"/>
          <w:szCs w:val="20"/>
          <w:color w:val="auto"/>
        </w:rPr>
      </w:pPr>
    </w:p>
    <w:p>
      <w:pPr>
        <w:ind w:left="440" w:right="599" w:firstLine="347"/>
        <w:spacing w:after="0" w:line="268" w:lineRule="auto"/>
        <w:rPr>
          <w:sz w:val="20"/>
          <w:szCs w:val="20"/>
          <w:color w:val="auto"/>
        </w:rPr>
      </w:pPr>
      <w:r>
        <w:rPr>
          <w:rFonts w:ascii="Times New Roman" w:cs="Times New Roman" w:eastAsia="Times New Roman" w:hAnsi="Times New Roman"/>
          <w:sz w:val="17"/>
          <w:szCs w:val="17"/>
          <w:color w:val="auto"/>
        </w:rPr>
        <w:t>A director who discloses a direct or indirect interest in any contract or arrangement with us as required by Bermuda law may be entitled to be counted in the quorum for such meeting and to vote in respect of any such contract or arrangement in which he or she is interested unless the chairman of the relevant meeting of the board of directors determines that such director is disqualified from voting.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19" w:lineRule="exact"/>
        <w:rPr>
          <w:sz w:val="20"/>
          <w:szCs w:val="20"/>
          <w:color w:val="auto"/>
        </w:rPr>
      </w:pPr>
    </w:p>
    <w:p>
      <w:pPr>
        <w:ind w:left="440" w:right="519" w:firstLine="347"/>
        <w:spacing w:after="0" w:line="260" w:lineRule="auto"/>
        <w:rPr>
          <w:sz w:val="20"/>
          <w:szCs w:val="20"/>
          <w:color w:val="auto"/>
        </w:rPr>
      </w:pPr>
      <w:r>
        <w:rPr>
          <w:rFonts w:ascii="Times New Roman" w:cs="Times New Roman" w:eastAsia="Times New Roman" w:hAnsi="Times New Roman"/>
          <w:sz w:val="17"/>
          <w:szCs w:val="17"/>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75"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Our amended and restated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 allegation of fraud or dishonesty is proved.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Amendment of Memorandum of Association and Bye-laws</w:t>
      </w:r>
    </w:p>
    <w:p>
      <w:pPr>
        <w:spacing w:after="0" w:line="119" w:lineRule="exact"/>
        <w:rPr>
          <w:sz w:val="20"/>
          <w:szCs w:val="20"/>
          <w:color w:val="auto"/>
        </w:rPr>
      </w:pPr>
    </w:p>
    <w:p>
      <w:pPr>
        <w:ind w:left="440" w:right="479" w:firstLine="347"/>
        <w:spacing w:after="0" w:line="263" w:lineRule="auto"/>
        <w:rPr>
          <w:sz w:val="20"/>
          <w:szCs w:val="20"/>
          <w:color w:val="auto"/>
        </w:rPr>
      </w:pPr>
      <w:r>
        <w:rPr>
          <w:rFonts w:ascii="Times New Roman" w:cs="Times New Roman" w:eastAsia="Times New Roman" w:hAnsi="Times New Roman"/>
          <w:sz w:val="17"/>
          <w:szCs w:val="17"/>
          <w:color w:val="auto"/>
        </w:rPr>
        <w:t>Bermuda law provides that the memorandum of association of a company may be amended by a resolution passed at a general meeting of shareholders. Our amended and restated bye-laws provide that no bye-law shall be rescinded, altered or amended, and no new bye-law shall be made, unless it shall have been approved by a resolution of our board of directors and by a resolution of our shareholders holding at least 662/3% of all votes cast on the resolution. The memorandum or association shall not be rescinded, altered or amended without a resolution of our board of directors and a resolution of our shareholders holding at least 662/3% of all votes cast on the resolution.</w:t>
      </w:r>
    </w:p>
    <w:p>
      <w:pPr>
        <w:spacing w:after="0" w:line="68" w:lineRule="exact"/>
        <w:rPr>
          <w:sz w:val="20"/>
          <w:szCs w:val="20"/>
          <w:color w:val="auto"/>
        </w:rPr>
      </w:pPr>
    </w:p>
    <w:p>
      <w:pPr>
        <w:ind w:left="440" w:right="559" w:firstLine="347"/>
        <w:spacing w:after="0" w:line="260" w:lineRule="auto"/>
        <w:rPr>
          <w:sz w:val="20"/>
          <w:szCs w:val="20"/>
          <w:color w:val="auto"/>
        </w:rPr>
      </w:pPr>
      <w:r>
        <w:rPr>
          <w:rFonts w:ascii="Times New Roman" w:cs="Times New Roman" w:eastAsia="Times New Roman" w:hAnsi="Times New Roman"/>
          <w:sz w:val="17"/>
          <w:szCs w:val="17"/>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Amalgamations and Mergers</w:t>
      </w:r>
    </w:p>
    <w:p>
      <w:pPr>
        <w:spacing w:after="0" w:line="119" w:lineRule="exact"/>
        <w:rPr>
          <w:sz w:val="20"/>
          <w:szCs w:val="20"/>
          <w:color w:val="auto"/>
        </w:rPr>
      </w:pPr>
    </w:p>
    <w:p>
      <w:pPr>
        <w:ind w:left="440" w:right="559" w:firstLine="347"/>
        <w:spacing w:after="0" w:line="259" w:lineRule="auto"/>
        <w:rPr>
          <w:sz w:val="20"/>
          <w:szCs w:val="20"/>
          <w:color w:val="auto"/>
        </w:rPr>
      </w:pPr>
      <w:r>
        <w:rPr>
          <w:rFonts w:ascii="Times New Roman" w:cs="Times New Roman" w:eastAsia="Times New Roman" w:hAnsi="Times New Roman"/>
          <w:sz w:val="17"/>
          <w:szCs w:val="17"/>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 Our amended and restated bye-laws provide that the approval of a 662/3% of shareholders voting at a meeting to approve the amalgamation or merger agreement shall be sufficient (other than in respect of an amalgamation or merger constituting a “business combination”), and the quorum for such meeting shall be two or more persons present in person and representing in person or by proxy in excess of 50% of the total voting rights of all issued and outstanding shares of the company.</w:t>
      </w:r>
    </w:p>
    <w:p>
      <w:pPr>
        <w:spacing w:after="0" w:line="76" w:lineRule="exact"/>
        <w:rPr>
          <w:sz w:val="20"/>
          <w:szCs w:val="20"/>
          <w:color w:val="auto"/>
        </w:rPr>
      </w:pPr>
    </w:p>
    <w:p>
      <w:pPr>
        <w:ind w:left="440" w:right="539" w:firstLine="347"/>
        <w:spacing w:after="0" w:line="293" w:lineRule="auto"/>
        <w:rPr>
          <w:sz w:val="20"/>
          <w:szCs w:val="20"/>
          <w:color w:val="auto"/>
        </w:rPr>
      </w:pPr>
      <w:r>
        <w:rPr>
          <w:rFonts w:ascii="Times New Roman" w:cs="Times New Roman" w:eastAsia="Times New Roman" w:hAnsi="Times New Roman"/>
          <w:sz w:val="17"/>
          <w:szCs w:val="17"/>
          <w:color w:val="auto"/>
        </w:rPr>
        <w:t>Under Bermuda law, in the event of an amalgamation or merger of a Bermuda company with another company or corporation, a shareholder of the Bermuda company who did not vote in favor of the amalgamation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or merger and who is not satisfied that fair value has been offered for such shareholder’s shares may, within</w:t>
      </w:r>
    </w:p>
    <w:p>
      <w:pPr>
        <w:spacing w:after="0" w:line="31" w:lineRule="exact"/>
        <w:rPr>
          <w:sz w:val="20"/>
          <w:szCs w:val="20"/>
          <w:color w:val="auto"/>
        </w:rPr>
      </w:pPr>
    </w:p>
    <w:p>
      <w:pPr>
        <w:ind w:left="440" w:right="599"/>
        <w:spacing w:after="0" w:line="271" w:lineRule="auto"/>
        <w:rPr>
          <w:sz w:val="20"/>
          <w:szCs w:val="20"/>
          <w:color w:val="auto"/>
        </w:rPr>
      </w:pPr>
      <w:r>
        <w:rPr>
          <w:rFonts w:ascii="Times New Roman" w:cs="Times New Roman" w:eastAsia="Times New Roman" w:hAnsi="Times New Roman"/>
          <w:sz w:val="17"/>
          <w:szCs w:val="17"/>
          <w:color w:val="auto"/>
        </w:rPr>
        <w:t>one month of notice of the shareholders meeting, apply to the Supreme Court of Bermuda to appraise the fair value of those shares.</w:t>
      </w: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119" w:lineRule="exact"/>
        <w:rPr>
          <w:sz w:val="20"/>
          <w:szCs w:val="20"/>
          <w:color w:val="auto"/>
        </w:rPr>
      </w:pPr>
    </w:p>
    <w:p>
      <w:pPr>
        <w:ind w:left="440" w:right="459" w:firstLine="347"/>
        <w:spacing w:after="0" w:line="264" w:lineRule="auto"/>
        <w:rPr>
          <w:sz w:val="20"/>
          <w:szCs w:val="20"/>
          <w:color w:val="auto"/>
        </w:rPr>
      </w:pPr>
      <w:r>
        <w:rPr>
          <w:rFonts w:ascii="Times New Roman" w:cs="Times New Roman" w:eastAsia="Times New Roman" w:hAnsi="Times New Roman"/>
          <w:sz w:val="17"/>
          <w:szCs w:val="17"/>
          <w:color w:val="auto"/>
        </w:rPr>
        <w:t>Although the Companies Act does not contain specific provisions regarding “business combinations” between companies organized under the laws of Bermuda and “interested shareholders,” we have included these provisions in our bye-laws. Specifically, our bye-laws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pacing w:after="0" w:line="278" w:lineRule="exact"/>
        <w:rPr>
          <w:sz w:val="20"/>
          <w:szCs w:val="20"/>
          <w:color w:val="auto"/>
        </w:rPr>
      </w:pPr>
    </w:p>
    <w:p>
      <w:pPr>
        <w:ind w:left="1140" w:right="539" w:hanging="348"/>
        <w:spacing w:after="0" w:line="274" w:lineRule="auto"/>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58" w:lineRule="exact"/>
        <w:rPr>
          <w:rFonts w:ascii="Times New Roman" w:cs="Times New Roman" w:eastAsia="Times New Roman" w:hAnsi="Times New Roman"/>
          <w:sz w:val="17"/>
          <w:szCs w:val="17"/>
          <w:color w:val="auto"/>
        </w:rPr>
      </w:pPr>
    </w:p>
    <w:p>
      <w:pPr>
        <w:ind w:left="1140" w:right="519" w:hanging="348"/>
        <w:spacing w:after="0" w:line="274" w:lineRule="auto"/>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shareholder becoming an interested shareholder, the interested shareholder owned at least 85% of our issued and voting shares outstanding at the time the transaction commenced; or</w:t>
      </w:r>
    </w:p>
    <w:p>
      <w:pPr>
        <w:spacing w:after="0" w:line="58" w:lineRule="exact"/>
        <w:rPr>
          <w:rFonts w:ascii="Times New Roman" w:cs="Times New Roman" w:eastAsia="Times New Roman" w:hAnsi="Times New Roman"/>
          <w:sz w:val="17"/>
          <w:szCs w:val="17"/>
          <w:color w:val="auto"/>
        </w:rPr>
      </w:pPr>
    </w:p>
    <w:p>
      <w:pPr>
        <w:ind w:left="1140" w:right="519" w:hanging="348"/>
        <w:spacing w:after="0" w:line="268" w:lineRule="auto"/>
        <w:tabs>
          <w:tab w:leader="none" w:pos="1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of the transaction that resulted in the shareholder becoming an interested shareholder, the business combination is approved by our board of directors and authorized at an annual or special meeting of shareholders by the affirmative vote of at least 662/3% of our issued and outstanding voting shares that are not owned by the interested shareholder.</w:t>
      </w:r>
    </w:p>
    <w:p>
      <w:pPr>
        <w:spacing w:after="0" w:line="63"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Shareholder Suits</w:t>
      </w:r>
    </w:p>
    <w:p>
      <w:pPr>
        <w:spacing w:after="0" w:line="119" w:lineRule="exact"/>
        <w:rPr>
          <w:sz w:val="20"/>
          <w:szCs w:val="20"/>
          <w:color w:val="auto"/>
        </w:rPr>
      </w:pPr>
    </w:p>
    <w:p>
      <w:pPr>
        <w:ind w:left="440" w:right="499" w:firstLine="347"/>
        <w:spacing w:after="0" w:line="261" w:lineRule="auto"/>
        <w:rPr>
          <w:sz w:val="20"/>
          <w:szCs w:val="20"/>
          <w:color w:val="auto"/>
        </w:rPr>
      </w:pPr>
      <w:r>
        <w:rPr>
          <w:rFonts w:ascii="Times New Roman" w:cs="Times New Roman" w:eastAsia="Times New Roman" w:hAnsi="Times New Roman"/>
          <w:sz w:val="17"/>
          <w:szCs w:val="17"/>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73" w:lineRule="exact"/>
        <w:rPr>
          <w:sz w:val="20"/>
          <w:szCs w:val="20"/>
          <w:color w:val="auto"/>
        </w:rPr>
      </w:pPr>
    </w:p>
    <w:p>
      <w:pPr>
        <w:ind w:left="440" w:right="479" w:firstLine="347"/>
        <w:spacing w:after="0" w:line="268" w:lineRule="auto"/>
        <w:rPr>
          <w:sz w:val="20"/>
          <w:szCs w:val="20"/>
          <w:color w:val="auto"/>
        </w:rPr>
      </w:pPr>
      <w:r>
        <w:rPr>
          <w:rFonts w:ascii="Times New Roman" w:cs="Times New Roman" w:eastAsia="Times New Roman" w:hAnsi="Times New Roman"/>
          <w:sz w:val="17"/>
          <w:szCs w:val="17"/>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63" w:lineRule="exact"/>
        <w:rPr>
          <w:sz w:val="20"/>
          <w:szCs w:val="20"/>
          <w:color w:val="auto"/>
        </w:rPr>
      </w:pPr>
    </w:p>
    <w:p>
      <w:pPr>
        <w:ind w:left="440" w:right="499" w:firstLine="347"/>
        <w:spacing w:after="0" w:line="265" w:lineRule="auto"/>
        <w:rPr>
          <w:sz w:val="20"/>
          <w:szCs w:val="20"/>
          <w:color w:val="auto"/>
        </w:rPr>
      </w:pPr>
      <w:r>
        <w:rPr>
          <w:rFonts w:ascii="Times New Roman" w:cs="Times New Roman" w:eastAsia="Times New Roman" w:hAnsi="Times New Roman"/>
          <w:sz w:val="17"/>
          <w:szCs w:val="17"/>
          <w:color w:val="auto"/>
        </w:rPr>
        <w:t>Our amended and restated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We have been advised by the SEC that in the opinion of the SEC, the operation of this provision as a waiver of the right to sue for violations of federal securities laws would likely be unenforceable in U.S. courts.</w:t>
      </w: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Capitalization of Profits and Reserves</w:t>
      </w:r>
    </w:p>
    <w:p>
      <w:pPr>
        <w:spacing w:after="0" w:line="119" w:lineRule="exact"/>
        <w:rPr>
          <w:sz w:val="20"/>
          <w:szCs w:val="20"/>
          <w:color w:val="auto"/>
        </w:rPr>
      </w:pPr>
    </w:p>
    <w:p>
      <w:pPr>
        <w:ind w:left="440" w:right="699" w:firstLine="347"/>
        <w:spacing w:after="0" w:line="268" w:lineRule="auto"/>
        <w:rPr>
          <w:sz w:val="20"/>
          <w:szCs w:val="20"/>
          <w:color w:val="auto"/>
        </w:rPr>
      </w:pPr>
      <w:r>
        <w:rPr>
          <w:rFonts w:ascii="Times New Roman" w:cs="Times New Roman" w:eastAsia="Times New Roman" w:hAnsi="Times New Roman"/>
          <w:sz w:val="17"/>
          <w:szCs w:val="17"/>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40" w:right="479" w:firstLine="5"/>
        <w:spacing w:after="0" w:line="274" w:lineRule="auto"/>
        <w:tabs>
          <w:tab w:leader="none" w:pos="68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Untraced Shareholders</w:t>
      </w:r>
    </w:p>
    <w:p>
      <w:pPr>
        <w:spacing w:after="0" w:line="119" w:lineRule="exact"/>
        <w:rPr>
          <w:sz w:val="20"/>
          <w:szCs w:val="20"/>
          <w:color w:val="auto"/>
        </w:rPr>
      </w:pPr>
    </w:p>
    <w:p>
      <w:pPr>
        <w:ind w:left="440" w:right="459" w:firstLine="347"/>
        <w:spacing w:after="0" w:line="261" w:lineRule="auto"/>
        <w:rPr>
          <w:sz w:val="20"/>
          <w:szCs w:val="20"/>
          <w:color w:val="auto"/>
        </w:rPr>
      </w:pPr>
      <w:r>
        <w:rPr>
          <w:rFonts w:ascii="Times New Roman" w:cs="Times New Roman" w:eastAsia="Times New Roman" w:hAnsi="Times New Roman"/>
          <w:sz w:val="17"/>
          <w:szCs w:val="17"/>
          <w:color w:val="auto"/>
        </w:rPr>
        <w:t>Our amended and restated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Certain Provisions of Bermuda Law</w:t>
      </w:r>
    </w:p>
    <w:p>
      <w:pPr>
        <w:spacing w:after="0" w:line="119" w:lineRule="exact"/>
        <w:rPr>
          <w:sz w:val="20"/>
          <w:szCs w:val="20"/>
          <w:color w:val="auto"/>
        </w:rPr>
      </w:pPr>
    </w:p>
    <w:p>
      <w:pPr>
        <w:ind w:left="440" w:right="479" w:firstLine="347"/>
        <w:spacing w:after="0" w:line="268" w:lineRule="auto"/>
        <w:rPr>
          <w:sz w:val="20"/>
          <w:szCs w:val="20"/>
          <w:color w:val="auto"/>
        </w:rPr>
      </w:pPr>
      <w:r>
        <w:rPr>
          <w:rFonts w:ascii="Times New Roman" w:cs="Times New Roman" w:eastAsia="Times New Roman" w:hAnsi="Times New Roman"/>
          <w:sz w:val="17"/>
          <w:szCs w:val="17"/>
          <w:color w:val="auto"/>
        </w:rPr>
        <w:t>We have been designated by the Bermuda Monetary Authority as a non-resident for Bermuda exchange control purposes. This designation allows us to engage in transactions in currencies other than the Bermuda dollar, and there are no restrictions on our ability to transfer funds (other than funds denominated in Bermuda dollars) in and out of Bermuda or to pay dividends to U.S. residents who are holders of Common Shares.</w:t>
      </w:r>
    </w:p>
    <w:p>
      <w:pPr>
        <w:spacing w:after="0" w:line="63" w:lineRule="exact"/>
        <w:rPr>
          <w:sz w:val="20"/>
          <w:szCs w:val="20"/>
          <w:color w:val="auto"/>
        </w:rPr>
      </w:pPr>
    </w:p>
    <w:p>
      <w:pPr>
        <w:ind w:left="440" w:right="479" w:firstLine="347"/>
        <w:spacing w:after="0" w:line="258" w:lineRule="auto"/>
        <w:rPr>
          <w:sz w:val="20"/>
          <w:szCs w:val="20"/>
          <w:color w:val="auto"/>
        </w:rPr>
      </w:pPr>
      <w:r>
        <w:rPr>
          <w:rFonts w:ascii="Times New Roman" w:cs="Times New Roman" w:eastAsia="Times New Roman" w:hAnsi="Times New Roman"/>
          <w:sz w:val="17"/>
          <w:szCs w:val="17"/>
          <w:color w:val="auto"/>
        </w:rPr>
        <w:t>The Bermuda Monetary Authority has given its consent for the issue and free transferability of all of the Common Shares that are the subject of this offering to and between residents and non-residents of Bermuda for exchange control purposes, provided our shares remain listed on an appointed stock exchange, which includes Nasdaq. Approvals or permissions given by the Bermuda Monetary Authority do not constitute a guarantee by the Bermuda Monetary Authority as to our performance or our creditworthiness. Accordingly, in giving such consent or permissions, neither the Bermuda Monetary Authority nor the Registrar of Companies in Bermuda shall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our shares, including Common Shares, up to the amount of our authorized capital from time to time, and options, warrants, depository receipts, rights, loan notes, debt instruments and our other securities to persons resident and non-resident for exchange control purposes without the need for prior approval of such issue or transfer, provided our shares remain listed on an appointed stock exchange, which includes Nasdaq.</w:t>
      </w:r>
    </w:p>
    <w:p>
      <w:pPr>
        <w:spacing w:after="0" w:line="76" w:lineRule="exact"/>
        <w:rPr>
          <w:sz w:val="20"/>
          <w:szCs w:val="20"/>
          <w:color w:val="auto"/>
        </w:rPr>
      </w:pPr>
    </w:p>
    <w:p>
      <w:pPr>
        <w:ind w:left="440" w:right="599" w:firstLine="347"/>
        <w:spacing w:after="0" w:line="268" w:lineRule="auto"/>
        <w:rPr>
          <w:sz w:val="20"/>
          <w:szCs w:val="20"/>
          <w:color w:val="auto"/>
        </w:rPr>
      </w:pPr>
      <w:r>
        <w:rPr>
          <w:rFonts w:ascii="Times New Roman" w:cs="Times New Roman" w:eastAsia="Times New Roman" w:hAnsi="Times New Roman"/>
          <w:sz w:val="17"/>
          <w:szCs w:val="17"/>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Exchange Controls</w:t>
      </w:r>
    </w:p>
    <w:p>
      <w:pPr>
        <w:spacing w:after="0" w:line="119" w:lineRule="exact"/>
        <w:rPr>
          <w:sz w:val="20"/>
          <w:szCs w:val="20"/>
          <w:color w:val="auto"/>
        </w:rPr>
      </w:pPr>
    </w:p>
    <w:p>
      <w:pPr>
        <w:ind w:left="440" w:right="479" w:firstLine="347"/>
        <w:spacing w:after="0" w:line="258" w:lineRule="auto"/>
        <w:rPr>
          <w:sz w:val="20"/>
          <w:szCs w:val="20"/>
          <w:color w:val="auto"/>
        </w:rPr>
      </w:pPr>
      <w:r>
        <w:rPr>
          <w:rFonts w:ascii="Times New Roman" w:cs="Times New Roman" w:eastAsia="Times New Roman" w:hAnsi="Times New Roman"/>
          <w:sz w:val="17"/>
          <w:szCs w:val="17"/>
          <w:color w:val="auto"/>
        </w:rPr>
        <w:t>The permission of the Bermuda Monetary Authority is required, pursuant to the provisions of the Exchange Control Act 1972 and related regulations, for all issuances and transfers of shares (which includes Common Shares)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of a Bermuda company from or to a non-resident of Bermuda for exchange control purposes for so long as any “Equity Securities” of the company (which would include Common Shares) are listed on an “Appointed Stock Exchange” (which would include Nasdaq).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our shares, including Common Shares, up to the amount of our authorized capital from time to time, and options, warrants, depository receipts, rights, loan notes, debt instruments and our other securities to persons resident and non-resident for exchange control purposes without the need for prior approval of such issue or transfer, provided our shares remain listed on an appointed stock exchange, which includes Nasdaq.</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transfer agent for the Common Shares is Equiniti Trust Company, LLC.</w:t>
      </w:r>
    </w:p>
    <w:p>
      <w:pPr>
        <w:spacing w:after="0" w:line="3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Listing of Common Shares</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Common Shares are listed on the Nasdaq Global Select Market under the symbol “ROIV.”</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19" w:lineRule="exact"/>
        <w:rPr>
          <w:sz w:val="20"/>
          <w:szCs w:val="20"/>
          <w:color w:val="auto"/>
        </w:rPr>
      </w:pPr>
    </w:p>
    <w:p>
      <w:pPr>
        <w:ind w:left="440" w:right="539" w:firstLine="347"/>
        <w:spacing w:after="0" w:line="261" w:lineRule="auto"/>
        <w:rPr>
          <w:sz w:val="20"/>
          <w:szCs w:val="20"/>
          <w:color w:val="auto"/>
        </w:rPr>
      </w:pPr>
      <w:r>
        <w:rPr>
          <w:rFonts w:ascii="Times New Roman" w:cs="Times New Roman" w:eastAsia="Times New Roman" w:hAnsi="Times New Roman"/>
          <w:sz w:val="17"/>
          <w:szCs w:val="17"/>
          <w:color w:val="auto"/>
        </w:rPr>
        <w:t>We may issue senior or subordinated debt securities under one or more indentures. The debt securities will constitute either our senior or subordinated debt. We will issue debt securities that will be senior debt under a senior debt indenture between us and a senior debt trustee, and we will issue debt securities that will be subordinated debt under a subordinated debt indenture between us and a subordinated debt trustee. This prospectus refers to the senior debt indenture and the subordinated debt indenture individually as the indenture and collectively as the indentures. This prospectus refers to the senior debt trustee and the subordinated debt trustee individually as the trustee and collectively as the trustees.</w:t>
      </w:r>
    </w:p>
    <w:p>
      <w:pPr>
        <w:spacing w:after="0" w:line="73" w:lineRule="exact"/>
        <w:rPr>
          <w:sz w:val="20"/>
          <w:szCs w:val="20"/>
          <w:color w:val="auto"/>
        </w:rPr>
      </w:pPr>
    </w:p>
    <w:p>
      <w:pPr>
        <w:ind w:left="440" w:right="539" w:firstLine="347"/>
        <w:spacing w:after="0" w:line="274" w:lineRule="auto"/>
        <w:rPr>
          <w:sz w:val="20"/>
          <w:szCs w:val="20"/>
          <w:color w:val="auto"/>
        </w:rPr>
      </w:pPr>
      <w:r>
        <w:rPr>
          <w:rFonts w:ascii="Times New Roman" w:cs="Times New Roman" w:eastAsia="Times New Roman" w:hAnsi="Times New Roman"/>
          <w:sz w:val="17"/>
          <w:szCs w:val="17"/>
          <w:color w:val="auto"/>
        </w:rPr>
        <w:t>When we offer to sell a particular series of debt securities, we will describe the specific terms for the securities in a supplement to this prospectus. The prospectus supplement will also indicate whether the general terms and provisions described in this prospectus apply to a particular series of debt securities.</w:t>
      </w:r>
    </w:p>
    <w:p>
      <w:pPr>
        <w:spacing w:after="0" w:line="59" w:lineRule="exact"/>
        <w:rPr>
          <w:sz w:val="20"/>
          <w:szCs w:val="20"/>
          <w:color w:val="auto"/>
        </w:rPr>
      </w:pPr>
    </w:p>
    <w:p>
      <w:pPr>
        <w:ind w:left="440" w:right="459" w:firstLine="347"/>
        <w:spacing w:after="0" w:line="260" w:lineRule="auto"/>
        <w:rPr>
          <w:sz w:val="20"/>
          <w:szCs w:val="20"/>
          <w:color w:val="auto"/>
        </w:rPr>
      </w:pPr>
      <w:r>
        <w:rPr>
          <w:rFonts w:ascii="Times New Roman" w:cs="Times New Roman" w:eastAsia="Times New Roman" w:hAnsi="Times New Roman"/>
          <w:sz w:val="17"/>
          <w:szCs w:val="17"/>
          <w:color w:val="auto"/>
        </w:rPr>
        <w:t>We have summarized certain terms and provisions of the indentures. The summary is not complete and is qualified in its entirety by the indentures which will be incorporated by reference as an exhibit to the registration statement for these securities. You should read the indentures for the provisions which may be important to you. The indentures are subject to and governed by the Trust Indenture Act of 1939, as amended. The indentures are substantially identical, except for the provisions relating to subordination and covenants. See “—Subordinated Debt” and “—Covenants.” Neither indenture will limit the amount of debt securities which we may issue. We may issue debt securities up to an aggregate principal amount as we may authorize from time to time. The prospectus supplement will describe the terms of any debt securities being offered, including:</w:t>
      </w:r>
    </w:p>
    <w:p>
      <w:pPr>
        <w:spacing w:after="0" w:line="75" w:lineRule="exact"/>
        <w:rPr>
          <w:sz w:val="20"/>
          <w:szCs w:val="20"/>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classification as senior or subordinated debt securities;</w:t>
      </w:r>
    </w:p>
    <w:p>
      <w:pPr>
        <w:spacing w:after="0" w:line="116" w:lineRule="exact"/>
        <w:rPr>
          <w:rFonts w:ascii="Times New Roman" w:cs="Times New Roman" w:eastAsia="Times New Roman" w:hAnsi="Times New Roman"/>
          <w:sz w:val="17"/>
          <w:szCs w:val="17"/>
          <w:color w:val="auto"/>
        </w:rPr>
      </w:pPr>
    </w:p>
    <w:p>
      <w:pPr>
        <w:ind w:left="1140" w:right="999" w:hanging="348"/>
        <w:spacing w:after="0" w:line="293"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ranking of the specific series of debt securities relative to other outstanding indebtedness, including subsidiaries’ debt;</w:t>
      </w:r>
    </w:p>
    <w:p>
      <w:pPr>
        <w:spacing w:after="0" w:line="43" w:lineRule="exact"/>
        <w:rPr>
          <w:rFonts w:ascii="Times New Roman" w:cs="Times New Roman" w:eastAsia="Times New Roman" w:hAnsi="Times New Roman"/>
          <w:sz w:val="17"/>
          <w:szCs w:val="17"/>
          <w:color w:val="auto"/>
        </w:rPr>
      </w:pPr>
    </w:p>
    <w:p>
      <w:pPr>
        <w:jc w:val="both"/>
        <w:ind w:left="1140" w:right="719" w:hanging="348"/>
        <w:spacing w:after="0" w:line="274"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58"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aggregate principal amount and authorized denominations;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if any, and the method for calculating the interest rate;</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payment dates and the record dates for the interest payments;</w:t>
      </w:r>
    </w:p>
    <w:p>
      <w:pPr>
        <w:spacing w:after="0" w:line="116" w:lineRule="exact"/>
        <w:rPr>
          <w:rFonts w:ascii="Times New Roman" w:cs="Times New Roman" w:eastAsia="Times New Roman" w:hAnsi="Times New Roman"/>
          <w:sz w:val="17"/>
          <w:szCs w:val="17"/>
          <w:color w:val="auto"/>
        </w:rPr>
      </w:pPr>
    </w:p>
    <w:p>
      <w:pPr>
        <w:ind w:left="1140" w:right="599" w:hanging="348"/>
        <w:spacing w:after="0" w:line="293"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mandatory or optional redemption terms or prepayment, conversion, sinking fund or exchangeability or convertibility provisions;</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where we will pay principal and interest;</w:t>
      </w:r>
    </w:p>
    <w:p>
      <w:pPr>
        <w:spacing w:after="0" w:line="116" w:lineRule="exact"/>
        <w:rPr>
          <w:rFonts w:ascii="Times New Roman" w:cs="Times New Roman" w:eastAsia="Times New Roman" w:hAnsi="Times New Roman"/>
          <w:sz w:val="17"/>
          <w:szCs w:val="17"/>
          <w:color w:val="auto"/>
        </w:rPr>
      </w:pPr>
    </w:p>
    <w:p>
      <w:pPr>
        <w:ind w:left="1140" w:right="499" w:hanging="348"/>
        <w:spacing w:after="0" w:line="293"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denominations of $1,000 or multiples of $1,000, the denominations the debt securities will be issued in;</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the form of global securities or certificates;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provisions, if any, relating to the defeasance of the debt securities;</w:t>
      </w:r>
    </w:p>
    <w:p>
      <w:pPr>
        <w:spacing w:after="0" w:line="116" w:lineRule="exact"/>
        <w:rPr>
          <w:rFonts w:ascii="Times New Roman" w:cs="Times New Roman" w:eastAsia="Times New Roman" w:hAnsi="Times New Roman"/>
          <w:sz w:val="17"/>
          <w:szCs w:val="17"/>
          <w:color w:val="auto"/>
        </w:rPr>
      </w:pPr>
    </w:p>
    <w:p>
      <w:pPr>
        <w:ind w:left="1140" w:right="639" w:hanging="348"/>
        <w:spacing w:after="0" w:line="293"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currencies, if other than the currency of the United States, in which principal and interest will be paid;</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United States federal income tax consequences;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premium, if any, will be paid;</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interest and the maximum length of this deferral period;</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on a securities exchange;</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public offering price; and</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specific terms, including any additional events of default or covenants.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Senior Debt</w:t>
      </w:r>
    </w:p>
    <w:p>
      <w:pPr>
        <w:spacing w:after="0" w:line="119" w:lineRule="exact"/>
        <w:rPr>
          <w:sz w:val="20"/>
          <w:szCs w:val="20"/>
          <w:color w:val="auto"/>
        </w:rPr>
      </w:pPr>
    </w:p>
    <w:p>
      <w:pPr>
        <w:jc w:val="both"/>
        <w:ind w:left="440" w:right="819" w:firstLine="347"/>
        <w:spacing w:after="0" w:line="274" w:lineRule="auto"/>
        <w:rPr>
          <w:sz w:val="20"/>
          <w:szCs w:val="20"/>
          <w:color w:val="auto"/>
        </w:rPr>
      </w:pPr>
      <w:r>
        <w:rPr>
          <w:rFonts w:ascii="Times New Roman" w:cs="Times New Roman" w:eastAsia="Times New Roman" w:hAnsi="Times New Roman"/>
          <w:sz w:val="17"/>
          <w:szCs w:val="17"/>
          <w:color w:val="auto"/>
        </w:rPr>
        <w:t>We will issue under the senior debt indenture the debt securities that will constitute part of our senior debt. These senior debt securities will rank equally and pari passu with all of our other unsecured and unsubordinated debt.</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Subordinated Debt</w:t>
      </w:r>
    </w:p>
    <w:p>
      <w:pPr>
        <w:spacing w:after="0" w:line="119" w:lineRule="exact"/>
        <w:rPr>
          <w:sz w:val="20"/>
          <w:szCs w:val="20"/>
          <w:color w:val="auto"/>
        </w:rPr>
      </w:pPr>
    </w:p>
    <w:p>
      <w:pPr>
        <w:ind w:left="440" w:right="619" w:firstLine="347"/>
        <w:spacing w:after="0" w:line="261" w:lineRule="auto"/>
        <w:rPr>
          <w:sz w:val="20"/>
          <w:szCs w:val="20"/>
          <w:color w:val="auto"/>
        </w:rPr>
      </w:pPr>
      <w:r>
        <w:rPr>
          <w:rFonts w:ascii="Times New Roman" w:cs="Times New Roman" w:eastAsia="Times New Roman" w:hAnsi="Times New Roman"/>
          <w:sz w:val="17"/>
          <w:szCs w:val="17"/>
          <w:color w:val="auto"/>
        </w:rPr>
        <w:t>We will issue under the subordinated debt indenture the debt securities that will constitute part of our subordinated debt. These subordinated debt securities will be subordinate and junior in right of payment, to the extent and in the manner set forth in the subordinated debt indenture, to all of our “senior indebtedness.” The subordinated debt indenture defines “senior indebtedness” as the principal of (and premium, if any) and interest on</w:t>
      </w:r>
    </w:p>
    <w:p>
      <w:pPr>
        <w:spacing w:after="0" w:line="1" w:lineRule="exact"/>
        <w:rPr>
          <w:sz w:val="20"/>
          <w:szCs w:val="20"/>
          <w:color w:val="auto"/>
        </w:rPr>
      </w:pPr>
    </w:p>
    <w:p>
      <w:pPr>
        <w:ind w:left="440" w:right="619" w:firstLine="5"/>
        <w:spacing w:after="0" w:line="255" w:lineRule="auto"/>
        <w:tabs>
          <w:tab w:leader="none" w:pos="64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indebtedness for borrowed money, (ii) all of our obligations evidenced by bonds, debentures, notes or other similar instruments, (iii) all of our obligations in respect of letters of credit or bankers’ acceptance or other similar instruments (or reimbursement obligations with respect thereto), (iv) all of our obligations to pay the deferred purchase price of property or services, except trade payables, (v) all of our obligations as lessee under capital leases, (vi) all debt of others secured by a lien on any of our assets, (vii) all debt of others guaranteed by us,</w:t>
      </w:r>
    </w:p>
    <w:p>
      <w:pPr>
        <w:spacing w:after="0" w:line="2" w:lineRule="exact"/>
        <w:rPr>
          <w:rFonts w:ascii="Times New Roman" w:cs="Times New Roman" w:eastAsia="Times New Roman" w:hAnsi="Times New Roman"/>
          <w:sz w:val="17"/>
          <w:szCs w:val="17"/>
          <w:color w:val="auto"/>
        </w:rPr>
      </w:pPr>
    </w:p>
    <w:p>
      <w:pPr>
        <w:ind w:left="440" w:right="579" w:firstLine="5"/>
        <w:spacing w:after="0" w:line="255" w:lineRule="auto"/>
        <w:tabs>
          <w:tab w:leader="none" w:pos="83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redeemable shares valued at the greater of their voluntary or involuntary liquidation preference plus accrued and unpaid dividends, and (ix) all of our obligations under any currency agreements and interest rate agreements. “Senior indebtedness” does not include (i) any obligations that, when incurred, was without recourse,</w:t>
      </w:r>
    </w:p>
    <w:p>
      <w:pPr>
        <w:spacing w:after="0" w:line="1" w:lineRule="exact"/>
        <w:rPr>
          <w:rFonts w:ascii="Times New Roman" w:cs="Times New Roman" w:eastAsia="Times New Roman" w:hAnsi="Times New Roman"/>
          <w:sz w:val="17"/>
          <w:szCs w:val="17"/>
          <w:color w:val="auto"/>
        </w:rPr>
      </w:pPr>
    </w:p>
    <w:p>
      <w:pPr>
        <w:ind w:left="440" w:right="579" w:firstLine="5"/>
        <w:spacing w:after="0" w:line="271" w:lineRule="auto"/>
        <w:tabs>
          <w:tab w:leader="none" w:pos="69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obligations that are specifically designated as not being senior in right of payment to the subordinated debt securities, and (iii) our redeemable shares.</w:t>
      </w:r>
    </w:p>
    <w:p>
      <w:pPr>
        <w:spacing w:after="0" w:line="61" w:lineRule="exact"/>
        <w:rPr>
          <w:sz w:val="20"/>
          <w:szCs w:val="20"/>
          <w:color w:val="auto"/>
        </w:rPr>
      </w:pPr>
    </w:p>
    <w:p>
      <w:pPr>
        <w:ind w:left="440" w:right="559" w:firstLine="347"/>
        <w:spacing w:after="0" w:line="268" w:lineRule="auto"/>
        <w:rPr>
          <w:sz w:val="20"/>
          <w:szCs w:val="20"/>
          <w:color w:val="auto"/>
        </w:rPr>
      </w:pPr>
      <w:r>
        <w:rPr>
          <w:rFonts w:ascii="Times New Roman" w:cs="Times New Roman" w:eastAsia="Times New Roman" w:hAnsi="Times New Roman"/>
          <w:sz w:val="17"/>
          <w:szCs w:val="17"/>
          <w:color w:val="auto"/>
        </w:rPr>
        <w:t>In general, the holders of all senior indebtedness are first entitled to receive payment of the full amount unpaid on senior indebtedness before the holders of any of the subordinated debt securities or coupons are entitled to receive a payment on account of the principal or interest on the indebtedness evidenced by the subordinated debt securities in certain events. These events include:</w:t>
      </w:r>
    </w:p>
    <w:p>
      <w:pPr>
        <w:spacing w:after="0" w:line="63" w:lineRule="exact"/>
        <w:rPr>
          <w:sz w:val="20"/>
          <w:szCs w:val="20"/>
          <w:color w:val="auto"/>
        </w:rPr>
      </w:pPr>
    </w:p>
    <w:p>
      <w:pPr>
        <w:ind w:left="1140" w:right="499" w:hanging="348"/>
        <w:spacing w:after="0" w:line="293"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insolvency or bankruptcy proceedings, or any receivership, liquidation, reorganization or other similar proceedings which concern us or a substantial part of our property;</w:t>
      </w:r>
    </w:p>
    <w:p>
      <w:pPr>
        <w:spacing w:after="0" w:line="43" w:lineRule="exact"/>
        <w:rPr>
          <w:rFonts w:ascii="Times New Roman" w:cs="Times New Roman" w:eastAsia="Times New Roman" w:hAnsi="Times New Roman"/>
          <w:sz w:val="17"/>
          <w:szCs w:val="17"/>
          <w:color w:val="auto"/>
        </w:rPr>
      </w:pPr>
    </w:p>
    <w:p>
      <w:pPr>
        <w:ind w:left="1140" w:right="499" w:hanging="348"/>
        <w:spacing w:after="0" w:line="263"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having occurred for the payment of principal, premium, if any, or interest on or other monetary amounts due and payable on any senior indebtedness or any other default having occurred concerning any senior indebtedness, which permits the holder or holders of any senior indebtedness to accelerate the maturity of any senior indebtedness with notice or lapse of time, or both. Such an event of default must have continued beyond the period of grace, if any, provided for such event of default, and such an event of default shall not have been cured or waived or shall not have ceased to exist; or</w:t>
      </w:r>
    </w:p>
    <w:p>
      <w:pPr>
        <w:spacing w:after="0" w:line="67" w:lineRule="exact"/>
        <w:rPr>
          <w:rFonts w:ascii="Times New Roman" w:cs="Times New Roman" w:eastAsia="Times New Roman" w:hAnsi="Times New Roman"/>
          <w:sz w:val="17"/>
          <w:szCs w:val="17"/>
          <w:color w:val="auto"/>
        </w:rPr>
      </w:pPr>
    </w:p>
    <w:p>
      <w:pPr>
        <w:ind w:left="1140" w:right="779" w:hanging="348"/>
        <w:spacing w:after="0" w:line="274"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of, and accrued interest on, any series of the subordinated debt securities having been declared due and payable upon an event of default pursuant to the subordinated debt indenture. This declaration must not have been rescinded and annulled as provided in the subordinated debt indenture.</w:t>
      </w:r>
    </w:p>
    <w:p>
      <w:pPr>
        <w:spacing w:after="0" w:line="59" w:lineRule="exact"/>
        <w:rPr>
          <w:sz w:val="20"/>
          <w:szCs w:val="20"/>
          <w:color w:val="auto"/>
        </w:rPr>
      </w:pPr>
    </w:p>
    <w:p>
      <w:pPr>
        <w:ind w:left="440" w:right="619" w:firstLine="347"/>
        <w:spacing w:after="0" w:line="274" w:lineRule="auto"/>
        <w:rPr>
          <w:sz w:val="20"/>
          <w:szCs w:val="20"/>
          <w:color w:val="auto"/>
        </w:rPr>
      </w:pPr>
      <w:r>
        <w:rPr>
          <w:rFonts w:ascii="Times New Roman" w:cs="Times New Roman" w:eastAsia="Times New Roman" w:hAnsi="Times New Roman"/>
          <w:sz w:val="17"/>
          <w:szCs w:val="17"/>
          <w:color w:val="auto"/>
        </w:rPr>
        <w:t>If this prospectus is being delivered in connection with a series of subordinated debt securities, the accompanying prospectus supplement or the information incorporated in this prospectus by reference will set forth the approximate amount of senior indebtedness outstanding as of the end of the most recent fiscal quarter.</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19" w:lineRule="exact"/>
        <w:rPr>
          <w:sz w:val="20"/>
          <w:szCs w:val="20"/>
          <w:color w:val="auto"/>
        </w:rPr>
      </w:pPr>
    </w:p>
    <w:p>
      <w:pPr>
        <w:ind w:left="440" w:right="559" w:firstLine="347"/>
        <w:spacing w:after="0" w:line="293" w:lineRule="auto"/>
        <w:rPr>
          <w:sz w:val="20"/>
          <w:szCs w:val="20"/>
          <w:color w:val="auto"/>
        </w:rPr>
      </w:pPr>
      <w:r>
        <w:rPr>
          <w:rFonts w:ascii="Times New Roman" w:cs="Times New Roman" w:eastAsia="Times New Roman" w:hAnsi="Times New Roman"/>
          <w:sz w:val="17"/>
          <w:szCs w:val="17"/>
          <w:color w:val="auto"/>
        </w:rPr>
        <w:t>When we use the term “Event of Default” in the indentures with respect to the debt securities of any series, we mean:</w:t>
      </w:r>
    </w:p>
    <w:p>
      <w:pPr>
        <w:spacing w:after="0" w:line="43" w:lineRule="exact"/>
        <w:rPr>
          <w:sz w:val="20"/>
          <w:szCs w:val="20"/>
          <w:color w:val="auto"/>
        </w:rPr>
      </w:pPr>
    </w:p>
    <w:p>
      <w:pPr>
        <w:ind w:left="1140" w:right="579" w:hanging="348"/>
        <w:spacing w:after="0" w:line="274"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default in the payment of principal of such debt securities when it becomes due and payable at maturity, upon acceleration, redemption or mandatory repurchase, including as a sinking fund installment or otherwise;</w:t>
      </w:r>
    </w:p>
    <w:p>
      <w:pPr>
        <w:spacing w:after="0" w:line="58" w:lineRule="exact"/>
        <w:rPr>
          <w:rFonts w:ascii="Times New Roman" w:cs="Times New Roman" w:eastAsia="Times New Roman" w:hAnsi="Times New Roman"/>
          <w:sz w:val="17"/>
          <w:szCs w:val="17"/>
          <w:color w:val="auto"/>
        </w:rPr>
      </w:pPr>
    </w:p>
    <w:p>
      <w:pPr>
        <w:ind w:left="1140" w:right="699" w:hanging="348"/>
        <w:spacing w:after="0" w:line="293"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default in the payment of interest on such debt securities when it becomes due and payable and such default continues for a period of 30 days or more;</w:t>
      </w:r>
    </w:p>
    <w:p>
      <w:pPr>
        <w:spacing w:after="0" w:line="43" w:lineRule="exact"/>
        <w:rPr>
          <w:rFonts w:ascii="Times New Roman" w:cs="Times New Roman" w:eastAsia="Times New Roman" w:hAnsi="Times New Roman"/>
          <w:sz w:val="17"/>
          <w:szCs w:val="17"/>
          <w:color w:val="auto"/>
        </w:rPr>
      </w:pPr>
    </w:p>
    <w:p>
      <w:pPr>
        <w:ind w:left="1140" w:right="499" w:hanging="348"/>
        <w:spacing w:after="0" w:line="274"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default in the performance of, or breach, any other covenant or agreement in the indenture with respect to such debt securities or in such debt securities (other than defaults specified in clause (i) or (ii) above) and such default or breach continues for a period of 30 days or more after written notice 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659"/>
        <w:spacing w:after="0" w:line="274" w:lineRule="auto"/>
        <w:rPr>
          <w:sz w:val="20"/>
          <w:szCs w:val="20"/>
          <w:color w:val="auto"/>
        </w:rPr>
      </w:pPr>
      <w:r>
        <w:rPr>
          <w:rFonts w:ascii="Times New Roman" w:cs="Times New Roman" w:eastAsia="Times New Roman" w:hAnsi="Times New Roman"/>
          <w:sz w:val="17"/>
          <w:szCs w:val="17"/>
          <w:color w:val="auto"/>
        </w:rPr>
        <w:t>us by the trustee or to us and the trustee by the holders of 25% or more in aggregate principal amount of all outstanding debt securities affected thereby specifying such default or breach and requiring it to be remedied;</w:t>
      </w:r>
    </w:p>
    <w:p>
      <w:pPr>
        <w:spacing w:after="0" w:line="59" w:lineRule="exact"/>
        <w:rPr>
          <w:sz w:val="20"/>
          <w:szCs w:val="20"/>
          <w:color w:val="auto"/>
        </w:rPr>
      </w:pPr>
    </w:p>
    <w:p>
      <w:pPr>
        <w:ind w:left="1140" w:right="979" w:hanging="348"/>
        <w:spacing w:after="0" w:line="293"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material subsidiary has occurred; or</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Events of Default set forth in the prospectus supplement.</w:t>
      </w:r>
    </w:p>
    <w:p>
      <w:pPr>
        <w:spacing w:after="0" w:line="117" w:lineRule="exact"/>
        <w:rPr>
          <w:sz w:val="20"/>
          <w:szCs w:val="20"/>
          <w:color w:val="auto"/>
        </w:rPr>
      </w:pPr>
    </w:p>
    <w:p>
      <w:pPr>
        <w:ind w:left="440" w:right="579" w:firstLine="347"/>
        <w:spacing w:after="0" w:line="263"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(iv) above) with respect to any series of debt securities then outstanding occurs and is continuing, then either the trustee or the holders of not less than 25% in aggregate principal amount of all outstanding debt securities may declare the entire principal of such debt securities (or such lesser amount as may be provided in the terms of the debt securities), and the interest accrued thereon, if any, to be due and payable immediately, and upon any such declaration the same will become immediately due and payable.</w:t>
      </w:r>
    </w:p>
    <w:p>
      <w:pPr>
        <w:spacing w:after="0" w:line="68"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If an Event of Default under the indenture specified in clause (iv) above occurs and is continuing, then the principal amount of all outstanding debt securities (or such lesser amount as may be provided in the terms of the debt securities) and interest accrued thereon, if any, will become immediately due and payable, without any notice or other action by any holder or the trustee, to the full extent permitted by applicable law.</w:t>
      </w:r>
    </w:p>
    <w:p>
      <w:pPr>
        <w:spacing w:after="0" w:line="63" w:lineRule="exact"/>
        <w:rPr>
          <w:sz w:val="20"/>
          <w:szCs w:val="20"/>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The holders of at least a majority in principal amount of all outstanding debt securities affected (or such lesser amount as may be provided in the terms of the debt securities), by notice to us and the trustee, may waive all defaults with respect to such debt securities and rescind and annul such declaration and its consequences if, at any time after the principal of any debt securities (or such lesser amount as may be provided in the terms of the debt securities) have been declared or become due and payable as a result of an Event of Default, and before any judgment or decree for the payment of the moneys due has been obtained or entered, we pay or deposit with the trustee a sum sufficient to pay all matured installments of interest upon all such debt securities and the principal of such debt securities (or such lesser amount as may be provided in the terms of the debt securities), with interest on such principal and interest, and such amount paid or deposited is sufficient to cover all amounts owing to the trustee, provided that all Events of Default under the indenture, other than the non-payment of the principal of the debt securities have been cured, waived or otherwise remedied.</w:t>
      </w:r>
    </w:p>
    <w:p>
      <w:pPr>
        <w:spacing w:after="0" w:line="73" w:lineRule="exact"/>
        <w:rPr>
          <w:sz w:val="20"/>
          <w:szCs w:val="20"/>
          <w:color w:val="auto"/>
        </w:rPr>
      </w:pPr>
    </w:p>
    <w:p>
      <w:pPr>
        <w:ind w:left="440" w:right="499" w:firstLine="347"/>
        <w:spacing w:after="0" w:line="263" w:lineRule="auto"/>
        <w:rPr>
          <w:sz w:val="20"/>
          <w:szCs w:val="20"/>
          <w:color w:val="auto"/>
        </w:rPr>
      </w:pPr>
      <w:r>
        <w:rPr>
          <w:rFonts w:ascii="Times New Roman" w:cs="Times New Roman" w:eastAsia="Times New Roman" w:hAnsi="Times New Roman"/>
          <w:sz w:val="17"/>
          <w:szCs w:val="17"/>
          <w:color w:val="auto"/>
        </w:rPr>
        <w:t>The holders of at least a majority in principal amount of all outstanding debt securities affected (or such lesser amount as may be provided in the terms of the debt securities), by notice to the trustee, may waive an existing default or Event of Default with respect to the debt securities of such series and its consequences, except a default in the payment of principal of or interest on any outstanding debt securities or in respect of a covenant or provision of the indenture which cannot be modified or amended without the consent of the holder of each outstanding debt security affected.</w:t>
      </w:r>
    </w:p>
    <w:p>
      <w:pPr>
        <w:spacing w:after="0" w:line="68"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A holder of debt securities cannot institute any proceeding, judicial or otherwise, with respect to the indenture or such debt securities, or for the appointment of a receiver or trustee, or for any other remedy hereunder, unless (i) such holder has previously given to the trustee written notice of a continuing Event of Default with respect to such debt securities, (ii) the holders of at least 25% in aggregate principal amount of outstanding debt securities affected have made written request to the trustee to institute proceedings in respect of such Event of Default in its own name as trustee, (iii) such holder or holders have offered to the trustee indemnity reasonably satisfactory to the trustee against any costs, liabilities or expenses to be incurred in compliance with such request, (iv) the trustee for 60 days after its receipt of such notice, request and offer of indemnity has failed to institute any such proceeding, and (v) during such 60-day period, the holders of a majority in aggregate principal amount of the outstanding debt securities affected have not given the trustee a direction that is inconsistent with such written request. This limitation does not apply to a holder’s ability to bring suit for the enforcement of any payment of principal of, or interest on, any of such holder’s debt securities on or after the due dates expressed on such debt securities.</w:t>
      </w:r>
    </w:p>
    <w:p>
      <w:pPr>
        <w:spacing w:after="0" w:line="70" w:lineRule="exact"/>
        <w:rPr>
          <w:sz w:val="20"/>
          <w:szCs w:val="20"/>
          <w:color w:val="auto"/>
        </w:rPr>
      </w:pPr>
    </w:p>
    <w:p>
      <w:pPr>
        <w:ind w:left="440" w:right="639" w:firstLine="347"/>
        <w:spacing w:after="0" w:line="274" w:lineRule="auto"/>
        <w:rPr>
          <w:sz w:val="20"/>
          <w:szCs w:val="20"/>
          <w:color w:val="auto"/>
        </w:rPr>
      </w:pPr>
      <w:r>
        <w:rPr>
          <w:rFonts w:ascii="Times New Roman" w:cs="Times New Roman" w:eastAsia="Times New Roman" w:hAnsi="Times New Roman"/>
          <w:sz w:val="17"/>
          <w:szCs w:val="17"/>
          <w:color w:val="auto"/>
        </w:rPr>
        <w:t>The trustee is not under any obligation to exercise any of its rights or powers at the request, order or direction of any of the holders, unless such holders have offered to the trustee reasonable security or indemnity against the costs, expenses and liabilities that might be incurred by it in compliance with such request or direction.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40" w:right="479" w:firstLine="347"/>
        <w:spacing w:after="0" w:line="268" w:lineRule="auto"/>
        <w:rPr>
          <w:sz w:val="20"/>
          <w:szCs w:val="20"/>
          <w:color w:val="auto"/>
        </w:rPr>
      </w:pPr>
      <w:r>
        <w:rPr>
          <w:rFonts w:ascii="Times New Roman" w:cs="Times New Roman" w:eastAsia="Times New Roman" w:hAnsi="Times New Roman"/>
          <w:sz w:val="17"/>
          <w:szCs w:val="17"/>
          <w:color w:val="auto"/>
        </w:rPr>
        <w:t>Subject to certain exceptions, the holders of at least a majority in principal amount of all outstanding debt securities affected (or such lesser amount as may be provided in the terms of the debt securities) may direct the time, method and place of conducting any proceeding for any remedy available to the trustee or exercising any trust or power conferred on the trustee.</w:t>
      </w:r>
    </w:p>
    <w:p>
      <w:pPr>
        <w:spacing w:after="0" w:line="63" w:lineRule="exact"/>
        <w:rPr>
          <w:sz w:val="20"/>
          <w:szCs w:val="20"/>
          <w:color w:val="auto"/>
        </w:rPr>
      </w:pPr>
    </w:p>
    <w:p>
      <w:pPr>
        <w:ind w:left="440" w:right="639" w:firstLine="347"/>
        <w:spacing w:after="0" w:line="265" w:lineRule="auto"/>
        <w:rPr>
          <w:sz w:val="20"/>
          <w:szCs w:val="20"/>
          <w:color w:val="auto"/>
        </w:rPr>
      </w:pPr>
      <w:r>
        <w:rPr>
          <w:rFonts w:ascii="Times New Roman" w:cs="Times New Roman" w:eastAsia="Times New Roman" w:hAnsi="Times New Roman"/>
          <w:sz w:val="17"/>
          <w:szCs w:val="17"/>
          <w:color w:val="auto"/>
        </w:rPr>
        <w:t>If a default occurs and is continuing and if such default is known to the trustee, the trustee will give notice of such default to each holder of the debt securities affected within 90 days after such default, unless such default has been cured or waived; provided, however, that, except in the case of a default in the payment of the principal of or interest on the debt securities, the trustee is protected in withholding such notice if the trustee in good faith determines that the withholding of such notice is in the interests of the holders.</w:t>
      </w:r>
    </w:p>
    <w:p>
      <w:pPr>
        <w:spacing w:after="0" w:line="66" w:lineRule="exact"/>
        <w:rPr>
          <w:sz w:val="20"/>
          <w:szCs w:val="20"/>
          <w:color w:val="auto"/>
        </w:rPr>
      </w:pPr>
    </w:p>
    <w:p>
      <w:pPr>
        <w:ind w:left="440" w:right="1119" w:firstLine="347"/>
        <w:spacing w:after="0" w:line="293" w:lineRule="auto"/>
        <w:rPr>
          <w:sz w:val="20"/>
          <w:szCs w:val="20"/>
          <w:color w:val="auto"/>
        </w:rPr>
      </w:pPr>
      <w:r>
        <w:rPr>
          <w:rFonts w:ascii="Times New Roman" w:cs="Times New Roman" w:eastAsia="Times New Roman" w:hAnsi="Times New Roman"/>
          <w:sz w:val="17"/>
          <w:szCs w:val="17"/>
          <w:color w:val="auto"/>
        </w:rPr>
        <w:t>We are required to furnish to each trustee an annual statement as to compliance with all conditions and covenants under the indenture.</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19" w:lineRule="exact"/>
        <w:rPr>
          <w:sz w:val="20"/>
          <w:szCs w:val="20"/>
          <w:color w:val="auto"/>
        </w:rPr>
      </w:pPr>
    </w:p>
    <w:p>
      <w:pPr>
        <w:ind w:left="440" w:right="1039" w:firstLine="347"/>
        <w:spacing w:after="0" w:line="293" w:lineRule="auto"/>
        <w:rPr>
          <w:sz w:val="20"/>
          <w:szCs w:val="20"/>
          <w:color w:val="auto"/>
        </w:rPr>
      </w:pPr>
      <w:r>
        <w:rPr>
          <w:rFonts w:ascii="Times New Roman" w:cs="Times New Roman" w:eastAsia="Times New Roman" w:hAnsi="Times New Roman"/>
          <w:sz w:val="17"/>
          <w:szCs w:val="17"/>
          <w:color w:val="auto"/>
        </w:rPr>
        <w:t>Each indenture may be amended or supplemented without notice to or the consent of any holder of debt securities in order to:</w:t>
      </w:r>
    </w:p>
    <w:p>
      <w:pPr>
        <w:spacing w:after="0" w:line="43" w:lineRule="exact"/>
        <w:rPr>
          <w:sz w:val="20"/>
          <w:szCs w:val="20"/>
          <w:color w:val="auto"/>
        </w:rPr>
      </w:pPr>
    </w:p>
    <w:p>
      <w:pPr>
        <w:ind w:left="1140" w:right="999" w:hanging="348"/>
        <w:spacing w:after="0" w:line="293"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 any ambiguity, defect or inconsistency; provided that such amendments or supplements do not materially and adversely affect the interests of the holders;</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assumption of our obligations in the case of a merger or consolidation;</w:t>
      </w:r>
    </w:p>
    <w:p>
      <w:pPr>
        <w:spacing w:after="0" w:line="116" w:lineRule="exact"/>
        <w:rPr>
          <w:rFonts w:ascii="Times New Roman" w:cs="Times New Roman" w:eastAsia="Times New Roman" w:hAnsi="Times New Roman"/>
          <w:sz w:val="17"/>
          <w:szCs w:val="17"/>
          <w:color w:val="auto"/>
        </w:rPr>
      </w:pPr>
    </w:p>
    <w:p>
      <w:pPr>
        <w:ind w:left="1140" w:right="479" w:hanging="348"/>
        <w:spacing w:after="0" w:line="293"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any requirements of the SEC in connection with qualification of the indenture under the Trust Indenture Act;</w:t>
      </w:r>
    </w:p>
    <w:p>
      <w:pPr>
        <w:spacing w:after="0" w:line="43" w:lineRule="exact"/>
        <w:rPr>
          <w:rFonts w:ascii="Times New Roman" w:cs="Times New Roman" w:eastAsia="Times New Roman" w:hAnsi="Times New Roman"/>
          <w:sz w:val="17"/>
          <w:szCs w:val="17"/>
          <w:color w:val="auto"/>
        </w:rPr>
      </w:pPr>
    </w:p>
    <w:p>
      <w:pPr>
        <w:ind w:left="1140" w:right="479" w:hanging="348"/>
        <w:spacing w:after="0" w:line="293"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and provide for the acceptance of appointment by a successor trustee and add to or change any of the provisions of the indenture;</w:t>
      </w:r>
    </w:p>
    <w:p>
      <w:pPr>
        <w:spacing w:after="0" w:line="43" w:lineRule="exact"/>
        <w:rPr>
          <w:rFonts w:ascii="Times New Roman" w:cs="Times New Roman" w:eastAsia="Times New Roman" w:hAnsi="Times New Roman"/>
          <w:sz w:val="17"/>
          <w:szCs w:val="17"/>
          <w:color w:val="auto"/>
        </w:rPr>
      </w:pPr>
    </w:p>
    <w:p>
      <w:pPr>
        <w:ind w:left="1140" w:right="539" w:hanging="348"/>
        <w:spacing w:after="0" w:line="293"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the form or forms or terms of debt securities of any series or of the coupons appertaining to such debt securities;</w:t>
      </w:r>
    </w:p>
    <w:p>
      <w:pPr>
        <w:spacing w:after="0" w:line="43" w:lineRule="exact"/>
        <w:rPr>
          <w:rFonts w:ascii="Times New Roman" w:cs="Times New Roman" w:eastAsia="Times New Roman" w:hAnsi="Times New Roman"/>
          <w:sz w:val="17"/>
          <w:szCs w:val="17"/>
          <w:color w:val="auto"/>
        </w:rPr>
      </w:pPr>
    </w:p>
    <w:p>
      <w:pPr>
        <w:ind w:left="1140" w:right="1019" w:hanging="348"/>
        <w:spacing w:after="0" w:line="293"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uncertificated or unregistered debt securities and make all appropriate changes for such purpose; and</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that does not materially and adversely affect the rights of any holder.</w:t>
      </w:r>
    </w:p>
    <w:p>
      <w:pPr>
        <w:spacing w:after="0" w:line="117" w:lineRule="exact"/>
        <w:rPr>
          <w:sz w:val="20"/>
          <w:szCs w:val="20"/>
          <w:color w:val="auto"/>
        </w:rPr>
      </w:pPr>
    </w:p>
    <w:p>
      <w:pPr>
        <w:ind w:left="440" w:right="579" w:firstLine="347"/>
        <w:spacing w:after="0" w:line="264" w:lineRule="auto"/>
        <w:rPr>
          <w:sz w:val="20"/>
          <w:szCs w:val="20"/>
          <w:color w:val="auto"/>
        </w:rPr>
      </w:pPr>
      <w:r>
        <w:rPr>
          <w:rFonts w:ascii="Times New Roman" w:cs="Times New Roman" w:eastAsia="Times New Roman" w:hAnsi="Times New Roman"/>
          <w:sz w:val="17"/>
          <w:szCs w:val="17"/>
          <w:color w:val="auto"/>
        </w:rPr>
        <w:t>Other amendments and modifications of each indenture or the debt securities issued may be made with the consent of the holders of a majority in principal amount of the outstanding debt securities affected by such amendment, and the holders of a majority in principal amount of the outstanding debt securities affected by written notice to the trustee may waive future compliance by us with any provision of the indenture or such debt securities. However, no amendment or waiver may, without the consent of the holder of each outstanding debt security affected:</w:t>
      </w:r>
    </w:p>
    <w:p>
      <w:pPr>
        <w:spacing w:after="0" w:line="278" w:lineRule="exact"/>
        <w:rPr>
          <w:sz w:val="20"/>
          <w:szCs w:val="20"/>
          <w:color w:val="auto"/>
        </w:rPr>
      </w:pPr>
    </w:p>
    <w:p>
      <w:pPr>
        <w:ind w:left="1140" w:right="559" w:hanging="348"/>
        <w:spacing w:after="0" w:line="293"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stated maturity of the principal of, or any sinking fund obligation or any installment of interest on, such holder’s debt security;</w:t>
      </w:r>
    </w:p>
    <w:p>
      <w:pPr>
        <w:spacing w:after="0" w:line="43" w:lineRule="exact"/>
        <w:rPr>
          <w:rFonts w:ascii="Times New Roman" w:cs="Times New Roman" w:eastAsia="Times New Roman" w:hAnsi="Times New Roman"/>
          <w:sz w:val="17"/>
          <w:szCs w:val="17"/>
          <w:color w:val="auto"/>
        </w:rPr>
      </w:pPr>
    </w:p>
    <w:p>
      <w:pPr>
        <w:ind w:left="1140" w:right="759" w:hanging="348"/>
        <w:spacing w:after="0" w:line="293"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such holder’s debt security or the rate of interest thereon (including any amount in respect of original issue discount);</w:t>
      </w:r>
    </w:p>
    <w:p>
      <w:pPr>
        <w:spacing w:after="0" w:line="43" w:lineRule="exact"/>
        <w:rPr>
          <w:rFonts w:ascii="Times New Roman" w:cs="Times New Roman" w:eastAsia="Times New Roman" w:hAnsi="Times New Roman"/>
          <w:sz w:val="17"/>
          <w:szCs w:val="17"/>
          <w:color w:val="auto"/>
        </w:rPr>
      </w:pPr>
    </w:p>
    <w:p>
      <w:pPr>
        <w:ind w:left="1140" w:right="639" w:hanging="348"/>
        <w:spacing w:after="0" w:line="293"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of outstanding debt securities the consent of whose holders is necessary to modify or amend the indenture with respect to the debt securities; and</w:t>
      </w:r>
    </w:p>
    <w:p>
      <w:pPr>
        <w:spacing w:after="0" w:line="43" w:lineRule="exact"/>
        <w:rPr>
          <w:rFonts w:ascii="Times New Roman" w:cs="Times New Roman" w:eastAsia="Times New Roman" w:hAnsi="Times New Roman"/>
          <w:sz w:val="17"/>
          <w:szCs w:val="17"/>
          <w:color w:val="auto"/>
        </w:rPr>
      </w:pPr>
    </w:p>
    <w:p>
      <w:pPr>
        <w:ind w:left="1140" w:right="679" w:hanging="348"/>
        <w:spacing w:after="0" w:line="274"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of outstanding debt securities the consent of whose holders is required for any supplemental indenture or for any waiver of compliance with certain provisions of the indenture or certain defaults and their consequences provided for in the indenture.</w:t>
      </w:r>
    </w:p>
    <w:p>
      <w:pPr>
        <w:spacing w:after="0" w:line="59" w:lineRule="exact"/>
        <w:rPr>
          <w:sz w:val="20"/>
          <w:szCs w:val="20"/>
          <w:color w:val="auto"/>
        </w:rPr>
      </w:pPr>
    </w:p>
    <w:p>
      <w:pPr>
        <w:ind w:left="440" w:right="639" w:firstLine="347"/>
        <w:spacing w:after="0" w:line="274" w:lineRule="auto"/>
        <w:rPr>
          <w:sz w:val="20"/>
          <w:szCs w:val="20"/>
          <w:color w:val="auto"/>
        </w:rPr>
      </w:pPr>
      <w:r>
        <w:rPr>
          <w:rFonts w:ascii="Times New Roman" w:cs="Times New Roman" w:eastAsia="Times New Roman" w:hAnsi="Times New Roman"/>
          <w:sz w:val="17"/>
          <w:szCs w:val="17"/>
          <w:color w:val="auto"/>
        </w:rPr>
        <w:t>The subordinated debt indenture may not be amended to alter the subordination of any outstanding subordinated debt securities without the consent of each holder of senior indebtedness then outstanding that would be adversely affected by such an amendment.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Consolidation, Merger or Sale of Assets</w:t>
      </w:r>
    </w:p>
    <w:p>
      <w:pPr>
        <w:spacing w:after="0" w:line="121" w:lineRule="exact"/>
        <w:rPr>
          <w:sz w:val="20"/>
          <w:szCs w:val="20"/>
          <w:color w:val="auto"/>
        </w:rPr>
      </w:pPr>
    </w:p>
    <w:p>
      <w:pPr>
        <w:ind w:left="440" w:right="499" w:firstLine="347"/>
        <w:spacing w:after="0" w:line="261" w:lineRule="auto"/>
        <w:rPr>
          <w:sz w:val="20"/>
          <w:szCs w:val="20"/>
          <w:color w:val="auto"/>
        </w:rPr>
      </w:pPr>
      <w:r>
        <w:rPr>
          <w:rFonts w:ascii="Times New Roman" w:cs="Times New Roman" w:eastAsia="Times New Roman" w:hAnsi="Times New Roman"/>
          <w:sz w:val="17"/>
          <w:szCs w:val="17"/>
          <w:color w:val="auto"/>
        </w:rPr>
        <w:t>We will not consolidate with, merge with or into, or sell, convey, transfer, lease or otherwise dispose of all or substantially all of our property and assets (in one transaction or a series of related transactions) to, any person unless either (x) we are the continuing person or (y) the person (if other than us) formed by such consolidation or into which we are merged or to which our properties and assets are sold, conveyed, transferred or leased is a person organized and validly existing under the laws of the United States or any jurisdiction thereof and expressly assumes, by a supplemental indenture, executed and delivered to the trustee, all of our obligations on all of the debt securities and under the indenture.</w:t>
      </w:r>
    </w:p>
    <w:p>
      <w:pPr>
        <w:spacing w:after="0" w:line="73" w:lineRule="exact"/>
        <w:rPr>
          <w:sz w:val="20"/>
          <w:szCs w:val="20"/>
          <w:color w:val="auto"/>
        </w:rPr>
      </w:pPr>
    </w:p>
    <w:p>
      <w:pPr>
        <w:ind w:left="440" w:right="559" w:firstLine="347"/>
        <w:spacing w:after="0" w:line="263" w:lineRule="auto"/>
        <w:rPr>
          <w:sz w:val="20"/>
          <w:szCs w:val="20"/>
          <w:color w:val="auto"/>
        </w:rPr>
      </w:pPr>
      <w:r>
        <w:rPr>
          <w:rFonts w:ascii="Times New Roman" w:cs="Times New Roman" w:eastAsia="Times New Roman" w:hAnsi="Times New Roman"/>
          <w:sz w:val="17"/>
          <w:szCs w:val="17"/>
          <w:color w:val="auto"/>
        </w:rPr>
        <w:t>Upon any consolidation or merger, or any sale, conveyance, transfer, lease or other disposition of all or substantially all of our property and assets, the successor person formed by such consolidation or into which we are merged or to which such sale, conveyance, transfer, lease or other disposition is made will succeed to, and be substituted for, and may exercise every right and power of, us under the indenture with the same effect as if such successor person had been named instead of us in the indenture and thereafter we, except in the case of a lease, are relieved of all obligations and covenants under the indenture and the debt securities.</w:t>
      </w:r>
    </w:p>
    <w:p>
      <w:pPr>
        <w:spacing w:after="0" w:line="3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Satisfaction, Discharge and Covenant Defeasance</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We may terminate our obligations under the indenture with respect to a series of debt securities, when:</w:t>
      </w:r>
    </w:p>
    <w:p>
      <w:pPr>
        <w:spacing w:after="0" w:line="117" w:lineRule="exact"/>
        <w:rPr>
          <w:sz w:val="20"/>
          <w:szCs w:val="20"/>
          <w:color w:val="auto"/>
        </w:rPr>
      </w:pPr>
    </w:p>
    <w:p>
      <w:pPr>
        <w:ind w:left="1140" w:right="859" w:hanging="348"/>
        <w:spacing w:after="0" w:line="293"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or caused to be paid the principal of and interest on such series of debt securities as and when such debt securities become due and payable;</w:t>
      </w:r>
    </w:p>
    <w:p>
      <w:pPr>
        <w:spacing w:after="0" w:line="43" w:lineRule="exact"/>
        <w:rPr>
          <w:rFonts w:ascii="Times New Roman" w:cs="Times New Roman" w:eastAsia="Times New Roman" w:hAnsi="Times New Roman"/>
          <w:sz w:val="17"/>
          <w:szCs w:val="17"/>
          <w:color w:val="auto"/>
        </w:rPr>
      </w:pPr>
    </w:p>
    <w:p>
      <w:pPr>
        <w:ind w:left="1140" w:right="1279" w:hanging="348"/>
        <w:spacing w:after="0" w:line="293"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for cancellation all debt securities of such series that have been authenticated; or</w:t>
      </w:r>
    </w:p>
    <w:p>
      <w:pPr>
        <w:spacing w:after="0" w:line="43" w:lineRule="exact"/>
        <w:rPr>
          <w:rFonts w:ascii="Times New Roman" w:cs="Times New Roman" w:eastAsia="Times New Roman" w:hAnsi="Times New Roman"/>
          <w:sz w:val="17"/>
          <w:szCs w:val="17"/>
          <w:color w:val="auto"/>
        </w:rPr>
      </w:pPr>
    </w:p>
    <w:p>
      <w:pPr>
        <w:ind w:left="1140" w:right="499" w:hanging="348"/>
        <w:spacing w:after="0" w:line="268"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debt securities of such series not delivered to the trustee for cancellation have become due and payable, or by their terms to become due and payable within one year or are to be called for redemption within one year under arrangements satisfactory to the trustee for the giving of notice of redemption, and we have irrevocably deposited or caused to be deposited with the trustee the entire amount in cash or</w:t>
      </w:r>
    </w:p>
    <w:p>
      <w:pPr>
        <w:spacing w:after="0" w:line="63" w:lineRule="exact"/>
        <w:rPr>
          <w:sz w:val="20"/>
          <w:szCs w:val="20"/>
          <w:color w:val="auto"/>
        </w:rPr>
      </w:pPr>
    </w:p>
    <w:p>
      <w:pPr>
        <w:ind w:left="440" w:right="499" w:firstLine="347"/>
        <w:spacing w:after="0" w:line="268" w:lineRule="auto"/>
        <w:rPr>
          <w:sz w:val="20"/>
          <w:szCs w:val="20"/>
          <w:color w:val="auto"/>
        </w:rPr>
      </w:pPr>
      <w:r>
        <w:rPr>
          <w:rFonts w:ascii="Times New Roman" w:cs="Times New Roman" w:eastAsia="Times New Roman" w:hAnsi="Times New Roman"/>
          <w:sz w:val="17"/>
          <w:szCs w:val="17"/>
          <w:color w:val="auto"/>
        </w:rPr>
        <w:t>U.S. government obligations, maturing as to principal and interest in such amounts and at such times as will ensure the availability of cash sufficient to pay at maturity or upon redemption of all debt securities of such series not delivered to the trustee for cancellation, including principal and interest due or to become due on or prior to such date of maturity or redemption (a “Discharge”).</w:t>
      </w:r>
    </w:p>
    <w:p>
      <w:pPr>
        <w:spacing w:after="0" w:line="63"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We may elect to have our obligations under each indenture discharged with respect to the outstanding debt securities of any series (“legal defeasance”). Legal defeasance means that we will be deemed to have paid and discharged the entire indebtedness represented by the outstanding debt securities of such series under such indenture, except for:</w:t>
      </w:r>
    </w:p>
    <w:p>
      <w:pPr>
        <w:spacing w:after="0" w:line="63" w:lineRule="exact"/>
        <w:rPr>
          <w:sz w:val="20"/>
          <w:szCs w:val="20"/>
          <w:color w:val="auto"/>
        </w:rPr>
      </w:pPr>
    </w:p>
    <w:p>
      <w:pPr>
        <w:ind w:left="1140" w:hanging="348"/>
        <w:spacing w:after="0"/>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registration of transfer and exchange, and our right of optional redemption;</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substitution of apparently mutilated, defaced, destroyed, lost or stolen debt securities;</w:t>
      </w:r>
    </w:p>
    <w:p>
      <w:pPr>
        <w:spacing w:after="0" w:line="116" w:lineRule="exact"/>
        <w:rPr>
          <w:rFonts w:ascii="Times New Roman" w:cs="Times New Roman" w:eastAsia="Times New Roman" w:hAnsi="Times New Roman"/>
          <w:sz w:val="17"/>
          <w:szCs w:val="17"/>
          <w:color w:val="auto"/>
        </w:rPr>
      </w:pPr>
    </w:p>
    <w:p>
      <w:pPr>
        <w:ind w:left="1140" w:right="899" w:hanging="348"/>
        <w:spacing w:after="0" w:line="293"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holders to receive payments of principal of the debt securities and interest thereon, upon the original stated due dates (but not upon acceleration);</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obligations and immunities of the trustee; and</w:t>
      </w:r>
    </w:p>
    <w:p>
      <w:pPr>
        <w:spacing w:after="0" w:line="116" w:lineRule="exact"/>
        <w:rPr>
          <w:rFonts w:ascii="Times New Roman" w:cs="Times New Roman" w:eastAsia="Times New Roman" w:hAnsi="Times New Roman"/>
          <w:sz w:val="17"/>
          <w:szCs w:val="17"/>
          <w:color w:val="auto"/>
        </w:rPr>
      </w:pPr>
    </w:p>
    <w:p>
      <w:pPr>
        <w:ind w:left="1140" w:right="959" w:hanging="348"/>
        <w:spacing w:after="0" w:line="293"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holders of debt securities of such series as beneficiaries with respect to the property deposited with the trustee payable to all or any of them.</w:t>
      </w:r>
    </w:p>
    <w:p>
      <w:pPr>
        <w:spacing w:after="0" w:line="43" w:lineRule="exact"/>
        <w:rPr>
          <w:sz w:val="20"/>
          <w:szCs w:val="20"/>
          <w:color w:val="auto"/>
        </w:rPr>
      </w:pPr>
    </w:p>
    <w:p>
      <w:pPr>
        <w:ind w:left="440" w:right="579" w:firstLine="347"/>
        <w:spacing w:after="0" w:line="265" w:lineRule="auto"/>
        <w:rPr>
          <w:sz w:val="20"/>
          <w:szCs w:val="20"/>
          <w:color w:val="auto"/>
        </w:rPr>
      </w:pPr>
      <w:r>
        <w:rPr>
          <w:rFonts w:ascii="Times New Roman" w:cs="Times New Roman" w:eastAsia="Times New Roman" w:hAnsi="Times New Roman"/>
          <w:sz w:val="17"/>
          <w:szCs w:val="17"/>
          <w:color w:val="auto"/>
        </w:rPr>
        <w:t>In addition, we may elect to have our obligations released with respect to certain covenants in each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will no longer constitute an event of default for that series.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40" w:right="459" w:firstLine="347"/>
        <w:spacing w:after="0" w:line="293" w:lineRule="auto"/>
        <w:rPr>
          <w:sz w:val="20"/>
          <w:szCs w:val="20"/>
          <w:color w:val="auto"/>
        </w:rPr>
      </w:pPr>
      <w:r>
        <w:rPr>
          <w:rFonts w:ascii="Times New Roman" w:cs="Times New Roman" w:eastAsia="Times New Roman" w:hAnsi="Times New Roman"/>
          <w:sz w:val="17"/>
          <w:szCs w:val="17"/>
          <w:color w:val="auto"/>
        </w:rPr>
        <w:t>In order to exercise either legal defeasance or covenant defeasance with respect to outstanding debt securities of any series:</w:t>
      </w:r>
    </w:p>
    <w:p>
      <w:pPr>
        <w:spacing w:after="0" w:line="43" w:lineRule="exact"/>
        <w:rPr>
          <w:sz w:val="20"/>
          <w:szCs w:val="20"/>
          <w:color w:val="auto"/>
        </w:rPr>
      </w:pPr>
    </w:p>
    <w:p>
      <w:pPr>
        <w:ind w:left="1140" w:right="479" w:hanging="348"/>
        <w:spacing w:after="0" w:line="259"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deposited or caused to be irrevocably deposited with the trustee as trust funds in trust, specifically pledged as security for, and dedicated solely to, the benefit of the holders of the debt securities of such series, (i) money in an amount, or (ii) U.S. government obligations which through the payment of interest and principal in respect thereof in accordance with their terms will provide not later than one day before the due date of any payment money in an amount, or (iii) a combination thereof, sufficient to pay and discharge without consideration of the reinvestment of such interest and after payment of all federal, state and local taxes or other charges and assessments in respect thereof payable by the trustee (x) the principal of, premium, if any, and each installment of interest on the outstanding debt securities of such series on the due dates thereof and (y) any mandatory sinking fund payments or analogous payments applicable to the debt securities of such series on the day on which such payments are due and payable in accordance with the terms of debt securities of such series and the indenture;</w:t>
      </w:r>
    </w:p>
    <w:p>
      <w:pPr>
        <w:spacing w:after="0" w:line="73" w:lineRule="exact"/>
        <w:rPr>
          <w:rFonts w:ascii="Times New Roman" w:cs="Times New Roman" w:eastAsia="Times New Roman" w:hAnsi="Times New Roman"/>
          <w:sz w:val="17"/>
          <w:szCs w:val="17"/>
          <w:color w:val="auto"/>
        </w:rPr>
      </w:pPr>
    </w:p>
    <w:p>
      <w:pPr>
        <w:ind w:left="1140" w:right="459" w:hanging="348"/>
        <w:spacing w:after="0" w:line="260"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(i) an opinion of counsel to the effect that holders of debt securities of such series will not recognize income, gain or loss for U.S. federal income tax purposes as a result of our exercise of legal defeasance or covenant defeasance and will be subject to U.S. federal income tax on the same amount and in the same manner and at the same times as would have been the case if such deposit, defeasance and discharge had not occurred, or a ruling directed to the trustee received from the U.S. Internal Revenue Service to the same effect as such opinion of counsel and (ii) an opinion of counsel to the effect that the creation of the defeasance trust does not violate the Investment Company Act of 1940 and after the passage of 123 days following the deposit, the trust fund will not be subject to the effect of Section 547 of the U.S. Bankruptcy Code or Section 15 of the New York Debtor and Creditor Law;</w:t>
      </w:r>
    </w:p>
    <w:p>
      <w:pPr>
        <w:spacing w:after="0" w:line="71" w:lineRule="exact"/>
        <w:rPr>
          <w:rFonts w:ascii="Times New Roman" w:cs="Times New Roman" w:eastAsia="Times New Roman" w:hAnsi="Times New Roman"/>
          <w:sz w:val="17"/>
          <w:szCs w:val="17"/>
          <w:color w:val="auto"/>
        </w:rPr>
      </w:pPr>
    </w:p>
    <w:p>
      <w:pPr>
        <w:ind w:left="1140" w:right="479" w:hanging="348"/>
        <w:spacing w:after="0" w:line="230"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day after the date of such deposit, and such deposit shall not result in a breach or violation of, or constitute a default under, any other agreement or instrument to which we are a party or by which we are bound;</w:t>
      </w:r>
    </w:p>
    <w:p>
      <w:pPr>
        <w:spacing w:after="0" w:line="86" w:lineRule="exact"/>
        <w:rPr>
          <w:rFonts w:ascii="Times New Roman" w:cs="Times New Roman" w:eastAsia="Times New Roman" w:hAnsi="Times New Roman"/>
          <w:sz w:val="17"/>
          <w:szCs w:val="17"/>
          <w:color w:val="auto"/>
        </w:rPr>
      </w:pPr>
    </w:p>
    <w:p>
      <w:pPr>
        <w:ind w:left="1140" w:right="519" w:hanging="348"/>
        <w:spacing w:after="0" w:line="274"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such time the debt securities of such series are listed on a national securities exchange, we have delivered to the trustee an opinion of counsel to the effect that the debt securities of such series will not be delisted as a result of such deposit, defeasance and discharge;</w:t>
      </w:r>
    </w:p>
    <w:p>
      <w:pPr>
        <w:spacing w:after="0" w:line="58" w:lineRule="exact"/>
        <w:rPr>
          <w:rFonts w:ascii="Times New Roman" w:cs="Times New Roman" w:eastAsia="Times New Roman" w:hAnsi="Times New Roman"/>
          <w:sz w:val="17"/>
          <w:szCs w:val="17"/>
          <w:color w:val="auto"/>
        </w:rPr>
      </w:pPr>
    </w:p>
    <w:p>
      <w:pPr>
        <w:ind w:left="1140" w:right="859" w:hanging="348"/>
        <w:spacing w:after="0" w:line="293"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an officers’ certificate and an opinion of counsel, each stating that all conditions precedent to the defeasance and discharge have been complied with; and</w:t>
      </w:r>
    </w:p>
    <w:p>
      <w:pPr>
        <w:spacing w:after="0" w:line="43" w:lineRule="exact"/>
        <w:rPr>
          <w:rFonts w:ascii="Times New Roman" w:cs="Times New Roman" w:eastAsia="Times New Roman" w:hAnsi="Times New Roman"/>
          <w:sz w:val="17"/>
          <w:szCs w:val="17"/>
          <w:color w:val="auto"/>
        </w:rPr>
      </w:pPr>
    </w:p>
    <w:p>
      <w:pPr>
        <w:ind w:left="1140" w:right="499" w:hanging="348"/>
        <w:spacing w:after="0" w:line="274"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covenant defeasance, if the debt securities of such series are to be redeemed prior to the final maturity thereof (other than from mandatory sinking fund payments or analogous payments), notice of such redemption has been duly given pursuant to the indenture.</w:t>
      </w: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Concerning Our Relationship with the Trustees</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We and our subsidiaries may maintain ordinary banking relationships and credit facilities with the trustee.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19" w:lineRule="exact"/>
        <w:rPr>
          <w:sz w:val="20"/>
          <w:szCs w:val="20"/>
          <w:color w:val="auto"/>
        </w:rPr>
      </w:pPr>
    </w:p>
    <w:p>
      <w:pPr>
        <w:ind w:left="440" w:right="619" w:firstLine="347"/>
        <w:spacing w:after="0" w:line="261" w:lineRule="auto"/>
        <w:rPr>
          <w:sz w:val="20"/>
          <w:szCs w:val="20"/>
          <w:color w:val="auto"/>
        </w:rPr>
      </w:pPr>
      <w:r>
        <w:rPr>
          <w:rFonts w:ascii="Times New Roman" w:cs="Times New Roman" w:eastAsia="Times New Roman" w:hAnsi="Times New Roman"/>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73" w:lineRule="exact"/>
        <w:rPr>
          <w:sz w:val="20"/>
          <w:szCs w:val="20"/>
          <w:color w:val="auto"/>
        </w:rPr>
      </w:pPr>
    </w:p>
    <w:p>
      <w:pPr>
        <w:ind w:left="440" w:right="759" w:firstLine="347"/>
        <w:spacing w:after="0" w:line="293" w:lineRule="auto"/>
        <w:rPr>
          <w:sz w:val="20"/>
          <w:szCs w:val="20"/>
          <w:color w:val="auto"/>
        </w:rPr>
      </w:pPr>
      <w:r>
        <w:rPr>
          <w:rFonts w:ascii="Times New Roman" w:cs="Times New Roman" w:eastAsia="Times New Roman" w:hAnsi="Times New Roman"/>
          <w:sz w:val="17"/>
          <w:szCs w:val="17"/>
          <w:color w:val="auto"/>
        </w:rPr>
        <w:t>The applicable prospectus supplement will describe the following terms of any warrants in respect of which this prospectus is being delivered:</w:t>
      </w:r>
    </w:p>
    <w:p>
      <w:pPr>
        <w:spacing w:after="0" w:line="43" w:lineRule="exact"/>
        <w:rPr>
          <w:sz w:val="20"/>
          <w:szCs w:val="20"/>
          <w:color w:val="auto"/>
        </w:rPr>
      </w:pPr>
    </w:p>
    <w:p>
      <w:pPr>
        <w:ind w:left="1140" w:hanging="348"/>
        <w:spacing w:after="0"/>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such warrants;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such warrants;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at which such warrants will be issued;</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currencies in which the price of such warrants will be payable;</w:t>
      </w:r>
    </w:p>
    <w:p>
      <w:pPr>
        <w:spacing w:after="0" w:line="116" w:lineRule="exact"/>
        <w:rPr>
          <w:rFonts w:ascii="Times New Roman" w:cs="Times New Roman" w:eastAsia="Times New Roman" w:hAnsi="Times New Roman"/>
          <w:sz w:val="17"/>
          <w:szCs w:val="17"/>
          <w:color w:val="auto"/>
        </w:rPr>
      </w:pPr>
    </w:p>
    <w:p>
      <w:pPr>
        <w:ind w:left="1140" w:right="479" w:hanging="348"/>
        <w:spacing w:after="0" w:line="274"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58" w:lineRule="exact"/>
        <w:rPr>
          <w:rFonts w:ascii="Times New Roman" w:cs="Times New Roman" w:eastAsia="Times New Roman" w:hAnsi="Times New Roman"/>
          <w:sz w:val="17"/>
          <w:szCs w:val="17"/>
          <w:color w:val="auto"/>
        </w:rPr>
      </w:pPr>
    </w:p>
    <w:p>
      <w:pPr>
        <w:ind w:left="1140" w:right="619" w:hanging="348"/>
        <w:spacing w:after="0" w:line="29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at which and the currency or currencies in which the securities or other rights purchasable upon exercise of such warrants may be purchased;</w:t>
      </w:r>
    </w:p>
    <w:p>
      <w:pPr>
        <w:spacing w:after="0" w:line="43" w:lineRule="exact"/>
        <w:rPr>
          <w:rFonts w:ascii="Times New Roman" w:cs="Times New Roman" w:eastAsia="Times New Roman" w:hAnsi="Times New Roman"/>
          <w:sz w:val="17"/>
          <w:szCs w:val="17"/>
          <w:color w:val="auto"/>
        </w:rPr>
      </w:pPr>
    </w:p>
    <w:p>
      <w:pPr>
        <w:ind w:left="1140" w:right="779" w:hanging="348"/>
        <w:spacing w:after="0" w:line="29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such warrants shall commence and the date on which such right shall expire;</w:t>
      </w:r>
    </w:p>
    <w:p>
      <w:pPr>
        <w:spacing w:after="0" w:line="43" w:lineRule="exact"/>
        <w:rPr>
          <w:rFonts w:ascii="Times New Roman" w:cs="Times New Roman" w:eastAsia="Times New Roman" w:hAnsi="Times New Roman"/>
          <w:sz w:val="17"/>
          <w:szCs w:val="17"/>
          <w:color w:val="auto"/>
        </w:rPr>
      </w:pPr>
    </w:p>
    <w:p>
      <w:pPr>
        <w:ind w:left="1140" w:right="859" w:hanging="348"/>
        <w:spacing w:after="0" w:line="29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such warrants which may be exercised at any one time;</w:t>
      </w:r>
    </w:p>
    <w:p>
      <w:pPr>
        <w:spacing w:after="0" w:line="43" w:lineRule="exact"/>
        <w:rPr>
          <w:rFonts w:ascii="Times New Roman" w:cs="Times New Roman" w:eastAsia="Times New Roman" w:hAnsi="Times New Roman"/>
          <w:sz w:val="17"/>
          <w:szCs w:val="17"/>
          <w:color w:val="auto"/>
        </w:rPr>
      </w:pPr>
    </w:p>
    <w:p>
      <w:pPr>
        <w:ind w:left="1140" w:right="919" w:hanging="348"/>
        <w:spacing w:after="0" w:line="29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securities with which such warrants are issued and the number of such warrants issued with each such security;</w:t>
      </w:r>
    </w:p>
    <w:p>
      <w:pPr>
        <w:spacing w:after="0" w:line="43" w:lineRule="exact"/>
        <w:rPr>
          <w:rFonts w:ascii="Times New Roman" w:cs="Times New Roman" w:eastAsia="Times New Roman" w:hAnsi="Times New Roman"/>
          <w:sz w:val="17"/>
          <w:szCs w:val="17"/>
          <w:color w:val="auto"/>
        </w:rPr>
      </w:pPr>
    </w:p>
    <w:p>
      <w:pPr>
        <w:ind w:left="1140" w:right="1019" w:hanging="348"/>
        <w:spacing w:after="0" w:line="29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on and after which such warrants and the related securities will be separately transferable;</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with respect to book-entry procedures, if any;</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a discussion of any material United States Federal income tax considerations; and</w:t>
      </w:r>
    </w:p>
    <w:p>
      <w:pPr>
        <w:spacing w:after="0" w:line="116" w:lineRule="exact"/>
        <w:rPr>
          <w:rFonts w:ascii="Times New Roman" w:cs="Times New Roman" w:eastAsia="Times New Roman" w:hAnsi="Times New Roman"/>
          <w:sz w:val="17"/>
          <w:szCs w:val="17"/>
          <w:color w:val="auto"/>
        </w:rPr>
      </w:pPr>
    </w:p>
    <w:p>
      <w:pPr>
        <w:ind w:left="1140" w:right="519" w:hanging="348"/>
        <w:spacing w:after="0" w:line="293"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such warrants, including terms, procedures and limitations relating to the exchange and exercise of such warrants.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119" w:lineRule="exact"/>
        <w:rPr>
          <w:sz w:val="20"/>
          <w:szCs w:val="20"/>
          <w:color w:val="auto"/>
        </w:rPr>
      </w:pPr>
    </w:p>
    <w:p>
      <w:pPr>
        <w:ind w:left="440" w:right="619" w:firstLine="347"/>
        <w:spacing w:after="0" w:line="274" w:lineRule="auto"/>
        <w:rPr>
          <w:sz w:val="20"/>
          <w:szCs w:val="20"/>
          <w:color w:val="auto"/>
        </w:rPr>
      </w:pPr>
      <w:r>
        <w:rPr>
          <w:rFonts w:ascii="Times New Roman" w:cs="Times New Roman" w:eastAsia="Times New Roman" w:hAnsi="Times New Roman"/>
          <w:sz w:val="17"/>
          <w:szCs w:val="17"/>
          <w:color w:val="auto"/>
        </w:rPr>
        <w:t>We may issue units consisting of one or more warrants, debt securities, preference shares, Common Shares or any combination of such securities. The terms of any units being offered will be set forth in the applicable prospectus supplement.</w:t>
      </w:r>
    </w:p>
    <w:p>
      <w:pPr>
        <w:spacing w:after="0" w:line="59" w:lineRule="exact"/>
        <w:rPr>
          <w:sz w:val="20"/>
          <w:szCs w:val="20"/>
          <w:color w:val="auto"/>
        </w:rPr>
      </w:pPr>
    </w:p>
    <w:p>
      <w:pPr>
        <w:ind w:left="440" w:right="759" w:firstLine="347"/>
        <w:spacing w:after="0" w:line="293" w:lineRule="auto"/>
        <w:rPr>
          <w:sz w:val="20"/>
          <w:szCs w:val="20"/>
          <w:color w:val="auto"/>
        </w:rPr>
      </w:pPr>
      <w:r>
        <w:rPr>
          <w:rFonts w:ascii="Times New Roman" w:cs="Times New Roman" w:eastAsia="Times New Roman" w:hAnsi="Times New Roman"/>
          <w:sz w:val="17"/>
          <w:szCs w:val="17"/>
          <w:color w:val="auto"/>
        </w:rPr>
        <w:t>The applicable prospectus supplement will set forth the following terms of the units in respect of which this prospectus is delivered:</w:t>
      </w:r>
    </w:p>
    <w:p>
      <w:pPr>
        <w:spacing w:after="0" w:line="43" w:lineRule="exact"/>
        <w:rPr>
          <w:sz w:val="20"/>
          <w:szCs w:val="20"/>
          <w:color w:val="auto"/>
        </w:rPr>
      </w:pPr>
    </w:p>
    <w:p>
      <w:pPr>
        <w:ind w:left="1140" w:right="579" w:hanging="348"/>
        <w:spacing w:after="0" w:line="274"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units and of the warrants, debt securities, preference shares and Common Shares comprising the units, including whether and under what circumstances the securities comprising the units may be traded separately;</w:t>
      </w:r>
    </w:p>
    <w:p>
      <w:pPr>
        <w:spacing w:after="0" w:line="58"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the terms of any unit agreement governing the units; and</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the provisions for the payment, settlement, transfer or exchange of the units.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FORMS OF SECURITIES</w:t>
      </w:r>
    </w:p>
    <w:p>
      <w:pPr>
        <w:spacing w:after="0" w:line="119" w:lineRule="exact"/>
        <w:rPr>
          <w:sz w:val="20"/>
          <w:szCs w:val="20"/>
          <w:color w:val="auto"/>
        </w:rPr>
      </w:pPr>
    </w:p>
    <w:p>
      <w:pPr>
        <w:ind w:left="440" w:right="499" w:firstLine="347"/>
        <w:spacing w:after="0" w:line="259" w:lineRule="auto"/>
        <w:rPr>
          <w:sz w:val="20"/>
          <w:szCs w:val="20"/>
          <w:color w:val="auto"/>
        </w:rPr>
      </w:pPr>
      <w:r>
        <w:rPr>
          <w:rFonts w:ascii="Times New Roman" w:cs="Times New Roman" w:eastAsia="Times New Roman" w:hAnsi="Times New Roman"/>
          <w:sz w:val="17"/>
          <w:szCs w:val="17"/>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19" w:lineRule="exact"/>
        <w:rPr>
          <w:sz w:val="20"/>
          <w:szCs w:val="20"/>
          <w:color w:val="auto"/>
        </w:rPr>
      </w:pPr>
    </w:p>
    <w:p>
      <w:pPr>
        <w:ind w:left="440" w:right="619" w:firstLine="347"/>
        <w:spacing w:after="0" w:line="260" w:lineRule="auto"/>
        <w:rPr>
          <w:sz w:val="20"/>
          <w:szCs w:val="20"/>
          <w:color w:val="auto"/>
        </w:rPr>
      </w:pPr>
      <w:r>
        <w:rPr>
          <w:rFonts w:ascii="Times New Roman" w:cs="Times New Roman" w:eastAsia="Times New Roman" w:hAnsi="Times New Roman"/>
          <w:sz w:val="17"/>
          <w:szCs w:val="17"/>
          <w:color w:val="auto"/>
        </w:rPr>
        <w:t>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75" w:lineRule="exact"/>
        <w:rPr>
          <w:sz w:val="20"/>
          <w:szCs w:val="20"/>
          <w:color w:val="auto"/>
        </w:rPr>
      </w:pPr>
    </w:p>
    <w:p>
      <w:pPr>
        <w:ind w:left="440" w:right="779" w:firstLine="347"/>
        <w:spacing w:after="0" w:line="274"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59" w:lineRule="exact"/>
        <w:rPr>
          <w:sz w:val="20"/>
          <w:szCs w:val="20"/>
          <w:color w:val="auto"/>
        </w:rPr>
      </w:pPr>
    </w:p>
    <w:p>
      <w:pPr>
        <w:ind w:left="440" w:right="539" w:firstLine="347"/>
        <w:spacing w:after="0" w:line="256" w:lineRule="auto"/>
        <w:rPr>
          <w:sz w:val="20"/>
          <w:szCs w:val="20"/>
          <w:color w:val="auto"/>
        </w:rPr>
      </w:pPr>
      <w:r>
        <w:rPr>
          <w:rFonts w:ascii="Times New Roman" w:cs="Times New Roman" w:eastAsia="Times New Roman" w:hAnsi="Times New Roman"/>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guaranteed trust preferred security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guaranteed trust preferred security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guaranteed trust preferred security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guaranteed trust preferred security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94" w:lineRule="exact"/>
        <w:rPr>
          <w:sz w:val="20"/>
          <w:szCs w:val="20"/>
          <w:color w:val="auto"/>
        </w:rPr>
      </w:pPr>
    </w:p>
    <w:p>
      <w:pPr>
        <w:ind w:left="440" w:right="599" w:firstLine="347"/>
        <w:spacing w:after="0" w:line="293"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warrants, guaranteed trust preferred securities or units, represented by a registered global security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40" w:right="499"/>
        <w:spacing w:after="0" w:line="263" w:lineRule="auto"/>
        <w:rPr>
          <w:sz w:val="20"/>
          <w:szCs w:val="20"/>
          <w:color w:val="auto"/>
        </w:rPr>
      </w:pPr>
      <w:r>
        <w:rPr>
          <w:rFonts w:ascii="Times New Roman" w:cs="Times New Roman" w:eastAsia="Times New Roman" w:hAnsi="Times New Roman"/>
          <w:sz w:val="17"/>
          <w:szCs w:val="17"/>
          <w:color w:val="auto"/>
        </w:rPr>
        <w:t>registered in the name of a depositary or its nominee will be made to the depositary or its nominee, as the case may be, as the registered owner of the registered global security. None of us, the trustees, the warrant agents, the unit agents or any of our other agents, agents of the trustees or agents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68" w:lineRule="exact"/>
        <w:rPr>
          <w:sz w:val="20"/>
          <w:szCs w:val="20"/>
          <w:color w:val="auto"/>
        </w:rPr>
      </w:pPr>
    </w:p>
    <w:p>
      <w:pPr>
        <w:ind w:left="440" w:right="539" w:firstLine="347"/>
        <w:spacing w:after="0" w:line="260" w:lineRule="auto"/>
        <w:rPr>
          <w:sz w:val="20"/>
          <w:szCs w:val="20"/>
          <w:color w:val="auto"/>
        </w:rPr>
      </w:pPr>
      <w:r>
        <w:rPr>
          <w:rFonts w:ascii="Times New Roman" w:cs="Times New Roman" w:eastAsia="Times New Roman" w:hAnsi="Times New Roman"/>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75" w:lineRule="exact"/>
        <w:rPr>
          <w:sz w:val="20"/>
          <w:szCs w:val="20"/>
          <w:color w:val="auto"/>
        </w:rPr>
      </w:pPr>
    </w:p>
    <w:p>
      <w:pPr>
        <w:ind w:left="440" w:right="579" w:firstLine="347"/>
        <w:spacing w:after="0" w:line="260" w:lineRule="auto"/>
        <w:rPr>
          <w:sz w:val="20"/>
          <w:szCs w:val="20"/>
          <w:color w:val="auto"/>
        </w:rPr>
      </w:pPr>
      <w:r>
        <w:rPr>
          <w:rFonts w:ascii="Times New Roman" w:cs="Times New Roman" w:eastAsia="Times New Roman" w:hAnsi="Times New Roman"/>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9" w:lineRule="exact"/>
        <w:rPr>
          <w:sz w:val="20"/>
          <w:szCs w:val="20"/>
          <w:color w:val="auto"/>
        </w:rPr>
      </w:pPr>
    </w:p>
    <w:p>
      <w:pPr>
        <w:ind w:left="440" w:right="519" w:firstLine="347"/>
        <w:spacing w:after="0" w:line="265" w:lineRule="auto"/>
        <w:rPr>
          <w:sz w:val="20"/>
          <w:szCs w:val="20"/>
          <w:color w:val="auto"/>
        </w:rPr>
      </w:pPr>
      <w:r>
        <w:rPr>
          <w:rFonts w:ascii="Times New Roman" w:cs="Times New Roman" w:eastAsia="Times New Roman" w:hAnsi="Times New Roman"/>
          <w:sz w:val="17"/>
          <w:szCs w:val="17"/>
          <w:color w:val="auto"/>
        </w:rPr>
        <w:t>We or any selling shareholder may sell the securities from time to time pursuant to underwritten public offerings, direct sales to the public, “at-the-market” offerings, negotiated transactions, block trades or a combination of these methods. We or any selling shareholder may sell the securities to or through one or more underwriters or dealers (acting as principal or agent), through agents, or directly to one or more purchasers. We or any selling shareholder may distribute the securities from time to time in one or more transactions:</w:t>
      </w:r>
    </w:p>
    <w:p>
      <w:pPr>
        <w:spacing w:after="0" w:line="40" w:lineRule="exact"/>
        <w:rPr>
          <w:sz w:val="20"/>
          <w:szCs w:val="20"/>
          <w:color w:val="auto"/>
        </w:rPr>
      </w:pPr>
    </w:p>
    <w:p>
      <w:pPr>
        <w:ind w:left="1140" w:hanging="348"/>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w:t>
      </w:r>
    </w:p>
    <w:p>
      <w:pPr>
        <w:spacing w:after="0" w:line="77"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77"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90"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17" w:lineRule="exact"/>
        <w:rPr>
          <w:sz w:val="20"/>
          <w:szCs w:val="20"/>
          <w:color w:val="auto"/>
        </w:rPr>
      </w:pPr>
    </w:p>
    <w:p>
      <w:pPr>
        <w:ind w:left="440" w:right="479" w:firstLine="347"/>
        <w:spacing w:after="0" w:line="274" w:lineRule="auto"/>
        <w:rPr>
          <w:sz w:val="20"/>
          <w:szCs w:val="20"/>
          <w:color w:val="auto"/>
        </w:rPr>
      </w:pPr>
      <w:r>
        <w:rPr>
          <w:rFonts w:ascii="Times New Roman" w:cs="Times New Roman" w:eastAsia="Times New Roman" w:hAnsi="Times New Roman"/>
          <w:sz w:val="17"/>
          <w:szCs w:val="17"/>
          <w:color w:val="auto"/>
        </w:rPr>
        <w:t>A distribution of the securities offered by this prospectus may also be effected through the issuance of derivative securities, including, without limitation, warrants, exchangeable securities, forward delivery contracts and the writing of options.</w:t>
      </w:r>
    </w:p>
    <w:p>
      <w:pPr>
        <w:spacing w:after="0" w:line="59" w:lineRule="exact"/>
        <w:rPr>
          <w:sz w:val="20"/>
          <w:szCs w:val="20"/>
          <w:color w:val="auto"/>
        </w:rPr>
      </w:pPr>
    </w:p>
    <w:p>
      <w:pPr>
        <w:ind w:left="440" w:right="479" w:firstLine="347"/>
        <w:spacing w:after="0" w:line="260" w:lineRule="auto"/>
        <w:rPr>
          <w:sz w:val="20"/>
          <w:szCs w:val="20"/>
          <w:color w:val="auto"/>
        </w:rPr>
      </w:pPr>
      <w:r>
        <w:rPr>
          <w:rFonts w:ascii="Times New Roman" w:cs="Times New Roman" w:eastAsia="Times New Roman" w:hAnsi="Times New Roman"/>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75" w:lineRule="exact"/>
        <w:rPr>
          <w:sz w:val="20"/>
          <w:szCs w:val="20"/>
          <w:color w:val="auto"/>
        </w:rPr>
      </w:pPr>
    </w:p>
    <w:p>
      <w:pPr>
        <w:ind w:left="440" w:right="519" w:firstLine="347"/>
        <w:spacing w:after="0" w:line="265" w:lineRule="auto"/>
        <w:rPr>
          <w:sz w:val="20"/>
          <w:szCs w:val="20"/>
          <w:color w:val="auto"/>
        </w:rPr>
      </w:pPr>
      <w:r>
        <w:rPr>
          <w:rFonts w:ascii="Times New Roman" w:cs="Times New Roman" w:eastAsia="Times New Roman" w:hAnsi="Times New Roman"/>
          <w:sz w:val="17"/>
          <w:szCs w:val="17"/>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27" w:lineRule="exact"/>
        <w:rPr>
          <w:sz w:val="20"/>
          <w:szCs w:val="20"/>
          <w:color w:val="auto"/>
        </w:rPr>
      </w:pPr>
    </w:p>
    <w:p>
      <w:pPr>
        <w:ind w:left="1140" w:hanging="348"/>
        <w:spacing w:after="0"/>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any underwriters, dealers, agents or other purchasers;</w:t>
      </w:r>
    </w:p>
    <w:p>
      <w:pPr>
        <w:spacing w:after="0" w:line="77"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required information with respect to any selling shareholder, if any;</w:t>
      </w:r>
    </w:p>
    <w:p>
      <w:pPr>
        <w:spacing w:after="0" w:line="90" w:lineRule="exact"/>
        <w:rPr>
          <w:rFonts w:ascii="Times New Roman" w:cs="Times New Roman" w:eastAsia="Times New Roman" w:hAnsi="Times New Roman"/>
          <w:sz w:val="17"/>
          <w:szCs w:val="17"/>
          <w:color w:val="auto"/>
        </w:rPr>
      </w:pPr>
    </w:p>
    <w:p>
      <w:pPr>
        <w:ind w:left="1140" w:right="459" w:hanging="348"/>
        <w:spacing w:after="0" w:line="293"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of the securities or other consideration therefor, and the proceeds, if any, we will receive from the sale;</w:t>
      </w:r>
    </w:p>
    <w:p>
      <w:pPr>
        <w:spacing w:after="0" w:line="4" w:lineRule="exact"/>
        <w:rPr>
          <w:rFonts w:ascii="Times New Roman" w:cs="Times New Roman" w:eastAsia="Times New Roman" w:hAnsi="Times New Roman"/>
          <w:sz w:val="17"/>
          <w:szCs w:val="17"/>
          <w:color w:val="auto"/>
        </w:rPr>
      </w:pPr>
    </w:p>
    <w:p>
      <w:pPr>
        <w:ind w:left="1140" w:right="779" w:hanging="348"/>
        <w:spacing w:after="0" w:line="293"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options to purchase additional shares or other options under which underwriters, dealers, agents or other purchasers may purchase additional securities from us or any selling shareholder;</w:t>
      </w:r>
    </w:p>
    <w:p>
      <w:pPr>
        <w:spacing w:after="0" w:line="4" w:lineRule="exact"/>
        <w:rPr>
          <w:rFonts w:ascii="Times New Roman" w:cs="Times New Roman" w:eastAsia="Times New Roman" w:hAnsi="Times New Roman"/>
          <w:sz w:val="17"/>
          <w:szCs w:val="17"/>
          <w:color w:val="auto"/>
        </w:rPr>
      </w:pPr>
    </w:p>
    <w:p>
      <w:pPr>
        <w:ind w:left="1140" w:right="1279" w:hanging="348"/>
        <w:spacing w:after="0" w:line="293" w:lineRule="auto"/>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agency fees or underwriting discounts and other items constituting agents’ or underwriters’ compensation;</w:t>
      </w:r>
    </w:p>
    <w:p>
      <w:pPr>
        <w:spacing w:after="0" w:line="17"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public offering price;</w:t>
      </w:r>
    </w:p>
    <w:p>
      <w:pPr>
        <w:spacing w:after="0" w:line="77"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paid to dealers; and</w:t>
      </w:r>
    </w:p>
    <w:p>
      <w:pPr>
        <w:spacing w:after="0" w:line="77"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 or market on which the securities may be listed.</w:t>
      </w:r>
    </w:p>
    <w:p>
      <w:pPr>
        <w:spacing w:after="0" w:line="117"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66" w:lineRule="exact"/>
        <w:rPr>
          <w:sz w:val="20"/>
          <w:szCs w:val="20"/>
          <w:color w:val="auto"/>
        </w:rPr>
      </w:pPr>
    </w:p>
    <w:p>
      <w:pPr>
        <w:ind w:left="440" w:right="639" w:firstLine="347"/>
        <w:spacing w:after="0" w:line="261" w:lineRule="auto"/>
        <w:rPr>
          <w:sz w:val="20"/>
          <w:szCs w:val="20"/>
          <w:color w:val="auto"/>
        </w:rPr>
      </w:pPr>
      <w:r>
        <w:rPr>
          <w:rFonts w:ascii="Times New Roman" w:cs="Times New Roman" w:eastAsia="Times New Roman" w:hAnsi="Times New Roman"/>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Underwriters could make sales in privately negotiated transactions and/or any other method permitted by law, including sales deemed to be an “at-the-market” offering as defined in</w:t>
      </w:r>
    </w:p>
    <w:p>
      <w:pPr>
        <w:spacing w:after="0" w:line="1" w:lineRule="exact"/>
        <w:rPr>
          <w:sz w:val="20"/>
          <w:szCs w:val="20"/>
          <w:color w:val="auto"/>
        </w:rPr>
      </w:pPr>
    </w:p>
    <w:p>
      <w:pPr>
        <w:ind w:left="440" w:right="579"/>
        <w:spacing w:after="0" w:line="260" w:lineRule="auto"/>
        <w:rPr>
          <w:sz w:val="20"/>
          <w:szCs w:val="20"/>
          <w:color w:val="auto"/>
        </w:rPr>
      </w:pPr>
      <w:r>
        <w:rPr>
          <w:rFonts w:ascii="Times New Roman" w:cs="Times New Roman" w:eastAsia="Times New Roman" w:hAnsi="Times New Roman"/>
          <w:sz w:val="17"/>
          <w:szCs w:val="17"/>
          <w:color w:val="auto"/>
        </w:rPr>
        <w:t>Rule 415 promulgated under the Securities Act, sales made directly on the Nasdaq, the existing trading market for our Common Shares, or sales made to or through a market maker other than on an exchange. The obligations of the underwriters to purchase the securities will be subject to the conditions set forth in the applicable underwriting agreement. We or any selling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440" w:right="499"/>
        <w:spacing w:after="0" w:line="259" w:lineRule="auto"/>
        <w:rPr>
          <w:sz w:val="20"/>
          <w:szCs w:val="20"/>
          <w:color w:val="auto"/>
        </w:rPr>
      </w:pPr>
      <w:r>
        <w:rPr>
          <w:rFonts w:ascii="Times New Roman" w:cs="Times New Roman" w:eastAsia="Times New Roman" w:hAnsi="Times New Roman"/>
          <w:sz w:val="17"/>
          <w:szCs w:val="17"/>
          <w:color w:val="auto"/>
        </w:rPr>
        <w:t>shareholder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any selling shareholder,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or any selling shareholder may use underwriters, dealers or agents with whom we or any selling shareholder, as applicable, have a material relationship.</w:t>
      </w:r>
    </w:p>
    <w:p>
      <w:pPr>
        <w:spacing w:after="0" w:line="76" w:lineRule="exact"/>
        <w:rPr>
          <w:sz w:val="20"/>
          <w:szCs w:val="20"/>
          <w:color w:val="auto"/>
        </w:rPr>
      </w:pPr>
    </w:p>
    <w:p>
      <w:pPr>
        <w:ind w:left="440" w:right="559" w:firstLine="347"/>
        <w:spacing w:after="0" w:line="293" w:lineRule="auto"/>
        <w:rPr>
          <w:sz w:val="20"/>
          <w:szCs w:val="20"/>
          <w:color w:val="auto"/>
        </w:rPr>
      </w:pPr>
      <w:r>
        <w:rPr>
          <w:rFonts w:ascii="Times New Roman" w:cs="Times New Roman" w:eastAsia="Times New Roman" w:hAnsi="Times New Roman"/>
          <w:sz w:val="17"/>
          <w:szCs w:val="17"/>
          <w:color w:val="auto"/>
        </w:rPr>
        <w:t>We will describe in the prospectus supplement, naming the underwriter, dealer or agent, the nature of any such relationship.</w:t>
      </w:r>
    </w:p>
    <w:p>
      <w:pPr>
        <w:spacing w:after="0" w:line="43" w:lineRule="exact"/>
        <w:rPr>
          <w:sz w:val="20"/>
          <w:szCs w:val="20"/>
          <w:color w:val="auto"/>
        </w:rPr>
      </w:pPr>
    </w:p>
    <w:p>
      <w:pPr>
        <w:ind w:left="440" w:right="559" w:firstLine="347"/>
        <w:spacing w:after="0" w:line="268" w:lineRule="auto"/>
        <w:rPr>
          <w:sz w:val="20"/>
          <w:szCs w:val="20"/>
          <w:color w:val="auto"/>
        </w:rPr>
      </w:pPr>
      <w:r>
        <w:rPr>
          <w:rFonts w:ascii="Times New Roman" w:cs="Times New Roman" w:eastAsia="Times New Roman" w:hAnsi="Times New Roman"/>
          <w:sz w:val="17"/>
          <w:szCs w:val="17"/>
          <w:color w:val="auto"/>
        </w:rPr>
        <w:t>We or any selling shareholder may sell securities directly or through agents from time to time. We will name any agent involved in the offering and sale of securities, and we will describe any commissions payable to such agent in the prospectus supplement. Unless the prospectus supplement states otherwise, the agent will act on a best-efforts basis for the period of its appointment.</w:t>
      </w:r>
    </w:p>
    <w:p>
      <w:pPr>
        <w:spacing w:after="0" w:line="63" w:lineRule="exact"/>
        <w:rPr>
          <w:sz w:val="20"/>
          <w:szCs w:val="20"/>
          <w:color w:val="auto"/>
        </w:rPr>
      </w:pPr>
    </w:p>
    <w:p>
      <w:pPr>
        <w:ind w:left="440" w:right="459" w:firstLine="347"/>
        <w:spacing w:after="0" w:line="262" w:lineRule="auto"/>
        <w:rPr>
          <w:sz w:val="20"/>
          <w:szCs w:val="20"/>
          <w:color w:val="auto"/>
        </w:rPr>
      </w:pPr>
      <w:r>
        <w:rPr>
          <w:rFonts w:ascii="Times New Roman" w:cs="Times New Roman" w:eastAsia="Times New Roman" w:hAnsi="Times New Roman"/>
          <w:sz w:val="17"/>
          <w:szCs w:val="17"/>
          <w:color w:val="auto"/>
        </w:rPr>
        <w:t>We or any selling shareholder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will provide the details of any such arrangement, including the offering price and commissions payable on the solicitations. 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281" w:lineRule="exact"/>
        <w:rPr>
          <w:sz w:val="20"/>
          <w:szCs w:val="20"/>
          <w:color w:val="auto"/>
        </w:rPr>
      </w:pPr>
    </w:p>
    <w:p>
      <w:pPr>
        <w:ind w:left="440" w:right="499" w:firstLine="347"/>
        <w:spacing w:after="0" w:line="268" w:lineRule="auto"/>
        <w:rPr>
          <w:sz w:val="20"/>
          <w:szCs w:val="20"/>
          <w:color w:val="auto"/>
        </w:rPr>
      </w:pPr>
      <w:r>
        <w:rPr>
          <w:rFonts w:ascii="Times New Roman" w:cs="Times New Roman" w:eastAsia="Times New Roman" w:hAnsi="Times New Roman"/>
          <w:sz w:val="17"/>
          <w:szCs w:val="17"/>
          <w:color w:val="auto"/>
        </w:rPr>
        <w:t>We or any selling shareholder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63" w:lineRule="exact"/>
        <w:rPr>
          <w:sz w:val="20"/>
          <w:szCs w:val="20"/>
          <w:color w:val="auto"/>
        </w:rPr>
      </w:pPr>
    </w:p>
    <w:p>
      <w:pPr>
        <w:ind w:left="440" w:right="539" w:firstLine="347"/>
        <w:spacing w:after="0" w:line="268" w:lineRule="auto"/>
        <w:rPr>
          <w:sz w:val="20"/>
          <w:szCs w:val="20"/>
          <w:color w:val="auto"/>
        </w:rPr>
      </w:pPr>
      <w:r>
        <w:rPr>
          <w:rFonts w:ascii="Times New Roman" w:cs="Times New Roman" w:eastAsia="Times New Roman" w:hAnsi="Times New Roman"/>
          <w:sz w:val="17"/>
          <w:szCs w:val="17"/>
          <w:color w:val="auto"/>
        </w:rPr>
        <w:t>All securities we may offer, other than Common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63" w:lineRule="exact"/>
        <w:rPr>
          <w:sz w:val="20"/>
          <w:szCs w:val="20"/>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76" w:lineRule="exact"/>
        <w:rPr>
          <w:sz w:val="20"/>
          <w:szCs w:val="20"/>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Any underwriters, dealers or agents that are qualified market makers on the Nasdaq Global Select Market may engage in passive market making transactions in our Common Shares on the Nasdaq Global Select Market in accordance with Regulation M under the Exchange Act, during the business day prior to the pricing of the offering, before the commencement of offers or sales of the Common Shares.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9"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certain securities and certain matters with respect to Bermuda law will be passed upon for us by Conyers Dill &amp; Pearman Limited. The validity of certain securities and certain matters with respect to U.S. federal and New York State law will be passed upon for us by Davis Polk &amp; Wardwell LLP, New York, New York. Additional legal matters may be passed upon for us or any underwriters, dealers or agents, by counsel that we name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9" w:lineRule="exact"/>
        <w:rPr>
          <w:sz w:val="20"/>
          <w:szCs w:val="20"/>
          <w:color w:val="auto"/>
        </w:rPr>
      </w:pPr>
    </w:p>
    <w:p>
      <w:pPr>
        <w:ind w:left="440" w:right="679" w:firstLine="347"/>
        <w:spacing w:after="0" w:line="260" w:lineRule="auto"/>
        <w:rPr>
          <w:sz w:val="20"/>
          <w:szCs w:val="20"/>
          <w:color w:val="auto"/>
        </w:rPr>
      </w:pPr>
      <w:r>
        <w:rPr>
          <w:rFonts w:ascii="Times New Roman" w:cs="Times New Roman" w:eastAsia="Times New Roman" w:hAnsi="Times New Roman"/>
          <w:sz w:val="17"/>
          <w:szCs w:val="17"/>
          <w:color w:val="auto"/>
        </w:rPr>
        <w:t>The consolidated financial statements of Roivant Sciences Ltd. appearing in Roivant Sciences Ltd.’s Annual Report (Form 10-K) for the year ended March 31, 2025, and the effectiveness of Roivant Sciences Ltd.’s internal control over financial reporting as of March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119" w:lineRule="exact"/>
        <w:rPr>
          <w:sz w:val="20"/>
          <w:szCs w:val="20"/>
          <w:color w:val="auto"/>
        </w:rPr>
      </w:pPr>
    </w:p>
    <w:p>
      <w:pPr>
        <w:ind w:left="440" w:right="499" w:firstLine="347"/>
        <w:spacing w:after="0" w:line="265" w:lineRule="auto"/>
        <w:rPr>
          <w:sz w:val="20"/>
          <w:szCs w:val="20"/>
          <w:color w:val="auto"/>
        </w:rPr>
      </w:pPr>
      <w:r>
        <w:rPr>
          <w:rFonts w:ascii="Times New Roman" w:cs="Times New Roman" w:eastAsia="Times New Roman" w:hAnsi="Times New Roman"/>
          <w:sz w:val="17"/>
          <w:szCs w:val="17"/>
          <w:color w:val="auto"/>
        </w:rPr>
        <w:t>We have filed a registration statement on Form S-3, including exhibits, under the Securities Act of 1933, as amended, with respect to the securities offered by this prospectus. This prospectus does not contain all of the information included or incorporated by reference in the registration statement. For further information pertaining to us and our securities, you should refer to the registration statement, our exhibits and the other documents incorporated by reference herein.</w:t>
      </w:r>
    </w:p>
    <w:p>
      <w:pPr>
        <w:spacing w:after="0" w:line="66" w:lineRule="exact"/>
        <w:rPr>
          <w:sz w:val="20"/>
          <w:szCs w:val="20"/>
          <w:color w:val="auto"/>
        </w:rPr>
      </w:pPr>
    </w:p>
    <w:p>
      <w:pPr>
        <w:ind w:left="440" w:right="499" w:firstLine="347"/>
        <w:spacing w:after="0" w:line="263" w:lineRule="auto"/>
        <w:rPr>
          <w:sz w:val="20"/>
          <w:szCs w:val="20"/>
          <w:color w:val="auto"/>
        </w:rPr>
      </w:pPr>
      <w:r>
        <w:rPr>
          <w:rFonts w:ascii="Times New Roman" w:cs="Times New Roman" w:eastAsia="Times New Roman" w:hAnsi="Times New Roman"/>
          <w:sz w:val="17"/>
          <w:szCs w:val="17"/>
          <w:color w:val="auto"/>
        </w:rPr>
        <w:t>In addition, we file annual, quarterly and current reports, proxy statements and other information with the SEC. Our SEC filings are available to the public on a website maintained by the SEC located at www.sec.gov. We also maintain a website at https://roivant.com.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9" w:lineRule="exact"/>
        <w:rPr>
          <w:sz w:val="20"/>
          <w:szCs w:val="20"/>
          <w:color w:val="auto"/>
        </w:rPr>
      </w:pPr>
    </w:p>
    <w:p>
      <w:pPr>
        <w:ind w:left="440" w:right="579" w:firstLine="347"/>
        <w:spacing w:after="0" w:line="274" w:lineRule="auto"/>
        <w:rPr>
          <w:sz w:val="20"/>
          <w:szCs w:val="20"/>
          <w:color w:val="auto"/>
        </w:rPr>
      </w:pPr>
      <w:r>
        <w:rPr>
          <w:rFonts w:ascii="Times New Roman" w:cs="Times New Roman" w:eastAsia="Times New Roman" w:hAnsi="Times New Roman"/>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w:t>
      </w:r>
    </w:p>
    <w:p>
      <w:pPr>
        <w:spacing w:after="0" w:line="59" w:lineRule="exact"/>
        <w:rPr>
          <w:sz w:val="20"/>
          <w:szCs w:val="20"/>
          <w:color w:val="auto"/>
        </w:rPr>
      </w:pPr>
    </w:p>
    <w:p>
      <w:pPr>
        <w:ind w:left="440" w:right="619" w:firstLine="347"/>
        <w:spacing w:after="0" w:line="265" w:lineRule="auto"/>
        <w:rPr>
          <w:sz w:val="20"/>
          <w:szCs w:val="20"/>
          <w:color w:val="auto"/>
        </w:rPr>
      </w:pPr>
      <w:r>
        <w:rPr>
          <w:rFonts w:ascii="Times New Roman" w:cs="Times New Roman" w:eastAsia="Times New Roman" w:hAnsi="Times New Roman"/>
          <w:sz w:val="17"/>
          <w:szCs w:val="17"/>
          <w:color w:val="auto"/>
        </w:rPr>
        <w:t>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001-40782):</w:t>
      </w:r>
    </w:p>
    <w:p>
      <w:pPr>
        <w:spacing w:after="0" w:line="40" w:lineRule="exact"/>
        <w:rPr>
          <w:sz w:val="20"/>
          <w:szCs w:val="20"/>
          <w:color w:val="auto"/>
        </w:rPr>
      </w:pPr>
    </w:p>
    <w:p>
      <w:pPr>
        <w:ind w:left="1140" w:right="899" w:hanging="348"/>
        <w:spacing w:after="0" w:line="293" w:lineRule="auto"/>
        <w:tabs>
          <w:tab w:leader="none" w:pos="1140" w:val="left"/>
        </w:tabs>
        <w:numPr>
          <w:ilvl w:val="0"/>
          <w:numId w:val="23"/>
        </w:numPr>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auto"/>
          </w:rPr>
          <w:t xml:space="preserve">our Annual Report on Form 10-K for the year ended March 31, 2025, filed with the SEC on </w:t>
        </w:r>
        <w:r>
          <w:rPr>
            <w:rFonts w:ascii="Times New Roman" w:cs="Times New Roman" w:eastAsia="Times New Roman" w:hAnsi="Times New Roman"/>
            <w:sz w:val="17"/>
            <w:szCs w:val="17"/>
            <w:u w:val="single" w:color="auto"/>
            <w:color w:val="0000EE"/>
          </w:rPr>
          <w:t>May 29,</w:t>
        </w:r>
      </w:hyperlink>
      <w:r>
        <w:rPr>
          <w:rFonts w:ascii="Times New Roman" w:cs="Times New Roman" w:eastAsia="Times New Roman" w:hAnsi="Times New Roman"/>
          <w:sz w:val="17"/>
          <w:szCs w:val="17"/>
          <w:color w:val="auto"/>
        </w:rPr>
        <w:t xml:space="preserve"> </w:t>
      </w:r>
      <w:hyperlink r:id="rId53">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 w:lineRule="exact"/>
        <w:rPr>
          <w:rFonts w:ascii="Times New Roman" w:cs="Times New Roman" w:eastAsia="Times New Roman" w:hAnsi="Times New Roman"/>
          <w:sz w:val="17"/>
          <w:szCs w:val="17"/>
          <w:color w:val="0000EE"/>
        </w:rPr>
      </w:pPr>
    </w:p>
    <w:p>
      <w:pPr>
        <w:ind w:left="1140" w:right="499" w:hanging="348"/>
        <w:spacing w:after="0" w:line="293" w:lineRule="auto"/>
        <w:tabs>
          <w:tab w:leader="none" w:pos="1140" w:val="left"/>
        </w:tabs>
        <w:numPr>
          <w:ilvl w:val="0"/>
          <w:numId w:val="23"/>
        </w:numPr>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auto"/>
          </w:rPr>
          <w:t xml:space="preserve">our Quarterly Report on Form 10-Q for the quarter ended June 30, 2025, filed with the SEC on </w:t>
        </w:r>
        <w:r>
          <w:rPr>
            <w:rFonts w:ascii="Times New Roman" w:cs="Times New Roman" w:eastAsia="Times New Roman" w:hAnsi="Times New Roman"/>
            <w:sz w:val="17"/>
            <w:szCs w:val="17"/>
            <w:u w:val="single" w:color="auto"/>
            <w:color w:val="0000EE"/>
          </w:rPr>
          <w:t>August 11,</w:t>
        </w:r>
      </w:hyperlink>
      <w:r>
        <w:rPr>
          <w:rFonts w:ascii="Times New Roman" w:cs="Times New Roman" w:eastAsia="Times New Roman" w:hAnsi="Times New Roman"/>
          <w:sz w:val="17"/>
          <w:szCs w:val="17"/>
          <w:color w:val="auto"/>
        </w:rPr>
        <w:t xml:space="preserve"> </w:t>
      </w:r>
      <w:hyperlink r:id="rId54">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 w:lineRule="exact"/>
        <w:rPr>
          <w:rFonts w:ascii="Times New Roman" w:cs="Times New Roman" w:eastAsia="Times New Roman" w:hAnsi="Times New Roman"/>
          <w:sz w:val="17"/>
          <w:szCs w:val="17"/>
          <w:color w:val="0000EE"/>
        </w:rPr>
      </w:pPr>
    </w:p>
    <w:p>
      <w:pPr>
        <w:ind w:left="1140" w:right="579" w:hanging="348"/>
        <w:spacing w:after="0" w:line="274" w:lineRule="auto"/>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 our Annual Report on Form 10-K for the year ended March 31, 2025 from our Definitive Proxy Statement on Schedule 14A relating to our 2025 annual meeting of shareholders, filed with the SEC on </w:t>
      </w:r>
      <w:hyperlink r:id="rId55">
        <w:r>
          <w:rPr>
            <w:rFonts w:ascii="Times New Roman" w:cs="Times New Roman" w:eastAsia="Times New Roman" w:hAnsi="Times New Roman"/>
            <w:sz w:val="17"/>
            <w:szCs w:val="17"/>
            <w:u w:val="single" w:color="auto"/>
            <w:color w:val="0000EE"/>
          </w:rPr>
          <w:t>July 29, 2025</w:t>
        </w:r>
      </w:hyperlink>
      <w:r>
        <w:rPr>
          <w:rFonts w:ascii="Times New Roman" w:cs="Times New Roman" w:eastAsia="Times New Roman" w:hAnsi="Times New Roman"/>
          <w:sz w:val="17"/>
          <w:szCs w:val="17"/>
          <w:color w:val="auto"/>
        </w:rPr>
        <w:t>;</w:t>
      </w:r>
    </w:p>
    <w:p>
      <w:pPr>
        <w:spacing w:after="0" w:line="32" w:lineRule="exact"/>
        <w:rPr>
          <w:rFonts w:ascii="Times New Roman" w:cs="Times New Roman" w:eastAsia="Times New Roman" w:hAnsi="Times New Roman"/>
          <w:sz w:val="17"/>
          <w:szCs w:val="17"/>
          <w:color w:val="auto"/>
        </w:rPr>
      </w:pPr>
    </w:p>
    <w:p>
      <w:pPr>
        <w:ind w:left="1140" w:right="679" w:hanging="348"/>
        <w:spacing w:after="0" w:line="293" w:lineRule="auto"/>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Form 8-K filed with the SEC on </w:t>
      </w:r>
      <w:hyperlink r:id="rId56">
        <w:r>
          <w:rPr>
            <w:rFonts w:ascii="Times New Roman" w:cs="Times New Roman" w:eastAsia="Times New Roman" w:hAnsi="Times New Roman"/>
            <w:sz w:val="17"/>
            <w:szCs w:val="17"/>
            <w:u w:val="single" w:color="auto"/>
            <w:color w:val="0000EE"/>
          </w:rPr>
          <w:t>June 25, 2025</w:t>
        </w:r>
      </w:hyperlink>
      <w:r>
        <w:rPr>
          <w:rFonts w:ascii="Times New Roman" w:cs="Times New Roman" w:eastAsia="Times New Roman" w:hAnsi="Times New Roman"/>
          <w:sz w:val="17"/>
          <w:szCs w:val="17"/>
          <w:color w:val="auto"/>
        </w:rPr>
        <w:t xml:space="preserve">, </w:t>
      </w:r>
      <w:hyperlink r:id="rId57">
        <w:r>
          <w:rPr>
            <w:rFonts w:ascii="Times New Roman" w:cs="Times New Roman" w:eastAsia="Times New Roman" w:hAnsi="Times New Roman"/>
            <w:sz w:val="17"/>
            <w:szCs w:val="17"/>
            <w:u w:val="single" w:color="auto"/>
            <w:color w:val="0000EE"/>
          </w:rPr>
          <w:t>September 3,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(only with respect to Item 8.01), </w:t>
      </w:r>
      <w:hyperlink r:id="rId58">
        <w:r>
          <w:rPr>
            <w:rFonts w:ascii="Times New Roman" w:cs="Times New Roman" w:eastAsia="Times New Roman" w:hAnsi="Times New Roman"/>
            <w:sz w:val="17"/>
            <w:szCs w:val="17"/>
            <w:u w:val="single" w:color="auto"/>
            <w:color w:val="0000EE"/>
          </w:rPr>
          <w:t>September 11,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59">
        <w:r>
          <w:rPr>
            <w:rFonts w:ascii="Times New Roman" w:cs="Times New Roman" w:eastAsia="Times New Roman" w:hAnsi="Times New Roman"/>
            <w:sz w:val="17"/>
            <w:szCs w:val="17"/>
            <w:u w:val="single" w:color="auto"/>
            <w:color w:val="0000EE"/>
          </w:rPr>
          <w:t>September 17,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(only with respect to Item 8.01); and</w:t>
      </w:r>
    </w:p>
    <w:p>
      <w:pPr>
        <w:spacing w:after="0" w:line="4" w:lineRule="exact"/>
        <w:rPr>
          <w:rFonts w:ascii="Times New Roman" w:cs="Times New Roman" w:eastAsia="Times New Roman" w:hAnsi="Times New Roman"/>
          <w:sz w:val="17"/>
          <w:szCs w:val="17"/>
          <w:color w:val="auto"/>
        </w:rPr>
      </w:pPr>
    </w:p>
    <w:p>
      <w:pPr>
        <w:ind w:left="1140" w:right="579" w:hanging="348"/>
        <w:spacing w:after="0" w:line="274" w:lineRule="auto"/>
        <w:tabs>
          <w:tab w:leader="none" w:pos="11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Shares contained in </w:t>
      </w:r>
      <w:hyperlink r:id="rId60">
        <w:r>
          <w:rPr>
            <w:rFonts w:ascii="Times New Roman" w:cs="Times New Roman" w:eastAsia="Times New Roman" w:hAnsi="Times New Roman"/>
            <w:sz w:val="17"/>
            <w:szCs w:val="17"/>
            <w:u w:val="single" w:color="auto"/>
            <w:color w:val="0000EE"/>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our Annual Report on Form 10-K filed with the SEC on </w:t>
      </w:r>
      <w:hyperlink r:id="rId53">
        <w:r>
          <w:rPr>
            <w:rFonts w:ascii="Times New Roman" w:cs="Times New Roman" w:eastAsia="Times New Roman" w:hAnsi="Times New Roman"/>
            <w:sz w:val="17"/>
            <w:szCs w:val="17"/>
            <w:u w:val="single" w:color="auto"/>
            <w:color w:val="0000EE"/>
          </w:rPr>
          <w:t>May 29, 2025</w:t>
        </w:r>
      </w:hyperlink>
      <w:r>
        <w:rPr>
          <w:rFonts w:ascii="Times New Roman" w:cs="Times New Roman" w:eastAsia="Times New Roman" w:hAnsi="Times New Roman"/>
          <w:sz w:val="17"/>
          <w:szCs w:val="17"/>
          <w:color w:val="auto"/>
        </w:rPr>
        <w:t>, including any amendments thereto or reports filed for the purpose of updating such description.</w:t>
      </w:r>
    </w:p>
    <w:p>
      <w:pPr>
        <w:spacing w:after="0" w:line="59" w:lineRule="exact"/>
        <w:rPr>
          <w:rFonts w:ascii="Times New Roman" w:cs="Times New Roman" w:eastAsia="Times New Roman" w:hAnsi="Times New Roman"/>
          <w:sz w:val="17"/>
          <w:szCs w:val="17"/>
          <w:color w:val="auto"/>
        </w:rPr>
      </w:pPr>
    </w:p>
    <w:p>
      <w:pPr>
        <w:ind w:left="440" w:right="459" w:firstLine="347"/>
        <w:spacing w:after="0" w:line="274" w:lineRule="auto"/>
        <w:rPr>
          <w:sz w:val="20"/>
          <w:szCs w:val="20"/>
          <w:color w:val="auto"/>
        </w:rPr>
      </w:pPr>
      <w:r>
        <w:rPr>
          <w:rFonts w:ascii="Times New Roman" w:cs="Times New Roman" w:eastAsia="Times New Roman" w:hAnsi="Times New Roman"/>
          <w:sz w:val="17"/>
          <w:szCs w:val="17"/>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59" w:lineRule="exact"/>
        <w:rPr>
          <w:rFonts w:ascii="Times New Roman" w:cs="Times New Roman" w:eastAsia="Times New Roman" w:hAnsi="Times New Roman"/>
          <w:sz w:val="17"/>
          <w:szCs w:val="17"/>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73" w:lineRule="exact"/>
        <w:rPr>
          <w:rFonts w:ascii="Times New Roman" w:cs="Times New Roman" w:eastAsia="Times New Roman" w:hAnsi="Times New Roman"/>
          <w:sz w:val="17"/>
          <w:szCs w:val="17"/>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You can obtain any of the filings incorporated by reference in this prospectus through us or from the SEC through the SEC’s website at www.sec.gov. Our filings with the SEC, including our Annual Reports on Form 10-K, Quarterly Reports on Form 10-Q, Current Reports on Form 8-K, and exhibits incorporated in and amendments to those reports, are also available free of charge on our website (www.roivant.com) as soon as reasonably practicable after they are filed with, or furnished to, the SEC. Information on, or accessible through, our website is not part of this prospectus, nor is such content incorporated by reference herein, and should not be relied upon in determining whether to make an investment in our securities. You can obtain any of the documents incorporated by reference into this prospectus from us without charge, excluding any exhibits to those documents unless the exhibit is specifically incorporated by reference into those documents. You can obtain documents incorporated by reference into this prospectus by requesting them in writing or by telephone from us at the following address:</w:t>
      </w:r>
    </w:p>
    <w:p>
      <w:pPr>
        <w:spacing w:after="0" w:line="21"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ind w:left="3800" w:right="3799" w:firstLine="239"/>
        <w:spacing w:after="0" w:line="254" w:lineRule="auto"/>
        <w:tabs>
          <w:tab w:leader="none" w:pos="426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Broadway London SW1H 0DB</w:t>
      </w:r>
    </w:p>
    <w:p>
      <w:pPr>
        <w:jc w:val="both"/>
        <w:ind w:left="3880" w:right="3879" w:firstLine="49"/>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Kingdom +44 207 400 3347</w:t>
      </w:r>
    </w:p>
    <w:p>
      <w:pPr>
        <w:spacing w:after="0" w:line="165"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1" w:name="page32"/>
    <w:bookmarkEnd w:id="31"/>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Up to $400,000,000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230505</wp:posOffset>
            </wp:positionV>
            <wp:extent cx="2693035" cy="628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693035" cy="62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172720</wp:posOffset>
            </wp:positionV>
            <wp:extent cx="1057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350" w:lineRule="exact"/>
        <w:rPr>
          <w:sz w:val="20"/>
          <w:szCs w:val="20"/>
          <w:color w:val="auto"/>
        </w:rPr>
      </w:pPr>
    </w:p>
    <w:p>
      <w:pPr>
        <w:ind w:left="540" w:right="619" w:firstLine="347"/>
        <w:spacing w:after="0" w:line="265" w:lineRule="auto"/>
        <w:rPr>
          <w:sz w:val="20"/>
          <w:szCs w:val="20"/>
          <w:color w:val="auto"/>
        </w:rPr>
      </w:pPr>
      <w:r>
        <w:rPr>
          <w:rFonts w:ascii="Times New Roman" w:cs="Times New Roman" w:eastAsia="Times New Roman" w:hAnsi="Times New Roman"/>
          <w:sz w:val="17"/>
          <w:szCs w:val="17"/>
          <w:color w:val="auto"/>
        </w:rPr>
        <w:t>On September 19, 2022, we entered into a sales agreement (the “Sales Agreement”) with TD Securities (USA) LLC, successor to Cowen and Company, LLC (“TD Cowen”), relating to our common shares, par value $0.0000000341740141 per share (the “Common Shares”), offered by this prospectus. In accordance with the terms of the Sales Agreement, we may offer and sell Common Shares having an aggregate offering price of up to $400.0 million from time to time through TD Cowen acting as our agent.</w:t>
      </w:r>
    </w:p>
    <w:p>
      <w:pPr>
        <w:spacing w:after="0" w:line="66" w:lineRule="exact"/>
        <w:rPr>
          <w:sz w:val="20"/>
          <w:szCs w:val="20"/>
          <w:color w:val="auto"/>
        </w:rPr>
      </w:pPr>
    </w:p>
    <w:p>
      <w:pPr>
        <w:ind w:left="540" w:right="699" w:firstLine="347"/>
        <w:spacing w:after="0" w:line="293" w:lineRule="auto"/>
        <w:rPr>
          <w:sz w:val="20"/>
          <w:szCs w:val="20"/>
          <w:color w:val="auto"/>
        </w:rPr>
      </w:pPr>
      <w:r>
        <w:rPr>
          <w:rFonts w:ascii="Times New Roman" w:cs="Times New Roman" w:eastAsia="Times New Roman" w:hAnsi="Times New Roman"/>
          <w:sz w:val="17"/>
          <w:szCs w:val="17"/>
          <w:color w:val="auto"/>
        </w:rPr>
        <w:t>Our Common Shares are listed on the Nasdaq Global Select Market (“Nasdaq”) under the symbol “ROIV.” On October 1, 2025, the last reported sale price of our Common Shares was $15.75 per share.</w:t>
      </w:r>
    </w:p>
    <w:p>
      <w:pPr>
        <w:spacing w:after="0" w:line="43" w:lineRule="exact"/>
        <w:rPr>
          <w:sz w:val="20"/>
          <w:szCs w:val="20"/>
          <w:color w:val="auto"/>
        </w:rPr>
      </w:pPr>
    </w:p>
    <w:p>
      <w:pPr>
        <w:ind w:left="540" w:right="619" w:firstLine="347"/>
        <w:spacing w:after="0" w:line="263" w:lineRule="auto"/>
        <w:rPr>
          <w:sz w:val="20"/>
          <w:szCs w:val="20"/>
          <w:color w:val="auto"/>
        </w:rPr>
      </w:pPr>
      <w:r>
        <w:rPr>
          <w:rFonts w:ascii="Times New Roman" w:cs="Times New Roman" w:eastAsia="Times New Roman" w:hAnsi="Times New Roman"/>
          <w:sz w:val="17"/>
          <w:szCs w:val="17"/>
          <w:color w:val="auto"/>
        </w:rPr>
        <w:t>Sales of our Common Shares, if any, under this prospectus will be made in sales deemed to be an “at the market offering” as defined in Rule 415(a)(4) promulgated under the Securities Act of 1933, as amended (the “Securities Act”).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68" w:lineRule="exact"/>
        <w:rPr>
          <w:sz w:val="20"/>
          <w:szCs w:val="20"/>
          <w:color w:val="auto"/>
        </w:rPr>
      </w:pPr>
    </w:p>
    <w:p>
      <w:pPr>
        <w:ind w:left="540" w:right="639" w:firstLine="347"/>
        <w:spacing w:after="0" w:line="261" w:lineRule="auto"/>
        <w:rPr>
          <w:sz w:val="20"/>
          <w:szCs w:val="20"/>
          <w:color w:val="auto"/>
        </w:rPr>
      </w:pPr>
      <w:r>
        <w:rPr>
          <w:rFonts w:ascii="Times New Roman" w:cs="Times New Roman" w:eastAsia="Times New Roman" w:hAnsi="Times New Roman"/>
          <w:sz w:val="17"/>
          <w:szCs w:val="17"/>
          <w:color w:val="auto"/>
        </w:rPr>
        <w:t>The compensation to TD Cowen for sales of Common Shares sold pursuant to the Sales Agreement will be an amount equal to up to 3% of the gross proceeds of any Common Shares sold under the Sales Agreement. In connection with the sale of the Common Shares on our behalf, TD Cowen will be deemed to be an “underwriter” within the meaning of the Securities Act and the compensation to TD Cowen will be deemed to be underwriting commissions or discounts. We have also agreed to provide indemnification and contribution to TD Cowen with respect to certain liabilities, including liabilities under the Securities Act or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156845</wp:posOffset>
            </wp:positionV>
            <wp:extent cx="10572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324" w:lineRule="exact"/>
        <w:rPr>
          <w:sz w:val="20"/>
          <w:szCs w:val="20"/>
          <w:color w:val="auto"/>
        </w:rPr>
      </w:pPr>
    </w:p>
    <w:p>
      <w:pPr>
        <w:ind w:left="540" w:right="859" w:firstLine="347"/>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Shares involves a high degree of risk. See the “Risk Factors” section beginning on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this prospectus and in our Securities and Exchange Commission (“SEC”) filings that are incorporated by reference herein.</w:t>
      </w:r>
    </w:p>
    <w:p>
      <w:pPr>
        <w:spacing w:after="0" w:line="59" w:lineRule="exact"/>
        <w:rPr>
          <w:sz w:val="20"/>
          <w:szCs w:val="20"/>
          <w:color w:val="auto"/>
        </w:rPr>
      </w:pPr>
    </w:p>
    <w:p>
      <w:pPr>
        <w:jc w:val="both"/>
        <w:ind w:left="540" w:right="919" w:firstLine="347"/>
        <w:spacing w:after="0" w:line="293" w:lineRule="auto"/>
        <w:rPr>
          <w:sz w:val="20"/>
          <w:szCs w:val="20"/>
          <w:color w:val="auto"/>
        </w:rPr>
      </w:pPr>
      <w:r>
        <w:rPr>
          <w:rFonts w:ascii="Times New Roman" w:cs="Times New Roman" w:eastAsia="Times New Roman" w:hAnsi="Times New Roman"/>
          <w:sz w:val="17"/>
          <w:szCs w:val="17"/>
          <w:color w:val="auto"/>
        </w:rPr>
        <w:t>Neither the SEC nor any state securities commission has approved or disapproved of these securities or determined if this prospectus is truthful or complete. Any representation to the contrary is a criminal offense.</w:t>
      </w:r>
    </w:p>
    <w:p>
      <w:pPr>
        <w:spacing w:after="0" w:line="43" w:lineRule="exact"/>
        <w:rPr>
          <w:sz w:val="20"/>
          <w:szCs w:val="20"/>
          <w:color w:val="auto"/>
        </w:rPr>
      </w:pPr>
    </w:p>
    <w:p>
      <w:pPr>
        <w:ind w:left="540" w:right="679" w:firstLine="347"/>
        <w:spacing w:after="0" w:line="268" w:lineRule="auto"/>
        <w:rPr>
          <w:sz w:val="20"/>
          <w:szCs w:val="20"/>
          <w:color w:val="auto"/>
        </w:rPr>
      </w:pPr>
      <w:r>
        <w:rPr>
          <w:rFonts w:ascii="Times New Roman" w:cs="Times New Roman" w:eastAsia="Times New Roman" w:hAnsi="Times New Roman"/>
          <w:sz w:val="17"/>
          <w:szCs w:val="17"/>
          <w:color w:val="auto"/>
        </w:rPr>
        <w:t>The filing of the registration statement of which this prospectus forms a part is not indicative of any current intention to offer or sell securities. As of the date of the registration statement of which this prospectus forms a part, we have an active share repurchase program in place and may or may not utilize the registration statement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151130</wp:posOffset>
            </wp:positionV>
            <wp:extent cx="10572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1"/>
        </w:trPr>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8"/>
        </w:trPr>
        <w:tc>
          <w:tcPr>
            <w:tcW w:w="7840" w:type="dxa"/>
            <w:vAlign w:val="bottom"/>
            <w:gridSpan w:val="1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About This Prospectus</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center"/>
              <w:ind w:right="100"/>
              <w:spacing w:after="0" w:line="188" w:lineRule="exact"/>
              <w:rPr>
                <w:sz w:val="20"/>
                <w:szCs w:val="20"/>
                <w:color w:val="auto"/>
              </w:rPr>
            </w:pPr>
            <w:r>
              <w:rPr>
                <w:rFonts w:ascii="Times New Roman" w:cs="Times New Roman" w:eastAsia="Times New Roman" w:hAnsi="Times New Roman"/>
                <w:sz w:val="17"/>
                <w:szCs w:val="17"/>
                <w:color w:val="0000EE"/>
                <w:w w:val="84"/>
              </w:rPr>
              <w:t>ii</w:t>
            </w: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2"/>
        </w:trPr>
        <w:tc>
          <w:tcPr>
            <w:tcW w:w="1580" w:type="dxa"/>
            <w:vAlign w:val="bottom"/>
            <w:gridSpan w:val="8"/>
          </w:tcPr>
          <w:p>
            <w:pPr>
              <w:spacing w:after="0" w:line="182" w:lineRule="exact"/>
              <w:rPr>
                <w:sz w:val="20"/>
                <w:szCs w:val="20"/>
                <w:color w:val="auto"/>
              </w:rPr>
            </w:pPr>
            <w:r>
              <w:rPr>
                <w:rFonts w:ascii="Times New Roman" w:cs="Times New Roman" w:eastAsia="Times New Roman" w:hAnsi="Times New Roman"/>
                <w:sz w:val="17"/>
                <w:szCs w:val="17"/>
                <w:color w:val="0000EE"/>
              </w:rPr>
              <w:t>Prospectus Summary</w:t>
            </w:r>
          </w:p>
        </w:tc>
        <w:tc>
          <w:tcPr>
            <w:tcW w:w="6260" w:type="dxa"/>
            <w:vAlign w:val="bottom"/>
            <w:gridSpan w:val="4"/>
          </w:tcPr>
          <w:p>
            <w:pPr>
              <w:spacing w:after="0"/>
              <w:rPr>
                <w:sz w:val="15"/>
                <w:szCs w:val="15"/>
                <w:color w:val="auto"/>
              </w:rPr>
            </w:pPr>
          </w:p>
        </w:tc>
        <w:tc>
          <w:tcPr>
            <w:tcW w:w="180" w:type="dxa"/>
            <w:vAlign w:val="bottom"/>
            <w:gridSpan w:val="2"/>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1</w:t>
            </w:r>
          </w:p>
        </w:tc>
        <w:tc>
          <w:tcPr>
            <w:tcW w:w="100" w:type="dxa"/>
            <w:vAlign w:val="bottom"/>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9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The Offering</w:t>
            </w:r>
          </w:p>
        </w:tc>
        <w:tc>
          <w:tcPr>
            <w:tcW w:w="6920" w:type="dxa"/>
            <w:vAlign w:val="bottom"/>
            <w:gridSpan w:val="9"/>
            <w:shd w:val="clear" w:color="auto" w:fill="CCEEFF"/>
          </w:tcPr>
          <w:p>
            <w:pPr>
              <w:spacing w:after="0"/>
              <w:rPr>
                <w:sz w:val="15"/>
                <w:szCs w:val="15"/>
                <w:color w:val="auto"/>
              </w:rPr>
            </w:pPr>
          </w:p>
        </w:tc>
        <w:tc>
          <w:tcPr>
            <w:tcW w:w="180" w:type="dxa"/>
            <w:vAlign w:val="bottom"/>
            <w:gridSpan w:val="2"/>
            <w:shd w:val="clear" w:color="auto" w:fill="CCEEFF"/>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2</w:t>
            </w:r>
          </w:p>
        </w:tc>
        <w:tc>
          <w:tcPr>
            <w:tcW w:w="100" w:type="dxa"/>
            <w:vAlign w:val="bottom"/>
            <w:shd w:val="clear" w:color="auto" w:fill="CCEEFF"/>
          </w:tcPr>
          <w:p>
            <w:pPr>
              <w:spacing w:after="0"/>
              <w:rPr>
                <w:sz w:val="15"/>
                <w:szCs w:val="15"/>
                <w:color w:val="auto"/>
              </w:rPr>
            </w:pP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2"/>
        </w:trPr>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0000EE"/>
              </w:rPr>
              <w:t>Risk Factors</w:t>
            </w:r>
          </w:p>
        </w:tc>
        <w:tc>
          <w:tcPr>
            <w:tcW w:w="6920" w:type="dxa"/>
            <w:vAlign w:val="bottom"/>
            <w:gridSpan w:val="9"/>
          </w:tcPr>
          <w:p>
            <w:pPr>
              <w:spacing w:after="0"/>
              <w:rPr>
                <w:sz w:val="15"/>
                <w:szCs w:val="15"/>
                <w:color w:val="auto"/>
              </w:rPr>
            </w:pPr>
          </w:p>
        </w:tc>
        <w:tc>
          <w:tcPr>
            <w:tcW w:w="180" w:type="dxa"/>
            <w:vAlign w:val="bottom"/>
            <w:gridSpan w:val="2"/>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3</w:t>
            </w:r>
          </w:p>
        </w:tc>
        <w:tc>
          <w:tcPr>
            <w:tcW w:w="100" w:type="dxa"/>
            <w:vAlign w:val="bottom"/>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40" w:type="dxa"/>
            <w:vAlign w:val="bottom"/>
            <w:gridSpan w:val="1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Forward-Looking Statements</w:t>
            </w:r>
          </w:p>
        </w:tc>
        <w:tc>
          <w:tcPr>
            <w:tcW w:w="180" w:type="dxa"/>
            <w:vAlign w:val="bottom"/>
            <w:gridSpan w:val="2"/>
            <w:shd w:val="clear" w:color="auto" w:fill="CCEEFF"/>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4</w:t>
            </w:r>
          </w:p>
        </w:tc>
        <w:tc>
          <w:tcPr>
            <w:tcW w:w="100" w:type="dxa"/>
            <w:vAlign w:val="bottom"/>
            <w:shd w:val="clear" w:color="auto" w:fill="CCEEFF"/>
          </w:tcPr>
          <w:p>
            <w:pPr>
              <w:spacing w:after="0"/>
              <w:rPr>
                <w:sz w:val="15"/>
                <w:szCs w:val="15"/>
                <w:color w:val="auto"/>
              </w:rPr>
            </w:pP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2"/>
        </w:trPr>
        <w:tc>
          <w:tcPr>
            <w:tcW w:w="204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Use of Proceeds</w:t>
            </w:r>
          </w:p>
        </w:tc>
        <w:tc>
          <w:tcPr>
            <w:tcW w:w="5800" w:type="dxa"/>
            <w:vAlign w:val="bottom"/>
            <w:gridSpan w:val="3"/>
          </w:tcPr>
          <w:p>
            <w:pPr>
              <w:spacing w:after="0"/>
              <w:rPr>
                <w:sz w:val="15"/>
                <w:szCs w:val="15"/>
                <w:color w:val="auto"/>
              </w:rPr>
            </w:pPr>
          </w:p>
        </w:tc>
        <w:tc>
          <w:tcPr>
            <w:tcW w:w="180" w:type="dxa"/>
            <w:vAlign w:val="bottom"/>
            <w:gridSpan w:val="2"/>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6</w:t>
            </w:r>
          </w:p>
        </w:tc>
        <w:tc>
          <w:tcPr>
            <w:tcW w:w="100" w:type="dxa"/>
            <w:vAlign w:val="bottom"/>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40" w:type="dxa"/>
            <w:vAlign w:val="bottom"/>
            <w:gridSpan w:val="1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Plan of Distribution</w:t>
            </w:r>
          </w:p>
        </w:tc>
        <w:tc>
          <w:tcPr>
            <w:tcW w:w="180" w:type="dxa"/>
            <w:vAlign w:val="bottom"/>
            <w:gridSpan w:val="2"/>
            <w:shd w:val="clear" w:color="auto" w:fill="CCEEFF"/>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7</w:t>
            </w:r>
          </w:p>
        </w:tc>
        <w:tc>
          <w:tcPr>
            <w:tcW w:w="100" w:type="dxa"/>
            <w:vAlign w:val="bottom"/>
            <w:shd w:val="clear" w:color="auto" w:fill="CCEEFF"/>
          </w:tcPr>
          <w:p>
            <w:pPr>
              <w:spacing w:after="0"/>
              <w:rPr>
                <w:sz w:val="15"/>
                <w:szCs w:val="15"/>
                <w:color w:val="auto"/>
              </w:rPr>
            </w:pP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2"/>
        </w:trPr>
        <w:tc>
          <w:tcPr>
            <w:tcW w:w="1380" w:type="dxa"/>
            <w:vAlign w:val="bottom"/>
            <w:gridSpan w:val="6"/>
          </w:tcPr>
          <w:p>
            <w:pPr>
              <w:spacing w:after="0" w:line="182" w:lineRule="exact"/>
              <w:rPr>
                <w:sz w:val="20"/>
                <w:szCs w:val="20"/>
                <w:color w:val="auto"/>
              </w:rPr>
            </w:pPr>
            <w:r>
              <w:rPr>
                <w:rFonts w:ascii="Times New Roman" w:cs="Times New Roman" w:eastAsia="Times New Roman" w:hAnsi="Times New Roman"/>
                <w:sz w:val="17"/>
                <w:szCs w:val="17"/>
                <w:color w:val="0000EE"/>
              </w:rPr>
              <w:t>Legal Matters</w:t>
            </w:r>
          </w:p>
        </w:tc>
        <w:tc>
          <w:tcPr>
            <w:tcW w:w="6460" w:type="dxa"/>
            <w:vAlign w:val="bottom"/>
            <w:gridSpan w:val="6"/>
          </w:tcPr>
          <w:p>
            <w:pPr>
              <w:spacing w:after="0"/>
              <w:rPr>
                <w:sz w:val="15"/>
                <w:szCs w:val="15"/>
                <w:color w:val="auto"/>
              </w:rPr>
            </w:pPr>
          </w:p>
        </w:tc>
        <w:tc>
          <w:tcPr>
            <w:tcW w:w="180" w:type="dxa"/>
            <w:vAlign w:val="bottom"/>
            <w:gridSpan w:val="2"/>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8</w:t>
            </w:r>
          </w:p>
        </w:tc>
        <w:tc>
          <w:tcPr>
            <w:tcW w:w="100" w:type="dxa"/>
            <w:vAlign w:val="bottom"/>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Experts</w:t>
            </w:r>
          </w:p>
        </w:tc>
        <w:tc>
          <w:tcPr>
            <w:tcW w:w="7300" w:type="dxa"/>
            <w:vAlign w:val="bottom"/>
            <w:gridSpan w:val="11"/>
            <w:shd w:val="clear" w:color="auto" w:fill="CCEEFF"/>
          </w:tcPr>
          <w:p>
            <w:pPr>
              <w:spacing w:after="0"/>
              <w:rPr>
                <w:sz w:val="15"/>
                <w:szCs w:val="15"/>
                <w:color w:val="auto"/>
              </w:rPr>
            </w:pPr>
          </w:p>
        </w:tc>
        <w:tc>
          <w:tcPr>
            <w:tcW w:w="180" w:type="dxa"/>
            <w:vAlign w:val="bottom"/>
            <w:gridSpan w:val="2"/>
            <w:shd w:val="clear" w:color="auto" w:fill="CCEEFF"/>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8</w:t>
            </w:r>
          </w:p>
        </w:tc>
        <w:tc>
          <w:tcPr>
            <w:tcW w:w="100" w:type="dxa"/>
            <w:vAlign w:val="bottom"/>
            <w:shd w:val="clear" w:color="auto" w:fill="CCEEFF"/>
          </w:tcPr>
          <w:p>
            <w:pPr>
              <w:spacing w:after="0"/>
              <w:rPr>
                <w:sz w:val="15"/>
                <w:szCs w:val="15"/>
                <w:color w:val="auto"/>
              </w:rPr>
            </w:pPr>
          </w:p>
        </w:tc>
      </w:tr>
      <w:tr>
        <w:trPr>
          <w:trHeight w:val="32"/>
        </w:trPr>
        <w:tc>
          <w:tcPr>
            <w:tcW w:w="5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2"/>
        </w:trPr>
        <w:tc>
          <w:tcPr>
            <w:tcW w:w="7840" w:type="dxa"/>
            <w:vAlign w:val="bottom"/>
            <w:gridSpan w:val="12"/>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Additional Information</w:t>
            </w:r>
          </w:p>
        </w:tc>
        <w:tc>
          <w:tcPr>
            <w:tcW w:w="180" w:type="dxa"/>
            <w:vAlign w:val="bottom"/>
            <w:gridSpan w:val="2"/>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8</w:t>
            </w:r>
          </w:p>
        </w:tc>
        <w:tc>
          <w:tcPr>
            <w:tcW w:w="100" w:type="dxa"/>
            <w:vAlign w:val="bottom"/>
          </w:tcPr>
          <w:p>
            <w:pPr>
              <w:spacing w:after="0"/>
              <w:rPr>
                <w:sz w:val="15"/>
                <w:szCs w:val="15"/>
                <w:color w:val="auto"/>
              </w:rPr>
            </w:pPr>
          </w:p>
        </w:tc>
      </w:tr>
      <w:tr>
        <w:trPr>
          <w:trHeight w:val="32"/>
        </w:trPr>
        <w:tc>
          <w:tcPr>
            <w:tcW w:w="5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40" w:type="dxa"/>
            <w:vAlign w:val="bottom"/>
            <w:gridSpan w:val="1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180" w:type="dxa"/>
            <w:vAlign w:val="bottom"/>
            <w:gridSpan w:val="2"/>
            <w:shd w:val="clear" w:color="auto" w:fill="CCEEFF"/>
          </w:tcPr>
          <w:p>
            <w:pPr>
              <w:jc w:val="center"/>
              <w:ind w:left="15"/>
              <w:spacing w:after="0" w:line="182" w:lineRule="exact"/>
              <w:rPr>
                <w:sz w:val="20"/>
                <w:szCs w:val="20"/>
                <w:color w:val="auto"/>
              </w:rPr>
            </w:pPr>
            <w:r>
              <w:rPr>
                <w:rFonts w:ascii="Times New Roman" w:cs="Times New Roman" w:eastAsia="Times New Roman" w:hAnsi="Times New Roman"/>
                <w:sz w:val="17"/>
                <w:szCs w:val="17"/>
                <w:color w:val="0000EE"/>
                <w:w w:val="93"/>
              </w:rPr>
              <w:t>9</w:t>
            </w:r>
          </w:p>
        </w:tc>
        <w:tc>
          <w:tcPr>
            <w:tcW w:w="100" w:type="dxa"/>
            <w:vAlign w:val="bottom"/>
            <w:shd w:val="clear" w:color="auto" w:fill="CCEEFF"/>
          </w:tcPr>
          <w:p>
            <w:pPr>
              <w:spacing w:after="0"/>
              <w:rPr>
                <w:sz w:val="15"/>
                <w:szCs w:val="15"/>
                <w:color w:val="auto"/>
              </w:rPr>
            </w:pPr>
          </w:p>
        </w:tc>
      </w:tr>
      <w:tr>
        <w:trPr>
          <w:trHeight w:val="71"/>
        </w:trPr>
        <w:tc>
          <w:tcPr>
            <w:tcW w:w="5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9" w:lineRule="exact"/>
        <w:rPr>
          <w:sz w:val="20"/>
          <w:szCs w:val="20"/>
          <w:color w:val="auto"/>
        </w:rPr>
      </w:pPr>
    </w:p>
    <w:p>
      <w:pPr>
        <w:ind w:left="440" w:right="559" w:firstLine="347"/>
        <w:spacing w:after="0" w:line="263"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(the “SEC”), using a “shelf” registration process under the Securities Act. Under this shelf registration statement, we may, from time to time, offer and sell in one or more offerings Common Shares, preference shares, various series of debt securities, warrants to purchase any of such securities and/or units either individually or in combination with other securities. Under this prospectus, we may offer Common Shares having an aggregate offering price of up to $400.0 million. See “Explanatory Note.”</w:t>
      </w:r>
    </w:p>
    <w:p>
      <w:pPr>
        <w:spacing w:after="0" w:line="68" w:lineRule="exact"/>
        <w:rPr>
          <w:sz w:val="20"/>
          <w:szCs w:val="20"/>
          <w:color w:val="auto"/>
        </w:rPr>
      </w:pPr>
    </w:p>
    <w:p>
      <w:pPr>
        <w:ind w:left="440" w:right="639" w:firstLine="347"/>
        <w:spacing w:after="0" w:line="265" w:lineRule="auto"/>
        <w:rPr>
          <w:sz w:val="20"/>
          <w:szCs w:val="20"/>
          <w:color w:val="auto"/>
        </w:rPr>
      </w:pPr>
      <w:r>
        <w:rPr>
          <w:rFonts w:ascii="Times New Roman" w:cs="Times New Roman" w:eastAsia="Times New Roman" w:hAnsi="Times New Roman"/>
          <w:sz w:val="17"/>
          <w:szCs w:val="17"/>
          <w:color w:val="auto"/>
        </w:rPr>
        <w:t>This prospectus relates to the offering of our Common Shares. Before buying any of the Common Shares that we are offering, we urge you to carefully read this prospectus and all of the information incorporated by reference herein, as well as the additional information described under the sections titled “Where You Can Find Additional Information” and “Incorporation of Certain Information by Reference.” These documents contain important information that you should consider when making your investment decision.</w:t>
      </w:r>
    </w:p>
    <w:p>
      <w:pPr>
        <w:spacing w:after="0" w:line="66" w:lineRule="exact"/>
        <w:rPr>
          <w:sz w:val="20"/>
          <w:szCs w:val="20"/>
          <w:color w:val="auto"/>
        </w:rPr>
      </w:pPr>
    </w:p>
    <w:p>
      <w:pPr>
        <w:ind w:left="440" w:right="499" w:firstLine="347"/>
        <w:spacing w:after="0" w:line="261" w:lineRule="auto"/>
        <w:rPr>
          <w:sz w:val="20"/>
          <w:szCs w:val="20"/>
          <w:color w:val="auto"/>
        </w:rPr>
      </w:pPr>
      <w:r>
        <w:rPr>
          <w:rFonts w:ascii="Times New Roman" w:cs="Times New Roman" w:eastAsia="Times New Roman" w:hAnsi="Times New Roman"/>
          <w:sz w:val="17"/>
          <w:szCs w:val="17"/>
          <w:color w:val="auto"/>
        </w:rPr>
        <w:t>We provide information to you about this offering of Common Shares in this prospectus, which describes the specific details regarding this offering. If information in this prospectus is inconsistent with the documents incorporated by reference in this prospectus filed prior to the date of this prospectus, you should rely on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73" w:lineRule="exact"/>
        <w:rPr>
          <w:sz w:val="20"/>
          <w:szCs w:val="20"/>
          <w:color w:val="auto"/>
        </w:rPr>
      </w:pPr>
    </w:p>
    <w:p>
      <w:pPr>
        <w:ind w:left="440" w:right="459" w:firstLine="347"/>
        <w:spacing w:after="0" w:line="263" w:lineRule="auto"/>
        <w:rPr>
          <w:sz w:val="20"/>
          <w:szCs w:val="20"/>
          <w:color w:val="auto"/>
        </w:rPr>
      </w:pPr>
      <w:r>
        <w:rPr>
          <w:rFonts w:ascii="Times New Roman" w:cs="Times New Roman" w:eastAsia="Times New Roman" w:hAnsi="Times New Roman"/>
          <w:sz w:val="17"/>
          <w:szCs w:val="17"/>
          <w:color w:val="auto"/>
        </w:rPr>
        <w:t>Neither we nor TD Cowen has authorized anyone to provide you with any information other than that contained or incorporated by reference in this prospectus, along with the information contained in any free writing prospectuses we have authorized for use in connection with this offering. Neither we nor TD Cowen takes any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68" w:lineRule="exact"/>
        <w:rPr>
          <w:sz w:val="20"/>
          <w:szCs w:val="20"/>
          <w:color w:val="auto"/>
        </w:rPr>
      </w:pPr>
    </w:p>
    <w:p>
      <w:pPr>
        <w:ind w:left="440" w:right="559" w:firstLine="347"/>
        <w:spacing w:after="0" w:line="265" w:lineRule="auto"/>
        <w:rPr>
          <w:sz w:val="20"/>
          <w:szCs w:val="20"/>
          <w:color w:val="auto"/>
        </w:rPr>
      </w:pPr>
      <w:r>
        <w:rPr>
          <w:rFonts w:ascii="Times New Roman" w:cs="Times New Roman" w:eastAsia="Times New Roman" w:hAnsi="Times New Roman"/>
          <w:sz w:val="17"/>
          <w:szCs w:val="17"/>
          <w:color w:val="auto"/>
        </w:rPr>
        <w:t>The information appearing in this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related free writing prospectus, or any sale of securities. Our business, financial condition, results of operations and prospects may have changed since those dates.</w:t>
      </w:r>
    </w:p>
    <w:p>
      <w:pPr>
        <w:spacing w:after="0" w:line="66" w:lineRule="exact"/>
        <w:rPr>
          <w:sz w:val="20"/>
          <w:szCs w:val="20"/>
          <w:color w:val="auto"/>
        </w:rPr>
      </w:pPr>
    </w:p>
    <w:p>
      <w:pPr>
        <w:ind w:left="440" w:right="499" w:firstLine="347"/>
        <w:spacing w:after="0" w:line="260" w:lineRule="auto"/>
        <w:rPr>
          <w:sz w:val="20"/>
          <w:szCs w:val="20"/>
          <w:color w:val="auto"/>
        </w:rPr>
      </w:pPr>
      <w:r>
        <w:rPr>
          <w:rFonts w:ascii="Times New Roman" w:cs="Times New Roman" w:eastAsia="Times New Roman" w:hAnsi="Times New Roman"/>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herein and in any related free writing prospectus, and under similar headings in the other documents that are incorporated by reference into this prospectus. Accordingly, investors should not place undue reliance on this information.</w:t>
      </w:r>
    </w:p>
    <w:p>
      <w:pPr>
        <w:spacing w:after="0" w:line="71" w:lineRule="exact"/>
        <w:rPr>
          <w:sz w:val="20"/>
          <w:szCs w:val="20"/>
          <w:color w:val="auto"/>
        </w:rPr>
      </w:pPr>
    </w:p>
    <w:p>
      <w:pPr>
        <w:ind w:left="440" w:right="539" w:firstLine="347"/>
        <w:spacing w:after="0" w:line="268" w:lineRule="auto"/>
        <w:rPr>
          <w:sz w:val="20"/>
          <w:szCs w:val="20"/>
          <w:color w:val="auto"/>
        </w:rPr>
      </w:pPr>
      <w:r>
        <w:rPr>
          <w:rFonts w:ascii="Times New Roman" w:cs="Times New Roman" w:eastAsia="Times New Roman" w:hAnsi="Times New Roman"/>
          <w:sz w:val="17"/>
          <w:szCs w:val="17"/>
          <w:color w:val="auto"/>
        </w:rPr>
        <w:t>The filing of the registration statement of which this prospectus forms a part is not indicative of any current intention to offer or sell securities. As of the date of the registration statement of which this prospectus forms a part, we have an active share repurchase program in place and may or may not utilize the registration statement for the foreseeable future.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4" w:name="page35"/>
    <w:bookmarkEnd w:id="34"/>
    <w:p>
      <w:pPr>
        <w:ind w:left="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84455</wp:posOffset>
            </wp:positionV>
            <wp:extent cx="5448300" cy="5836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448300" cy="58362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17" w:lineRule="exact"/>
        <w:rPr>
          <w:sz w:val="20"/>
          <w:szCs w:val="20"/>
          <w:color w:val="auto"/>
        </w:rPr>
      </w:pPr>
    </w:p>
    <w:p>
      <w:pPr>
        <w:ind w:left="460" w:right="539" w:firstLine="347"/>
        <w:spacing w:after="0" w:line="25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 Unless the context indicates otherwise, references in this prospectus to the “Company,” “Roivant,” “we,” “us,” “our” and similar terms refer to Roivant Sciences Ltd., a Bermuda exempted limited company, and its consolidated subsidiaries. Our fiscal year ends on March 31.</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3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left="460" w:right="479" w:firstLine="347"/>
        <w:spacing w:after="0" w:line="260" w:lineRule="auto"/>
        <w:rPr>
          <w:sz w:val="20"/>
          <w:szCs w:val="20"/>
          <w:color w:val="auto"/>
        </w:rPr>
      </w:pPr>
      <w:r>
        <w:rPr>
          <w:rFonts w:ascii="Times New Roman" w:cs="Times New Roman" w:eastAsia="Times New Roman" w:hAnsi="Times New Roman"/>
          <w:sz w:val="17"/>
          <w:szCs w:val="17"/>
          <w:color w:val="auto"/>
        </w:rPr>
        <w:t>Roivant is a biopharmaceutical company that aims to improve the lives of patients by accelerating the development and commercialization of medicines that matter. Roivant’s pipeline includes brepocitinib, a potent small molecule inhibitor of TYK2 and JAK1 in development for the treatment of dermatomyositis, non-infectious uveitis and cutaneous sarcoidosis;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9" w:lineRule="exact"/>
        <w:rPr>
          <w:sz w:val="20"/>
          <w:szCs w:val="20"/>
          <w:color w:val="auto"/>
        </w:rPr>
      </w:pPr>
    </w:p>
    <w:p>
      <w:pPr>
        <w:jc w:val="both"/>
        <w:ind w:left="460" w:right="459" w:firstLine="347"/>
        <w:spacing w:after="0" w:line="274" w:lineRule="auto"/>
        <w:rPr>
          <w:sz w:val="20"/>
          <w:szCs w:val="20"/>
          <w:color w:val="auto"/>
        </w:rPr>
      </w:pPr>
      <w:r>
        <w:rPr>
          <w:rFonts w:ascii="Times New Roman" w:cs="Times New Roman" w:eastAsia="Times New Roman" w:hAnsi="Times New Roman"/>
          <w:sz w:val="17"/>
          <w:szCs w:val="17"/>
          <w:color w:val="auto"/>
        </w:rPr>
        <w:t>We were registered as an exempted limited company in Bermuda in 2014, under the name Valor Biotechnology Ltd. In November 2014 we changed our name to Roivant Sciences Ltd. Our principal executive offices are located at 7th Floor, 50 Broadway, London SW1H 0DB, United Kingdom. Our telephone number is +44 207 400 3347.</w:t>
      </w:r>
    </w:p>
    <w:p>
      <w:pPr>
        <w:spacing w:after="0" w:line="59" w:lineRule="exact"/>
        <w:rPr>
          <w:sz w:val="20"/>
          <w:szCs w:val="20"/>
          <w:color w:val="auto"/>
        </w:rPr>
      </w:pPr>
    </w:p>
    <w:p>
      <w:pPr>
        <w:jc w:val="both"/>
        <w:ind w:left="460" w:right="479" w:firstLine="347"/>
        <w:spacing w:after="0" w:line="274" w:lineRule="auto"/>
        <w:rPr>
          <w:sz w:val="20"/>
          <w:szCs w:val="20"/>
          <w:color w:val="auto"/>
        </w:rPr>
      </w:pPr>
      <w:r>
        <w:rPr>
          <w:rFonts w:ascii="Times New Roman" w:cs="Times New Roman" w:eastAsia="Times New Roman" w:hAnsi="Times New Roman"/>
          <w:sz w:val="17"/>
          <w:szCs w:val="17"/>
          <w:color w:val="auto"/>
        </w:rPr>
        <w:t>Our web page address is https://roivant.com.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Nasdaq Global Select Market Listing</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Our Common Shares are listed on the Nasdaq Global Select Market under the symbol “ROIV.”</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5" w:name="page36"/>
    <w:bookmarkEnd w:id="35"/>
    <w:p>
      <w:pPr>
        <w:ind w:left="2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92075</wp:posOffset>
            </wp:positionV>
            <wp:extent cx="5448300" cy="5316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448300" cy="53162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Common Shares offered by us</w:t>
      </w:r>
    </w:p>
    <w:p>
      <w:pPr>
        <w:spacing w:after="0" w:line="364" w:lineRule="exact"/>
        <w:rPr>
          <w:sz w:val="20"/>
          <w:szCs w:val="20"/>
          <w:color w:val="auto"/>
        </w:rPr>
      </w:pPr>
    </w:p>
    <w:p>
      <w:pPr>
        <w:ind w:left="640" w:hanging="172"/>
        <w:spacing w:after="0" w:line="293" w:lineRule="auto"/>
        <w:rPr>
          <w:sz w:val="20"/>
          <w:szCs w:val="20"/>
          <w:color w:val="auto"/>
        </w:rPr>
      </w:pPr>
      <w:r>
        <w:rPr>
          <w:rFonts w:ascii="Times New Roman" w:cs="Times New Roman" w:eastAsia="Times New Roman" w:hAnsi="Times New Roman"/>
          <w:sz w:val="17"/>
          <w:szCs w:val="17"/>
          <w:color w:val="auto"/>
        </w:rPr>
        <w:t>Common Shares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Manner of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32" w:lineRule="exact"/>
        <w:rPr>
          <w:sz w:val="20"/>
          <w:szCs w:val="20"/>
          <w:color w:val="auto"/>
        </w:rPr>
      </w:pPr>
    </w:p>
    <w:p>
      <w:pPr>
        <w:ind w:left="760" w:right="619"/>
        <w:spacing w:after="0" w:line="293" w:lineRule="auto"/>
        <w:rPr>
          <w:sz w:val="20"/>
          <w:szCs w:val="20"/>
          <w:color w:val="auto"/>
        </w:rPr>
      </w:pPr>
      <w:r>
        <w:rPr>
          <w:rFonts w:ascii="Times New Roman" w:cs="Times New Roman" w:eastAsia="Times New Roman" w:hAnsi="Times New Roman"/>
          <w:sz w:val="17"/>
          <w:szCs w:val="17"/>
          <w:color w:val="auto"/>
        </w:rPr>
        <w:t>Common Shares having an aggregate offering price of up to $400.0 million.</w:t>
      </w:r>
    </w:p>
    <w:p>
      <w:pPr>
        <w:spacing w:after="0" w:line="290" w:lineRule="exact"/>
        <w:rPr>
          <w:sz w:val="20"/>
          <w:szCs w:val="20"/>
          <w:color w:val="auto"/>
        </w:rPr>
      </w:pPr>
    </w:p>
    <w:p>
      <w:pPr>
        <w:ind w:left="760" w:right="619"/>
        <w:spacing w:after="0" w:line="260" w:lineRule="auto"/>
        <w:rPr>
          <w:sz w:val="20"/>
          <w:szCs w:val="20"/>
          <w:color w:val="auto"/>
        </w:rPr>
      </w:pPr>
      <w:r>
        <w:rPr>
          <w:rFonts w:ascii="Times New Roman" w:cs="Times New Roman" w:eastAsia="Times New Roman" w:hAnsi="Times New Roman"/>
          <w:sz w:val="17"/>
          <w:szCs w:val="17"/>
          <w:color w:val="auto"/>
        </w:rPr>
        <w:t>Up to 707,626,657 Common Shares (as more fully described in the notes following this table), assuming sales of 25,396,825 Common Shares in this offering at an offering price of $15.75 per share, the last reported sale price of our Common Shares on the Nasdaq on October 1, 2025. The actual number of shares issued will vary depending on the sales price under this offering.</w:t>
      </w:r>
    </w:p>
    <w:p>
      <w:pPr>
        <w:spacing w:after="0" w:line="101" w:lineRule="exact"/>
        <w:rPr>
          <w:sz w:val="20"/>
          <w:szCs w:val="20"/>
          <w:color w:val="auto"/>
        </w:rPr>
      </w:pPr>
    </w:p>
    <w:p>
      <w:pPr>
        <w:ind w:left="760" w:right="499"/>
        <w:spacing w:after="0" w:line="274" w:lineRule="auto"/>
        <w:rPr>
          <w:sz w:val="20"/>
          <w:szCs w:val="20"/>
          <w:color w:val="auto"/>
        </w:rPr>
      </w:pPr>
      <w:r>
        <w:rPr>
          <w:rFonts w:ascii="Times New Roman" w:cs="Times New Roman" w:eastAsia="Times New Roman" w:hAnsi="Times New Roman"/>
          <w:sz w:val="17"/>
          <w:szCs w:val="17"/>
          <w:color w:val="auto"/>
        </w:rPr>
        <w:t xml:space="preserve">“At the market offering” that may be made from time to time through our sales agent, TD Cowen. See “Plan of Distribution” on page </w:t>
      </w:r>
      <w:r>
        <w:rPr>
          <w:rFonts w:ascii="Times New Roman" w:cs="Times New Roman" w:eastAsia="Times New Roman" w:hAnsi="Times New Roman"/>
          <w:sz w:val="17"/>
          <w:szCs w:val="17"/>
          <w:u w:val="single" w:color="auto"/>
          <w:color w:val="0000EE"/>
        </w:rPr>
        <w:t>7</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sectPr>
          <w:pgSz w:w="11900" w:h="16838" w:orient="portrait"/>
          <w:cols w:equalWidth="0" w:num="2">
            <w:col w:w="3500" w:space="360"/>
            <w:col w:w="5159"/>
          </w:cols>
          <w:pgMar w:left="1440" w:top="258" w:right="1440" w:bottom="1440" w:gutter="0" w:footer="0" w:header="0"/>
          <w:type w:val="continuous"/>
        </w:sectPr>
      </w:pPr>
    </w:p>
    <w:p>
      <w:pPr>
        <w:ind w:left="460"/>
        <w:spacing w:after="0"/>
        <w:tabs>
          <w:tab w:leader="none" w:pos="4600" w:val="left"/>
        </w:tabs>
        <w:rPr>
          <w:sz w:val="20"/>
          <w:szCs w:val="20"/>
          <w:color w:val="auto"/>
        </w:rPr>
      </w:pPr>
      <w:r>
        <w:rPr>
          <w:rFonts w:ascii="Times New Roman" w:cs="Times New Roman" w:eastAsia="Times New Roman" w:hAnsi="Times New Roman"/>
          <w:sz w:val="17"/>
          <w:szCs w:val="17"/>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the sale of any</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securities offered under this prospectus for working</w:t>
      </w:r>
    </w:p>
    <w:p>
      <w:pPr>
        <w:spacing w:after="0" w:line="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capital and general corporate purposes.</w:t>
      </w:r>
    </w:p>
    <w:p>
      <w:pPr>
        <w:spacing w:after="0" w:line="137" w:lineRule="exact"/>
        <w:rPr>
          <w:sz w:val="20"/>
          <w:szCs w:val="20"/>
          <w:color w:val="auto"/>
        </w:rPr>
      </w:pPr>
    </w:p>
    <w:p>
      <w:pPr>
        <w:ind w:left="460"/>
        <w:spacing w:after="0"/>
        <w:tabs>
          <w:tab w:leader="none" w:pos="4600" w:val="left"/>
        </w:tabs>
        <w:rPr>
          <w:sz w:val="20"/>
          <w:szCs w:val="20"/>
          <w:color w:val="auto"/>
        </w:rPr>
      </w:pPr>
      <w:r>
        <w:rPr>
          <w:rFonts w:ascii="Times New Roman" w:cs="Times New Roman" w:eastAsia="Times New Roman" w:hAnsi="Times New Roman"/>
          <w:sz w:val="17"/>
          <w:szCs w:val="17"/>
          <w:color w:val="auto"/>
        </w:rPr>
        <w:t>Risk factors</w:t>
      </w:r>
      <w:r>
        <w:rPr>
          <w:sz w:val="20"/>
          <w:szCs w:val="20"/>
          <w:color w:val="auto"/>
        </w:rPr>
        <w:tab/>
      </w:r>
      <w:r>
        <w:rPr>
          <w:rFonts w:ascii="Times New Roman" w:cs="Times New Roman" w:eastAsia="Times New Roman" w:hAnsi="Times New Roman"/>
          <w:sz w:val="17"/>
          <w:szCs w:val="17"/>
          <w:color w:val="auto"/>
        </w:rPr>
        <w:t>Investment in our securities involves a high degree of</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risk. You should read the “Risk Factors” of this</w:t>
      </w:r>
    </w:p>
    <w:p>
      <w:pPr>
        <w:spacing w:after="0" w:line="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prospectus and in the documents incorporated by</w:t>
      </w:r>
    </w:p>
    <w:p>
      <w:pPr>
        <w:spacing w:after="0" w:line="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reference into this prospectus for a discussion of factors</w:t>
      </w:r>
    </w:p>
    <w:p>
      <w:pPr>
        <w:spacing w:after="0" w:line="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to consider before deciding to purchase our Common</w:t>
      </w:r>
    </w:p>
    <w:p>
      <w:pPr>
        <w:spacing w:after="0" w:line="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Shares.</w:t>
      </w:r>
    </w:p>
    <w:p>
      <w:pPr>
        <w:spacing w:after="0" w:line="124" w:lineRule="exact"/>
        <w:rPr>
          <w:sz w:val="20"/>
          <w:szCs w:val="20"/>
          <w:color w:val="auto"/>
        </w:rPr>
      </w:pPr>
    </w:p>
    <w:p>
      <w:pPr>
        <w:ind w:left="460"/>
        <w:spacing w:after="0"/>
        <w:tabs>
          <w:tab w:leader="none" w:pos="4600" w:val="left"/>
        </w:tabs>
        <w:rPr>
          <w:sz w:val="20"/>
          <w:szCs w:val="20"/>
          <w:color w:val="auto"/>
        </w:rPr>
      </w:pPr>
      <w:r>
        <w:rPr>
          <w:rFonts w:ascii="Times New Roman" w:cs="Times New Roman" w:eastAsia="Times New Roman" w:hAnsi="Times New Roman"/>
          <w:sz w:val="17"/>
          <w:szCs w:val="17"/>
          <w:color w:val="auto"/>
        </w:rPr>
        <w:t>Nasdaq Global Select Market Symbol</w:t>
      </w:r>
      <w:r>
        <w:rPr>
          <w:sz w:val="20"/>
          <w:szCs w:val="20"/>
          <w:color w:val="auto"/>
        </w:rPr>
        <w:tab/>
      </w:r>
      <w:r>
        <w:rPr>
          <w:rFonts w:ascii="Times New Roman" w:cs="Times New Roman" w:eastAsia="Times New Roman" w:hAnsi="Times New Roman"/>
          <w:sz w:val="17"/>
          <w:szCs w:val="17"/>
          <w:color w:val="auto"/>
        </w:rPr>
        <w:t>Our Common Shares are listed on the Nasdaq Global</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Select Market under the trading symbol “ROIV.”</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above discussion and table are based on 682,229,832 Common Shares issued and outstanding as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June 30, 2025, and exclude:</w:t>
      </w:r>
    </w:p>
    <w:p>
      <w:pPr>
        <w:spacing w:after="0" w:line="98" w:lineRule="exact"/>
        <w:rPr>
          <w:sz w:val="20"/>
          <w:szCs w:val="20"/>
          <w:color w:val="auto"/>
        </w:rPr>
      </w:pPr>
    </w:p>
    <w:p>
      <w:pPr>
        <w:ind w:left="1140" w:right="919" w:hanging="331"/>
        <w:spacing w:after="0" w:line="293"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138,728,031 Common Shares issuable upon the exercise of options outstanding as of June 30, 2025, having a weighted average exercise price of $8.70 per share; and</w:t>
      </w:r>
    </w:p>
    <w:p>
      <w:pPr>
        <w:spacing w:after="0" w:line="43" w:lineRule="exact"/>
        <w:rPr>
          <w:rFonts w:ascii="Times New Roman" w:cs="Times New Roman" w:eastAsia="Times New Roman" w:hAnsi="Times New Roman"/>
          <w:sz w:val="17"/>
          <w:szCs w:val="17"/>
          <w:color w:val="auto"/>
        </w:rPr>
      </w:pPr>
    </w:p>
    <w:p>
      <w:pPr>
        <w:ind w:left="1140" w:right="659" w:hanging="331"/>
        <w:spacing w:after="0" w:line="293" w:lineRule="auto"/>
        <w:tabs>
          <w:tab w:leader="none" w:pos="11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72,009,936 Common Shares issuable upon settlement of outstanding restricted stock units, performance restricted stock units and capped value appreciation rights as of June 30, 2025.</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36" w:name="page37"/>
    <w:bookmarkEnd w:id="3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ind w:left="440" w:right="539" w:firstLine="347"/>
        <w:spacing w:after="0" w:line="259" w:lineRule="auto"/>
        <w:rPr>
          <w:sz w:val="20"/>
          <w:szCs w:val="20"/>
          <w:color w:val="auto"/>
        </w:rPr>
      </w:pPr>
      <w:r>
        <w:rPr>
          <w:rFonts w:ascii="Times New Roman" w:cs="Times New Roman" w:eastAsia="Times New Roman" w:hAnsi="Times New Roman"/>
          <w:sz w:val="17"/>
          <w:szCs w:val="17"/>
          <w:i w:val="1"/>
          <w:iCs w:val="1"/>
          <w:color w:val="auto"/>
        </w:rPr>
        <w:t>Our business and investing in our securities involves a high degree of risk. You should carefully consider the risks described below and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You should also consider the risks, uncertainties and other information set forth in the reports and other materials filed or furnished by us and our majority-controlled subsidiary, Immunovant, Inc. (“Immunovant”), with the SEC. The risks identified in these SEC filings could have a material and adverse impact on our business, prospects, results of operations, financial condition and cash flows. If any such events were to happen, the trading price of our Common Shares could decline, and you could lose all or part of your investment. Please also read carefully the section below titled “Forward-Looking Statements.”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Additional Risks Related to This Offering</w:t>
      </w:r>
    </w:p>
    <w:p>
      <w:pPr>
        <w:spacing w:after="0" w:line="115" w:lineRule="exact"/>
        <w:rPr>
          <w:sz w:val="20"/>
          <w:szCs w:val="20"/>
          <w:color w:val="auto"/>
        </w:rPr>
      </w:pPr>
    </w:p>
    <w:p>
      <w:pPr>
        <w:ind w:left="440" w:right="75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you purchase our Common Shares in this offering, you may experience dilution and may experience future dilution as a result of future equity offerings.</w:t>
      </w:r>
    </w:p>
    <w:p>
      <w:pPr>
        <w:spacing w:after="0" w:line="39" w:lineRule="exact"/>
        <w:rPr>
          <w:sz w:val="20"/>
          <w:szCs w:val="20"/>
          <w:color w:val="auto"/>
        </w:rPr>
      </w:pPr>
    </w:p>
    <w:p>
      <w:pPr>
        <w:ind w:left="440" w:right="539" w:firstLine="347"/>
        <w:spacing w:after="0" w:line="259" w:lineRule="auto"/>
        <w:rPr>
          <w:sz w:val="20"/>
          <w:szCs w:val="20"/>
          <w:color w:val="auto"/>
        </w:rPr>
      </w:pPr>
      <w:r>
        <w:rPr>
          <w:rFonts w:ascii="Times New Roman" w:cs="Times New Roman" w:eastAsia="Times New Roman" w:hAnsi="Times New Roman"/>
          <w:sz w:val="17"/>
          <w:szCs w:val="17"/>
          <w:color w:val="auto"/>
        </w:rPr>
        <w:t>The offering price per share in this offering may exceed the net tangible book value per share of our Common Shares issued and outstanding prior to this offering. Purchasers of the shares we sell in this offering, as well as our existing shareholders, will experience significant dilution if we sell shares at prices significantly below the price at which they invest. In addition, in order to raise additional capital, we may in the future offer additional Common Shares or other securities convertible into or exchangeable for our Common Shares. We cannot assure you that we will be able to sell Common Shares or other securities in any other offering at a price per share that is equal to or greater than the price per share paid by investors in this offering, and investors purchasing Common Shares or other securities in the future could have rights superior to existing shareholders. The price per share at which we sell additional Common Shares or other securities convertible into or exchangeable for our Common Shares in future transactions may be higher or lower than the price per share in this offering.</w:t>
      </w:r>
    </w:p>
    <w:p>
      <w:pPr>
        <w:spacing w:after="0" w:line="176" w:lineRule="exact"/>
        <w:rPr>
          <w:sz w:val="20"/>
          <w:szCs w:val="20"/>
          <w:color w:val="auto"/>
        </w:rPr>
      </w:pPr>
    </w:p>
    <w:p>
      <w:pPr>
        <w:ind w:left="440" w:right="77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management might apply the net proceeds from this offering in ways with which you do not agree and in ways that may impair the value of your investment.</w:t>
      </w:r>
    </w:p>
    <w:p>
      <w:pPr>
        <w:spacing w:after="0" w:line="39" w:lineRule="exact"/>
        <w:rPr>
          <w:sz w:val="20"/>
          <w:szCs w:val="20"/>
          <w:color w:val="auto"/>
        </w:rPr>
      </w:pPr>
    </w:p>
    <w:p>
      <w:pPr>
        <w:ind w:left="440" w:right="499" w:firstLine="347"/>
        <w:spacing w:after="0" w:line="263"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for working capital and general corporate purposes.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Shares.</w:t>
      </w:r>
    </w:p>
    <w:p>
      <w:pPr>
        <w:spacing w:after="0" w:line="168" w:lineRule="exact"/>
        <w:rPr>
          <w:sz w:val="20"/>
          <w:szCs w:val="20"/>
          <w:color w:val="auto"/>
        </w:rPr>
      </w:pPr>
    </w:p>
    <w:p>
      <w:pPr>
        <w:ind w:left="44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Common Shares we will sell under the Sales Agreement, or the gross proceeds resulting from those sales.</w:t>
      </w:r>
    </w:p>
    <w:p>
      <w:pPr>
        <w:spacing w:after="0" w:line="39" w:lineRule="exact"/>
        <w:rPr>
          <w:sz w:val="20"/>
          <w:szCs w:val="20"/>
          <w:color w:val="auto"/>
        </w:rPr>
      </w:pPr>
    </w:p>
    <w:p>
      <w:pPr>
        <w:ind w:left="440" w:right="599" w:firstLine="347"/>
        <w:spacing w:after="0" w:line="260"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instructions to TD Cowen to sell Common Shares at any time throughout the term of the Sales Agreement. The number of Common Shares that are sold through TD Cowen after our instruction will fluctuate based on a number of factors, including the market price of our Common Shares during the sales period, the limits we set with TD Cowen in any instruction to sell Common Shares, and the demand for our Common Shares during the sales period. Because the price per share of each share sold will fluctuate during this offering, it is not currently possible to predict the number of Common Shares that will be sold or the gross proceeds to be raised in connection with those sales.</w:t>
      </w:r>
    </w:p>
    <w:p>
      <w:pPr>
        <w:spacing w:after="0" w:line="175" w:lineRule="exact"/>
        <w:rPr>
          <w:sz w:val="20"/>
          <w:szCs w:val="20"/>
          <w:color w:val="auto"/>
        </w:rPr>
      </w:pPr>
    </w:p>
    <w:p>
      <w:pPr>
        <w:ind w:left="440" w:right="7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Common Shares offered hereby will be sold in “at the market offerings,” and investors who buy Common Shares at different times will likely pay different prices.</w:t>
      </w:r>
    </w:p>
    <w:p>
      <w:pPr>
        <w:spacing w:after="0" w:line="39" w:lineRule="exact"/>
        <w:rPr>
          <w:sz w:val="20"/>
          <w:szCs w:val="20"/>
          <w:color w:val="auto"/>
        </w:rPr>
      </w:pPr>
    </w:p>
    <w:p>
      <w:pPr>
        <w:ind w:left="440" w:right="579" w:firstLine="347"/>
        <w:spacing w:after="0" w:line="263" w:lineRule="auto"/>
        <w:rPr>
          <w:sz w:val="20"/>
          <w:szCs w:val="20"/>
          <w:color w:val="auto"/>
        </w:rPr>
      </w:pPr>
      <w:r>
        <w:rPr>
          <w:rFonts w:ascii="Times New Roman" w:cs="Times New Roman" w:eastAsia="Times New Roman" w:hAnsi="Times New Roman"/>
          <w:sz w:val="17"/>
          <w:szCs w:val="17"/>
          <w:color w:val="auto"/>
        </w:rPr>
        <w:t>Investors who purchase Common Shares in this offering at different times will likely pay different prices, and so may experience different levels of dilution and different outcomes in their investment results. We will have discretion, subject to market demand, to vary the timing, prices, and numbers of Common Shares sold in this offering. In addition, there may not be any minimum or maximum sales price for Common Shares to be sold in this offering. Investors may experience a decline in the value of the Common Shares they purchase in this offering as a result of sales made at prices lower than the prices they paid.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left="440" w:right="499" w:firstLine="347"/>
        <w:spacing w:after="0" w:line="260" w:lineRule="auto"/>
        <w:rPr>
          <w:sz w:val="20"/>
          <w:szCs w:val="20"/>
          <w:color w:val="auto"/>
        </w:rPr>
      </w:pPr>
      <w:r>
        <w:rPr>
          <w:rFonts w:ascii="Times New Roman" w:cs="Times New Roman" w:eastAsia="Times New Roman" w:hAnsi="Times New Roman"/>
          <w:sz w:val="17"/>
          <w:szCs w:val="17"/>
          <w:color w:val="auto"/>
        </w:rPr>
        <w:t>This prospectus and the documents we have filed with the SEC that are incorporated by reference contain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71" w:lineRule="exact"/>
        <w:rPr>
          <w:sz w:val="20"/>
          <w:szCs w:val="20"/>
          <w:color w:val="auto"/>
        </w:rPr>
      </w:pPr>
    </w:p>
    <w:p>
      <w:pPr>
        <w:ind w:left="440" w:right="479" w:firstLine="347"/>
        <w:spacing w:after="0" w:line="263"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68" w:lineRule="exact"/>
        <w:rPr>
          <w:sz w:val="20"/>
          <w:szCs w:val="20"/>
          <w:color w:val="auto"/>
        </w:rPr>
      </w:pPr>
    </w:p>
    <w:p>
      <w:pPr>
        <w:ind w:left="1140" w:right="161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relatively limited operating history and the inherent uncertainties and risks involved in biopharmaceutical product development and commercialization;</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acquire, in-license or discover new product candidates;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allocation of capital and personnel across our businesses;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Vant structure;</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future payments we may owe in connection with our product candidates;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divestitures and other strategic transactions;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our cash, cash equivalents and marketable securities;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future need for additional capital to fund our operations;</w:t>
      </w:r>
    </w:p>
    <w:p>
      <w:pPr>
        <w:spacing w:after="0" w:line="116" w:lineRule="exact"/>
        <w:rPr>
          <w:rFonts w:ascii="Times New Roman" w:cs="Times New Roman" w:eastAsia="Times New Roman" w:hAnsi="Times New Roman"/>
          <w:sz w:val="17"/>
          <w:szCs w:val="17"/>
          <w:color w:val="auto"/>
        </w:rPr>
      </w:pPr>
    </w:p>
    <w:p>
      <w:pPr>
        <w:ind w:left="1140" w:right="71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and preclinical studies, which are very expensive, time-consuming, difficult to design and implement and involve uncertain outcomes;</w:t>
      </w:r>
    </w:p>
    <w:p>
      <w:pPr>
        <w:spacing w:after="0" w:line="43" w:lineRule="exact"/>
        <w:rPr>
          <w:rFonts w:ascii="Times New Roman" w:cs="Times New Roman" w:eastAsia="Times New Roman" w:hAnsi="Times New Roman"/>
          <w:sz w:val="17"/>
          <w:szCs w:val="17"/>
          <w:color w:val="auto"/>
        </w:rPr>
      </w:pPr>
    </w:p>
    <w:p>
      <w:pPr>
        <w:ind w:left="1140" w:right="83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uncertain and rapidly changing global and regional economic, political and public health conditions;</w:t>
      </w:r>
    </w:p>
    <w:p>
      <w:pPr>
        <w:spacing w:after="0" w:line="43" w:lineRule="exact"/>
        <w:rPr>
          <w:rFonts w:ascii="Times New Roman" w:cs="Times New Roman" w:eastAsia="Times New Roman" w:hAnsi="Times New Roman"/>
          <w:sz w:val="17"/>
          <w:szCs w:val="17"/>
          <w:color w:val="auto"/>
        </w:rPr>
      </w:pPr>
    </w:p>
    <w:p>
      <w:pPr>
        <w:ind w:left="1140" w:right="103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designing and implement clinical trials and preclinical studies is very expensive, time-consuming and difficult;</w:t>
      </w:r>
    </w:p>
    <w:p>
      <w:pPr>
        <w:spacing w:after="0" w:line="43" w:lineRule="exact"/>
        <w:rPr>
          <w:rFonts w:ascii="Times New Roman" w:cs="Times New Roman" w:eastAsia="Times New Roman" w:hAnsi="Times New Roman"/>
          <w:sz w:val="17"/>
          <w:szCs w:val="17"/>
          <w:color w:val="auto"/>
        </w:rPr>
      </w:pPr>
    </w:p>
    <w:p>
      <w:pPr>
        <w:ind w:left="1140" w:right="85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we may encounter enrolling and retaining patients in clinical trials, which could adversely affect or otherwise delay clinical development activities;</w:t>
      </w:r>
    </w:p>
    <w:p>
      <w:pPr>
        <w:spacing w:after="0" w:line="43" w:lineRule="exact"/>
        <w:rPr>
          <w:rFonts w:ascii="Times New Roman" w:cs="Times New Roman" w:eastAsia="Times New Roman" w:hAnsi="Times New Roman"/>
          <w:sz w:val="17"/>
          <w:szCs w:val="17"/>
          <w:color w:val="auto"/>
        </w:rPr>
      </w:pPr>
    </w:p>
    <w:p>
      <w:pPr>
        <w:ind w:left="1140" w:right="73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preclinical studies and clinical trials not supporting our proposed claims for a product candidate or regulatory approval;</w:t>
      </w:r>
    </w:p>
    <w:p>
      <w:pPr>
        <w:spacing w:after="0" w:line="43" w:lineRule="exact"/>
        <w:rPr>
          <w:rFonts w:ascii="Times New Roman" w:cs="Times New Roman" w:eastAsia="Times New Roman" w:hAnsi="Times New Roman"/>
          <w:sz w:val="17"/>
          <w:szCs w:val="17"/>
          <w:color w:val="auto"/>
        </w:rPr>
      </w:pPr>
    </w:p>
    <w:p>
      <w:pPr>
        <w:ind w:left="1140" w:right="75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preliminary or top-line data from our clinical trials changing as more data become available or data being delayed due to audit or verification procedures;</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product candidate manufacturing or formulation that could result in additional costs or delays;</w:t>
      </w:r>
    </w:p>
    <w:p>
      <w:pPr>
        <w:spacing w:after="0" w:line="116" w:lineRule="exact"/>
        <w:rPr>
          <w:rFonts w:ascii="Times New Roman" w:cs="Times New Roman" w:eastAsia="Times New Roman" w:hAnsi="Times New Roman"/>
          <w:sz w:val="17"/>
          <w:szCs w:val="17"/>
          <w:color w:val="auto"/>
        </w:rPr>
      </w:pPr>
    </w:p>
    <w:p>
      <w:pPr>
        <w:ind w:left="1140" w:right="55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obtaining approval of a new drug is an extensive, lengthy, expensive and inherently uncertain process and the FDA or another regulatory authority may delay, limit or deny approval;</w:t>
      </w:r>
    </w:p>
    <w:p>
      <w:pPr>
        <w:spacing w:after="0" w:line="43" w:lineRule="exact"/>
        <w:rPr>
          <w:rFonts w:ascii="Times New Roman" w:cs="Times New Roman" w:eastAsia="Times New Roman" w:hAnsi="Times New Roman"/>
          <w:sz w:val="17"/>
          <w:szCs w:val="17"/>
          <w:color w:val="auto"/>
        </w:rPr>
      </w:pPr>
    </w:p>
    <w:p>
      <w:pPr>
        <w:ind w:left="1140" w:right="999" w:hanging="348"/>
        <w:spacing w:after="0" w:line="293"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clinical trials to demonstrate substantial evidence of the safety and efficacy of our product candidates;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140" w:right="639" w:hanging="348"/>
        <w:spacing w:after="0" w:line="274"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undesirable side effects caused by our product candidates that halt their clinical development, delay or prevent their regulatory approval, limit the scope of any approved label or market acceptance or result in negative consequences;</w:t>
      </w:r>
    </w:p>
    <w:p>
      <w:pPr>
        <w:spacing w:after="0" w:line="58" w:lineRule="exact"/>
        <w:rPr>
          <w:rFonts w:ascii="Times New Roman" w:cs="Times New Roman" w:eastAsia="Times New Roman" w:hAnsi="Times New Roman"/>
          <w:sz w:val="17"/>
          <w:szCs w:val="17"/>
          <w:color w:val="auto"/>
        </w:rPr>
      </w:pPr>
    </w:p>
    <w:p>
      <w:pPr>
        <w:ind w:left="1140" w:right="679" w:hanging="348"/>
        <w:spacing w:after="0" w:line="29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obtain regulatory approval for a product candidate in certain jurisdictions, even if we are able to obtain approval in certain other jurisdictions;</w:t>
      </w:r>
    </w:p>
    <w:p>
      <w:pPr>
        <w:spacing w:after="0" w:line="43" w:lineRule="exact"/>
        <w:rPr>
          <w:rFonts w:ascii="Times New Roman" w:cs="Times New Roman" w:eastAsia="Times New Roman" w:hAnsi="Times New Roman"/>
          <w:sz w:val="17"/>
          <w:szCs w:val="17"/>
          <w:color w:val="auto"/>
        </w:rPr>
      </w:pPr>
    </w:p>
    <w:p>
      <w:pPr>
        <w:ind w:left="1140" w:right="579" w:hanging="348"/>
        <w:spacing w:after="0" w:line="29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any third-party we rely upon to conduct, supervise and monitor our clinical trials to perform in a satisfactory manner or to comply with applicable legal, regulatory or other requirements;</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produce clinical and commercial supplies of our product candidates;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key personnel and our ability to attract, motivate and retain highly qualified personnel;</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that our use of AI could expose us to liability;</w:t>
      </w:r>
    </w:p>
    <w:p>
      <w:pPr>
        <w:spacing w:after="0" w:line="116" w:lineRule="exact"/>
        <w:rPr>
          <w:rFonts w:ascii="Times New Roman" w:cs="Times New Roman" w:eastAsia="Times New Roman" w:hAnsi="Times New Roman"/>
          <w:sz w:val="17"/>
          <w:szCs w:val="17"/>
          <w:color w:val="auto"/>
        </w:rPr>
      </w:pPr>
    </w:p>
    <w:p>
      <w:pPr>
        <w:ind w:left="1140" w:right="599" w:hanging="348"/>
        <w:spacing w:after="0" w:line="29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patent and other intellectual property protection for our technology and product candidates;</w:t>
      </w:r>
    </w:p>
    <w:p>
      <w:pPr>
        <w:spacing w:after="0" w:line="43" w:lineRule="exact"/>
        <w:rPr>
          <w:rFonts w:ascii="Times New Roman" w:cs="Times New Roman" w:eastAsia="Times New Roman" w:hAnsi="Times New Roman"/>
          <w:sz w:val="17"/>
          <w:szCs w:val="17"/>
          <w:color w:val="auto"/>
        </w:rPr>
      </w:pPr>
    </w:p>
    <w:p>
      <w:pPr>
        <w:ind w:left="1140" w:right="499" w:hanging="348"/>
        <w:spacing w:after="0" w:line="274"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issue (or the threatening of their validity, patentability, enforceability, breadth or strength of protection) or provide meaningful exclusivity for our product candidates of our patent applications that we own or have in-licensed;</w:t>
      </w:r>
    </w:p>
    <w:p>
      <w:pPr>
        <w:spacing w:after="0" w:line="58"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inadequacy of patent terms and their scope to protect our competitive position;</w:t>
      </w:r>
    </w:p>
    <w:p>
      <w:pPr>
        <w:spacing w:after="0" w:line="116" w:lineRule="exact"/>
        <w:rPr>
          <w:rFonts w:ascii="Times New Roman" w:cs="Times New Roman" w:eastAsia="Times New Roman" w:hAnsi="Times New Roman"/>
          <w:sz w:val="17"/>
          <w:szCs w:val="17"/>
          <w:color w:val="auto"/>
        </w:rPr>
      </w:pPr>
    </w:p>
    <w:p>
      <w:pPr>
        <w:ind w:left="1140" w:right="759" w:hanging="348"/>
        <w:spacing w:after="0" w:line="29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our largest shareholders own a significant percentage of our stock and will be able to exert significant control over matters subject to shareholder approval;</w:t>
      </w:r>
    </w:p>
    <w:p>
      <w:pPr>
        <w:spacing w:after="0" w:line="43" w:lineRule="exact"/>
        <w:rPr>
          <w:rFonts w:ascii="Times New Roman" w:cs="Times New Roman" w:eastAsia="Times New Roman" w:hAnsi="Times New Roman"/>
          <w:sz w:val="17"/>
          <w:szCs w:val="17"/>
          <w:color w:val="auto"/>
        </w:rPr>
      </w:pPr>
    </w:p>
    <w:p>
      <w:pPr>
        <w:ind w:left="1140" w:right="459" w:hanging="348"/>
        <w:spacing w:after="0" w:line="29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of ownership caused by future sales and issuances of our or the Vants’ equity securities or rights to purchase equity securities;</w:t>
      </w:r>
    </w:p>
    <w:p>
      <w:pPr>
        <w:spacing w:after="0" w:line="43" w:lineRule="exact"/>
        <w:rPr>
          <w:rFonts w:ascii="Times New Roman" w:cs="Times New Roman" w:eastAsia="Times New Roman" w:hAnsi="Times New Roman"/>
          <w:sz w:val="17"/>
          <w:szCs w:val="17"/>
          <w:color w:val="auto"/>
        </w:rPr>
      </w:pPr>
    </w:p>
    <w:p>
      <w:pPr>
        <w:ind w:left="1140" w:right="739" w:hanging="348"/>
        <w:spacing w:after="0" w:line="29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or the perception of future sales, of our common shares by us or our existing shareholders, and the impact thereof on the price of our common shares;</w:t>
      </w:r>
    </w:p>
    <w:p>
      <w:pPr>
        <w:spacing w:after="0" w:line="43" w:lineRule="exact"/>
        <w:rPr>
          <w:rFonts w:ascii="Times New Roman" w:cs="Times New Roman" w:eastAsia="Times New Roman" w:hAnsi="Times New Roman"/>
          <w:sz w:val="17"/>
          <w:szCs w:val="17"/>
          <w:color w:val="auto"/>
        </w:rPr>
      </w:pPr>
    </w:p>
    <w:p>
      <w:pPr>
        <w:ind w:left="1140" w:right="579" w:hanging="348"/>
        <w:spacing w:after="0" w:line="293"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pending or potential litigation, including but not limited to our expectations regarding the outcome of any such litigation and costs and expenses associated with such litigation;</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 and</w:t>
      </w:r>
    </w:p>
    <w:p>
      <w:pPr>
        <w:spacing w:after="0" w:line="116"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risks and uncertainties indicated from time to time in filings made with the SEC.</w:t>
      </w:r>
    </w:p>
    <w:p>
      <w:pPr>
        <w:spacing w:after="0" w:line="117" w:lineRule="exact"/>
        <w:rPr>
          <w:sz w:val="20"/>
          <w:szCs w:val="20"/>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References to our “product candidates” include our current and any future products or product candidates.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9" w:lineRule="exact"/>
        <w:rPr>
          <w:sz w:val="20"/>
          <w:szCs w:val="20"/>
          <w:color w:val="auto"/>
        </w:rPr>
      </w:pPr>
    </w:p>
    <w:p>
      <w:pPr>
        <w:ind w:left="440" w:right="459" w:firstLine="347"/>
        <w:spacing w:after="0" w:line="268" w:lineRule="auto"/>
        <w:rPr>
          <w:sz w:val="20"/>
          <w:szCs w:val="20"/>
          <w:color w:val="auto"/>
        </w:rPr>
      </w:pPr>
      <w:r>
        <w:rPr>
          <w:rFonts w:ascii="Times New Roman" w:cs="Times New Roman" w:eastAsia="Times New Roman" w:hAnsi="Times New Roman"/>
          <w:sz w:val="17"/>
          <w:szCs w:val="17"/>
          <w:color w:val="auto"/>
        </w:rPr>
        <w:t>We may issue and sell Common Shares having aggregate offering price of up to $400.0 million from time to time. The actual total public offering amount, commissions and proceeds to us, if any, are not determinable at this time. There can be no assurance that we will sell any Common Shares under or fully utilize the Sales Agreement as a source of financing.</w:t>
      </w:r>
    </w:p>
    <w:p>
      <w:pPr>
        <w:spacing w:after="0" w:line="63" w:lineRule="exact"/>
        <w:rPr>
          <w:sz w:val="20"/>
          <w:szCs w:val="20"/>
          <w:color w:val="auto"/>
        </w:rPr>
      </w:pPr>
    </w:p>
    <w:p>
      <w:pPr>
        <w:jc w:val="both"/>
        <w:ind w:left="440" w:right="839" w:firstLine="347"/>
        <w:spacing w:after="0" w:line="274" w:lineRule="auto"/>
        <w:rPr>
          <w:sz w:val="20"/>
          <w:szCs w:val="20"/>
          <w:color w:val="auto"/>
        </w:rPr>
      </w:pPr>
      <w:r>
        <w:rPr>
          <w:rFonts w:ascii="Times New Roman" w:cs="Times New Roman" w:eastAsia="Times New Roman" w:hAnsi="Times New Roman"/>
          <w:sz w:val="17"/>
          <w:szCs w:val="17"/>
          <w:color w:val="auto"/>
        </w:rPr>
        <w:t>We intend to use the net proceeds from the sale of any securities offered under this prospectus for working capital and general corporate purposes. We may find it necessary or advisable to use the net proceeds for other purposes, and we will have broad discretion in the application of the net proceeds.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9"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We have entered into the Sales Agreement with TD Cowen, under which we may issue and sell from time to time Common Shares with an aggregate offering price of up to $400.0 million through TD Cowen as our sales agent. Sales of our Common Shares, if any, will be made at market prices by any method that is deemed to be an “at the market offering” as defined in Rule 415 under the Securities Act. If authorized by us in writing, TD Cowen may purchase Common Shares as principal.</w:t>
      </w:r>
    </w:p>
    <w:p>
      <w:pPr>
        <w:spacing w:after="0" w:line="66" w:lineRule="exact"/>
        <w:rPr>
          <w:sz w:val="20"/>
          <w:szCs w:val="20"/>
          <w:color w:val="auto"/>
        </w:rPr>
      </w:pPr>
    </w:p>
    <w:p>
      <w:pPr>
        <w:ind w:left="440" w:right="559" w:firstLine="347"/>
        <w:spacing w:after="0" w:line="259" w:lineRule="auto"/>
        <w:rPr>
          <w:sz w:val="20"/>
          <w:szCs w:val="20"/>
          <w:color w:val="auto"/>
        </w:rPr>
      </w:pPr>
      <w:r>
        <w:rPr>
          <w:rFonts w:ascii="Times New Roman" w:cs="Times New Roman" w:eastAsia="Times New Roman" w:hAnsi="Times New Roman"/>
          <w:sz w:val="17"/>
          <w:szCs w:val="17"/>
          <w:color w:val="auto"/>
        </w:rPr>
        <w:t>TD Cowen will offer our Common Shares subject to the terms and conditions of the Sales Agreement on a daily basis or as otherwise agreed upon by us and TD Cowen. We will designate the maximum amount of Common Shares to be sold through TD Cowen on a daily basis or otherwise determine such maximum amount together with TD Cowen. Subject to the terms and conditions of the Sales Agreement, TD Cowen will use its commercially reasonable efforts to sell on our behalf all of the Common Shares requested to be sold by us. We may instruct TD Cowen not to sell Common Shares if the sales cannot be effected at or above the price designated by us in any such instruction. TD Cowen or we may suspend the offering of our Common Shares being made through TD Cowen under the Sales Agreement upon proper notice to the other party. TD Cowen and we each have the right, by giving written notice as specified in the Sales Agreement, to terminate the Sales Agreement in each party’s sole discretion at any time. The offering of Common Shares pursuant to the Sales Agreement will otherwise terminate upon the termination of the Sales Agreement as provided therein.</w:t>
      </w:r>
    </w:p>
    <w:p>
      <w:pPr>
        <w:spacing w:after="0" w:line="73" w:lineRule="exact"/>
        <w:rPr>
          <w:sz w:val="20"/>
          <w:szCs w:val="20"/>
          <w:color w:val="auto"/>
        </w:rPr>
      </w:pPr>
    </w:p>
    <w:p>
      <w:pPr>
        <w:ind w:left="440" w:right="559" w:firstLine="347"/>
        <w:spacing w:after="0" w:line="265" w:lineRule="auto"/>
        <w:rPr>
          <w:sz w:val="20"/>
          <w:szCs w:val="20"/>
          <w:color w:val="auto"/>
        </w:rPr>
      </w:pPr>
      <w:r>
        <w:rPr>
          <w:rFonts w:ascii="Times New Roman" w:cs="Times New Roman" w:eastAsia="Times New Roman" w:hAnsi="Times New Roman"/>
          <w:sz w:val="17"/>
          <w:szCs w:val="17"/>
          <w:color w:val="auto"/>
        </w:rPr>
        <w:t>The aggregate compensation payable to TD Cowen as sales agent is up to 3.0% of the gross sales price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$1.0 million.</w:t>
      </w:r>
    </w:p>
    <w:p>
      <w:pPr>
        <w:spacing w:after="0" w:line="66" w:lineRule="exact"/>
        <w:rPr>
          <w:sz w:val="20"/>
          <w:szCs w:val="20"/>
          <w:color w:val="auto"/>
        </w:rPr>
      </w:pPr>
    </w:p>
    <w:p>
      <w:pPr>
        <w:ind w:left="440" w:right="519" w:firstLine="347"/>
        <w:spacing w:after="0" w:line="274" w:lineRule="auto"/>
        <w:rPr>
          <w:sz w:val="20"/>
          <w:szCs w:val="20"/>
          <w:color w:val="auto"/>
        </w:rPr>
      </w:pPr>
      <w:r>
        <w:rPr>
          <w:rFonts w:ascii="Times New Roman" w:cs="Times New Roman" w:eastAsia="Times New Roman" w:hAnsi="Times New Roman"/>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Common Shares.</w:t>
      </w:r>
    </w:p>
    <w:p>
      <w:pPr>
        <w:spacing w:after="0" w:line="59" w:lineRule="exact"/>
        <w:rPr>
          <w:sz w:val="20"/>
          <w:szCs w:val="20"/>
          <w:color w:val="auto"/>
        </w:rPr>
      </w:pPr>
    </w:p>
    <w:p>
      <w:pPr>
        <w:jc w:val="both"/>
        <w:ind w:left="440" w:right="539" w:firstLine="347"/>
        <w:spacing w:after="0" w:line="268" w:lineRule="auto"/>
        <w:rPr>
          <w:sz w:val="20"/>
          <w:szCs w:val="20"/>
          <w:color w:val="auto"/>
        </w:rPr>
      </w:pPr>
      <w:r>
        <w:rPr>
          <w:rFonts w:ascii="Times New Roman" w:cs="Times New Roman" w:eastAsia="Times New Roman" w:hAnsi="Times New Roman"/>
          <w:sz w:val="17"/>
          <w:szCs w:val="17"/>
          <w:color w:val="auto"/>
        </w:rPr>
        <w:t>TD Cowen will provide written confirmation to us following the close of trading on the Nasdaq on each day in which Common Shares is sold through it as sales agent under the Sales Agreement. Each confirmation will include the number of Common Shares sold through it as sales agent on that day, the volume weighted average price of the shares sold, the percentage of the daily trading volume and the net proceeds to us.</w:t>
      </w:r>
    </w:p>
    <w:p>
      <w:pPr>
        <w:spacing w:after="0" w:line="63" w:lineRule="exact"/>
        <w:rPr>
          <w:sz w:val="20"/>
          <w:szCs w:val="20"/>
          <w:color w:val="auto"/>
        </w:rPr>
      </w:pPr>
    </w:p>
    <w:p>
      <w:pPr>
        <w:ind w:left="440" w:right="759" w:firstLine="347"/>
        <w:spacing w:after="0" w:line="274" w:lineRule="auto"/>
        <w:rPr>
          <w:sz w:val="20"/>
          <w:szCs w:val="20"/>
          <w:color w:val="auto"/>
        </w:rPr>
      </w:pPr>
      <w:r>
        <w:rPr>
          <w:rFonts w:ascii="Times New Roman" w:cs="Times New Roman" w:eastAsia="Times New Roman" w:hAnsi="Times New Roman"/>
          <w:sz w:val="17"/>
          <w:szCs w:val="17"/>
          <w:color w:val="auto"/>
        </w:rPr>
        <w:t>We will report at least quarterly the number of Common Shares sold through TD Cowen under the Sales Agreement, the net proceeds to us and the compensation paid by us to TD Cowen in connection with the sales of Common Shares.</w:t>
      </w:r>
    </w:p>
    <w:p>
      <w:pPr>
        <w:spacing w:after="0" w:line="59" w:lineRule="exact"/>
        <w:rPr>
          <w:sz w:val="20"/>
          <w:szCs w:val="20"/>
          <w:color w:val="auto"/>
        </w:rPr>
      </w:pPr>
    </w:p>
    <w:p>
      <w:pPr>
        <w:ind w:left="440" w:right="659" w:firstLine="347"/>
        <w:spacing w:after="0" w:line="274" w:lineRule="auto"/>
        <w:rPr>
          <w:sz w:val="20"/>
          <w:szCs w:val="20"/>
          <w:color w:val="auto"/>
        </w:rPr>
      </w:pPr>
      <w:r>
        <w:rPr>
          <w:rFonts w:ascii="Times New Roman" w:cs="Times New Roman" w:eastAsia="Times New Roman" w:hAnsi="Times New Roman"/>
          <w:sz w:val="17"/>
          <w:szCs w:val="17"/>
          <w:color w:val="auto"/>
        </w:rPr>
        <w:t>Settlement for sales of Common Shares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59" w:lineRule="exact"/>
        <w:rPr>
          <w:sz w:val="20"/>
          <w:szCs w:val="20"/>
          <w:color w:val="auto"/>
        </w:rPr>
      </w:pPr>
    </w:p>
    <w:p>
      <w:pPr>
        <w:ind w:left="440" w:right="459" w:firstLine="347"/>
        <w:spacing w:after="0" w:line="265" w:lineRule="auto"/>
        <w:rPr>
          <w:sz w:val="20"/>
          <w:szCs w:val="20"/>
          <w:color w:val="auto"/>
        </w:rPr>
      </w:pPr>
      <w:r>
        <w:rPr>
          <w:rFonts w:ascii="Times New Roman" w:cs="Times New Roman" w:eastAsia="Times New Roman" w:hAnsi="Times New Roman"/>
          <w:sz w:val="17"/>
          <w:szCs w:val="17"/>
          <w:color w:val="auto"/>
        </w:rPr>
        <w:t>In connection with the sales of our Common Shares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Shares.</w:t>
      </w:r>
    </w:p>
    <w:p>
      <w:pPr>
        <w:spacing w:after="0" w:line="66" w:lineRule="exact"/>
        <w:rPr>
          <w:sz w:val="20"/>
          <w:szCs w:val="20"/>
          <w:color w:val="auto"/>
        </w:rPr>
      </w:pPr>
    </w:p>
    <w:p>
      <w:pPr>
        <w:ind w:left="440" w:right="639" w:firstLine="347"/>
        <w:spacing w:after="0" w:line="293" w:lineRule="auto"/>
        <w:rPr>
          <w:sz w:val="20"/>
          <w:szCs w:val="20"/>
          <w:color w:val="auto"/>
        </w:rPr>
      </w:pPr>
      <w:r>
        <w:rPr>
          <w:rFonts w:ascii="Times New Roman" w:cs="Times New Roman" w:eastAsia="Times New Roman" w:hAnsi="Times New Roman"/>
          <w:sz w:val="17"/>
          <w:szCs w:val="17"/>
          <w:color w:val="auto"/>
        </w:rPr>
        <w:t>Our Common Shares are listed on the Nasdaq and trades under the symbol “ROIV.” The transfer agent of our Common Shares is Equiniti Trust Company, LLC.</w:t>
      </w:r>
    </w:p>
    <w:p>
      <w:pPr>
        <w:spacing w:after="0" w:line="43" w:lineRule="exact"/>
        <w:rPr>
          <w:sz w:val="20"/>
          <w:szCs w:val="20"/>
          <w:color w:val="auto"/>
        </w:rPr>
      </w:pPr>
    </w:p>
    <w:p>
      <w:pPr>
        <w:ind w:left="440" w:right="579" w:firstLine="347"/>
        <w:spacing w:after="0" w:line="293" w:lineRule="auto"/>
        <w:rPr>
          <w:sz w:val="20"/>
          <w:szCs w:val="20"/>
          <w:color w:val="auto"/>
        </w:rPr>
      </w:pPr>
      <w:r>
        <w:rPr>
          <w:rFonts w:ascii="Times New Roman" w:cs="Times New Roman" w:eastAsia="Times New Roman" w:hAnsi="Times New Roman"/>
          <w:sz w:val="17"/>
          <w:szCs w:val="17"/>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9" w:lineRule="exact"/>
        <w:rPr>
          <w:sz w:val="20"/>
          <w:szCs w:val="20"/>
          <w:color w:val="auto"/>
        </w:rPr>
      </w:pPr>
    </w:p>
    <w:p>
      <w:pPr>
        <w:ind w:left="440" w:right="479" w:firstLine="347"/>
        <w:spacing w:after="0" w:line="268" w:lineRule="auto"/>
        <w:rPr>
          <w:sz w:val="20"/>
          <w:szCs w:val="20"/>
          <w:color w:val="auto"/>
        </w:rPr>
      </w:pPr>
      <w:r>
        <w:rPr>
          <w:rFonts w:ascii="Times New Roman" w:cs="Times New Roman" w:eastAsia="Times New Roman" w:hAnsi="Times New Roman"/>
          <w:sz w:val="17"/>
          <w:szCs w:val="17"/>
          <w:color w:val="auto"/>
        </w:rPr>
        <w:t>Conyers Dill &amp; Pearman Limited have passed upon the validity of the Common Shares offered by this prospectus. Certain matters with respect to U.S. federal and New York State law will be passed upon for us by Davis Polk &amp; Wardwell LLP, New York, New York. Certain matters with respect to U.S. federal and New York State law will be passed upon for TD Cowen by Latham &amp; Watkins LLP, New York, New York.</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9" w:lineRule="exact"/>
        <w:rPr>
          <w:sz w:val="20"/>
          <w:szCs w:val="20"/>
          <w:color w:val="auto"/>
        </w:rPr>
      </w:pPr>
    </w:p>
    <w:p>
      <w:pPr>
        <w:ind w:left="440" w:right="679" w:firstLine="347"/>
        <w:spacing w:after="0" w:line="260" w:lineRule="auto"/>
        <w:rPr>
          <w:sz w:val="20"/>
          <w:szCs w:val="20"/>
          <w:color w:val="auto"/>
        </w:rPr>
      </w:pPr>
      <w:r>
        <w:rPr>
          <w:rFonts w:ascii="Times New Roman" w:cs="Times New Roman" w:eastAsia="Times New Roman" w:hAnsi="Times New Roman"/>
          <w:sz w:val="17"/>
          <w:szCs w:val="17"/>
          <w:color w:val="auto"/>
        </w:rPr>
        <w:t>The consolidated financial statements of Roivant Sciences Ltd. appearing in Roivant Sciences Ltd.’s Annual Report (Form 10-K) for the year ended March 31, 2025, and the effectiveness of Roivant Sciences Ltd.’s internal control over financial reporting as of March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119" w:lineRule="exact"/>
        <w:rPr>
          <w:sz w:val="20"/>
          <w:szCs w:val="20"/>
          <w:color w:val="auto"/>
        </w:rPr>
      </w:pPr>
    </w:p>
    <w:p>
      <w:pPr>
        <w:ind w:left="440" w:right="499" w:firstLine="347"/>
        <w:spacing w:after="0" w:line="265" w:lineRule="auto"/>
        <w:rPr>
          <w:sz w:val="20"/>
          <w:szCs w:val="20"/>
          <w:color w:val="auto"/>
        </w:rPr>
      </w:pPr>
      <w:r>
        <w:rPr>
          <w:rFonts w:ascii="Times New Roman" w:cs="Times New Roman" w:eastAsia="Times New Roman" w:hAnsi="Times New Roman"/>
          <w:sz w:val="17"/>
          <w:szCs w:val="17"/>
          <w:color w:val="auto"/>
        </w:rPr>
        <w:t>We have filed a registration statement on Form S-3, including exhibits, under the Securities Act of 1933, as amended, with respect to the securities offered by this prospectus. This prospectus does not contain all of the information included or incorporated by reference in the registration statement. For further information pertaining to us and our securities, you should refer to the registration statement, our exhibits and the other documents incorporated by reference herein.</w:t>
      </w:r>
    </w:p>
    <w:p>
      <w:pPr>
        <w:spacing w:after="0" w:line="66" w:lineRule="exact"/>
        <w:rPr>
          <w:sz w:val="20"/>
          <w:szCs w:val="20"/>
          <w:color w:val="auto"/>
        </w:rPr>
      </w:pPr>
    </w:p>
    <w:p>
      <w:pPr>
        <w:ind w:left="440" w:right="499" w:firstLine="347"/>
        <w:spacing w:after="0" w:line="263" w:lineRule="auto"/>
        <w:rPr>
          <w:sz w:val="20"/>
          <w:szCs w:val="20"/>
          <w:color w:val="auto"/>
        </w:rPr>
      </w:pPr>
      <w:r>
        <w:rPr>
          <w:rFonts w:ascii="Times New Roman" w:cs="Times New Roman" w:eastAsia="Times New Roman" w:hAnsi="Times New Roman"/>
          <w:sz w:val="17"/>
          <w:szCs w:val="17"/>
          <w:color w:val="auto"/>
        </w:rPr>
        <w:t>In addition, we file annual, quarterly and current reports, proxy statements and other information with the SEC. Our SEC filings are available to the public on a website maintained by the SEC located at www.sec.gov. We also maintain a website at https://roivant.com.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9" w:lineRule="exact"/>
        <w:rPr>
          <w:sz w:val="20"/>
          <w:szCs w:val="20"/>
          <w:color w:val="auto"/>
        </w:rPr>
      </w:pPr>
    </w:p>
    <w:p>
      <w:pPr>
        <w:ind w:left="440" w:right="579" w:firstLine="347"/>
        <w:spacing w:after="0" w:line="274" w:lineRule="auto"/>
        <w:rPr>
          <w:sz w:val="20"/>
          <w:szCs w:val="20"/>
          <w:color w:val="auto"/>
        </w:rPr>
      </w:pPr>
      <w:r>
        <w:rPr>
          <w:rFonts w:ascii="Times New Roman" w:cs="Times New Roman" w:eastAsia="Times New Roman" w:hAnsi="Times New Roman"/>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w:t>
      </w:r>
    </w:p>
    <w:p>
      <w:pPr>
        <w:spacing w:after="0" w:line="59" w:lineRule="exact"/>
        <w:rPr>
          <w:sz w:val="20"/>
          <w:szCs w:val="20"/>
          <w:color w:val="auto"/>
        </w:rPr>
      </w:pPr>
    </w:p>
    <w:p>
      <w:pPr>
        <w:ind w:left="440" w:right="619" w:firstLine="347"/>
        <w:spacing w:after="0" w:line="265" w:lineRule="auto"/>
        <w:rPr>
          <w:sz w:val="20"/>
          <w:szCs w:val="20"/>
          <w:color w:val="auto"/>
        </w:rPr>
      </w:pPr>
      <w:r>
        <w:rPr>
          <w:rFonts w:ascii="Times New Roman" w:cs="Times New Roman" w:eastAsia="Times New Roman" w:hAnsi="Times New Roman"/>
          <w:sz w:val="17"/>
          <w:szCs w:val="17"/>
          <w:color w:val="auto"/>
        </w:rPr>
        <w:t>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001-40782):</w:t>
      </w:r>
    </w:p>
    <w:p>
      <w:pPr>
        <w:spacing w:after="0" w:line="66" w:lineRule="exact"/>
        <w:rPr>
          <w:sz w:val="20"/>
          <w:szCs w:val="20"/>
          <w:color w:val="auto"/>
        </w:rPr>
      </w:pPr>
    </w:p>
    <w:p>
      <w:pPr>
        <w:ind w:left="1140" w:right="899" w:hanging="348"/>
        <w:spacing w:after="0" w:line="293" w:lineRule="auto"/>
        <w:tabs>
          <w:tab w:leader="none" w:pos="1140" w:val="left"/>
        </w:tabs>
        <w:numPr>
          <w:ilvl w:val="0"/>
          <w:numId w:val="28"/>
        </w:numPr>
        <w:rPr>
          <w:rFonts w:ascii="Times New Roman" w:cs="Times New Roman" w:eastAsia="Times New Roman" w:hAnsi="Times New Roman"/>
          <w:sz w:val="17"/>
          <w:szCs w:val="17"/>
          <w:color w:val="0000EE"/>
        </w:rPr>
      </w:pPr>
      <w:hyperlink r:id="rId53">
        <w:r>
          <w:rPr>
            <w:rFonts w:ascii="Times New Roman" w:cs="Times New Roman" w:eastAsia="Times New Roman" w:hAnsi="Times New Roman"/>
            <w:sz w:val="17"/>
            <w:szCs w:val="17"/>
            <w:color w:val="auto"/>
          </w:rPr>
          <w:t xml:space="preserve">our Annual Report on Form 10-K for the year ended March 31, 2025, filed with the SEC on </w:t>
        </w:r>
        <w:r>
          <w:rPr>
            <w:rFonts w:ascii="Times New Roman" w:cs="Times New Roman" w:eastAsia="Times New Roman" w:hAnsi="Times New Roman"/>
            <w:sz w:val="17"/>
            <w:szCs w:val="17"/>
            <w:u w:val="single" w:color="auto"/>
            <w:color w:val="0000EE"/>
          </w:rPr>
          <w:t>May 29,</w:t>
        </w:r>
      </w:hyperlink>
      <w:r>
        <w:rPr>
          <w:rFonts w:ascii="Times New Roman" w:cs="Times New Roman" w:eastAsia="Times New Roman" w:hAnsi="Times New Roman"/>
          <w:sz w:val="17"/>
          <w:szCs w:val="17"/>
          <w:color w:val="auto"/>
        </w:rPr>
        <w:t xml:space="preserve"> </w:t>
      </w:r>
      <w:hyperlink r:id="rId53">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3" w:lineRule="exact"/>
        <w:rPr>
          <w:rFonts w:ascii="Times New Roman" w:cs="Times New Roman" w:eastAsia="Times New Roman" w:hAnsi="Times New Roman"/>
          <w:sz w:val="17"/>
          <w:szCs w:val="17"/>
          <w:color w:val="0000EE"/>
        </w:rPr>
      </w:pPr>
    </w:p>
    <w:p>
      <w:pPr>
        <w:ind w:left="1140" w:right="499" w:hanging="348"/>
        <w:spacing w:after="0" w:line="293" w:lineRule="auto"/>
        <w:tabs>
          <w:tab w:leader="none" w:pos="1140" w:val="left"/>
        </w:tabs>
        <w:numPr>
          <w:ilvl w:val="0"/>
          <w:numId w:val="28"/>
        </w:numPr>
        <w:rPr>
          <w:rFonts w:ascii="Times New Roman" w:cs="Times New Roman" w:eastAsia="Times New Roman" w:hAnsi="Times New Roman"/>
          <w:sz w:val="17"/>
          <w:szCs w:val="17"/>
          <w:color w:val="0000EE"/>
        </w:rPr>
      </w:pPr>
      <w:hyperlink r:id="rId54">
        <w:r>
          <w:rPr>
            <w:rFonts w:ascii="Times New Roman" w:cs="Times New Roman" w:eastAsia="Times New Roman" w:hAnsi="Times New Roman"/>
            <w:sz w:val="17"/>
            <w:szCs w:val="17"/>
            <w:color w:val="auto"/>
          </w:rPr>
          <w:t xml:space="preserve">our Quarterly Report on Form 10-Q for the quarter ended June 30, 2025, filed with the SEC on </w:t>
        </w:r>
        <w:r>
          <w:rPr>
            <w:rFonts w:ascii="Times New Roman" w:cs="Times New Roman" w:eastAsia="Times New Roman" w:hAnsi="Times New Roman"/>
            <w:sz w:val="17"/>
            <w:szCs w:val="17"/>
            <w:u w:val="single" w:color="auto"/>
            <w:color w:val="0000EE"/>
          </w:rPr>
          <w:t>August 11,</w:t>
        </w:r>
      </w:hyperlink>
      <w:r>
        <w:rPr>
          <w:rFonts w:ascii="Times New Roman" w:cs="Times New Roman" w:eastAsia="Times New Roman" w:hAnsi="Times New Roman"/>
          <w:sz w:val="17"/>
          <w:szCs w:val="17"/>
          <w:color w:val="auto"/>
        </w:rPr>
        <w:t xml:space="preserve"> </w:t>
      </w:r>
      <w:hyperlink r:id="rId54">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43" w:lineRule="exact"/>
        <w:rPr>
          <w:rFonts w:ascii="Times New Roman" w:cs="Times New Roman" w:eastAsia="Times New Roman" w:hAnsi="Times New Roman"/>
          <w:sz w:val="17"/>
          <w:szCs w:val="17"/>
          <w:color w:val="0000EE"/>
        </w:rPr>
      </w:pPr>
    </w:p>
    <w:p>
      <w:pPr>
        <w:ind w:left="1140" w:right="579" w:hanging="348"/>
        <w:spacing w:after="0" w:line="274"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 our Annual Report on Form 10-K for the year ended March 31, 2025 from our Definitive Proxy Statement on Schedule 14A relating to our 2025 annual meeting of shareholders, filed with the SEC on </w:t>
      </w:r>
      <w:hyperlink r:id="rId55">
        <w:r>
          <w:rPr>
            <w:rFonts w:ascii="Times New Roman" w:cs="Times New Roman" w:eastAsia="Times New Roman" w:hAnsi="Times New Roman"/>
            <w:sz w:val="17"/>
            <w:szCs w:val="17"/>
            <w:u w:val="single" w:color="auto"/>
            <w:color w:val="0000EE"/>
          </w:rPr>
          <w:t>July 29, 2025</w:t>
        </w:r>
      </w:hyperlink>
      <w:r>
        <w:rPr>
          <w:rFonts w:ascii="Times New Roman" w:cs="Times New Roman" w:eastAsia="Times New Roman" w:hAnsi="Times New Roman"/>
          <w:sz w:val="17"/>
          <w:szCs w:val="17"/>
          <w:color w:val="auto"/>
        </w:rPr>
        <w:t>;</w:t>
      </w:r>
    </w:p>
    <w:p>
      <w:pPr>
        <w:spacing w:after="0" w:line="58" w:lineRule="exact"/>
        <w:rPr>
          <w:rFonts w:ascii="Times New Roman" w:cs="Times New Roman" w:eastAsia="Times New Roman" w:hAnsi="Times New Roman"/>
          <w:sz w:val="17"/>
          <w:szCs w:val="17"/>
          <w:color w:val="auto"/>
        </w:rPr>
      </w:pPr>
    </w:p>
    <w:p>
      <w:pPr>
        <w:ind w:left="1140" w:right="679" w:hanging="348"/>
        <w:spacing w:after="0" w:line="293"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Form 8-K filed with the SEC on </w:t>
      </w:r>
      <w:hyperlink r:id="rId56">
        <w:r>
          <w:rPr>
            <w:rFonts w:ascii="Times New Roman" w:cs="Times New Roman" w:eastAsia="Times New Roman" w:hAnsi="Times New Roman"/>
            <w:sz w:val="17"/>
            <w:szCs w:val="17"/>
            <w:u w:val="single" w:color="auto"/>
            <w:color w:val="0000EE"/>
          </w:rPr>
          <w:t>June 25, 2025</w:t>
        </w:r>
      </w:hyperlink>
      <w:r>
        <w:rPr>
          <w:rFonts w:ascii="Times New Roman" w:cs="Times New Roman" w:eastAsia="Times New Roman" w:hAnsi="Times New Roman"/>
          <w:sz w:val="17"/>
          <w:szCs w:val="17"/>
          <w:color w:val="auto"/>
        </w:rPr>
        <w:t xml:space="preserve">, </w:t>
      </w:r>
      <w:hyperlink r:id="rId57">
        <w:r>
          <w:rPr>
            <w:rFonts w:ascii="Times New Roman" w:cs="Times New Roman" w:eastAsia="Times New Roman" w:hAnsi="Times New Roman"/>
            <w:sz w:val="17"/>
            <w:szCs w:val="17"/>
            <w:u w:val="single" w:color="auto"/>
            <w:color w:val="0000EE"/>
          </w:rPr>
          <w:t>September 3,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(only with respect to Item 8.01), </w:t>
      </w:r>
      <w:hyperlink r:id="rId58">
        <w:r>
          <w:rPr>
            <w:rFonts w:ascii="Times New Roman" w:cs="Times New Roman" w:eastAsia="Times New Roman" w:hAnsi="Times New Roman"/>
            <w:sz w:val="17"/>
            <w:szCs w:val="17"/>
            <w:u w:val="single" w:color="auto"/>
            <w:color w:val="0000EE"/>
          </w:rPr>
          <w:t>September 11,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59">
        <w:r>
          <w:rPr>
            <w:rFonts w:ascii="Times New Roman" w:cs="Times New Roman" w:eastAsia="Times New Roman" w:hAnsi="Times New Roman"/>
            <w:sz w:val="17"/>
            <w:szCs w:val="17"/>
            <w:u w:val="single" w:color="auto"/>
            <w:color w:val="0000EE"/>
          </w:rPr>
          <w:t>September 17,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(only with respect to Item 8.01); and</w:t>
      </w:r>
    </w:p>
    <w:p>
      <w:pPr>
        <w:spacing w:after="0" w:line="43" w:lineRule="exact"/>
        <w:rPr>
          <w:rFonts w:ascii="Times New Roman" w:cs="Times New Roman" w:eastAsia="Times New Roman" w:hAnsi="Times New Roman"/>
          <w:sz w:val="17"/>
          <w:szCs w:val="17"/>
          <w:color w:val="auto"/>
        </w:rPr>
      </w:pPr>
    </w:p>
    <w:p>
      <w:pPr>
        <w:ind w:left="1140" w:right="579" w:hanging="348"/>
        <w:spacing w:after="0" w:line="274"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Shares contained in </w:t>
      </w:r>
      <w:hyperlink r:id="rId60">
        <w:r>
          <w:rPr>
            <w:rFonts w:ascii="Times New Roman" w:cs="Times New Roman" w:eastAsia="Times New Roman" w:hAnsi="Times New Roman"/>
            <w:sz w:val="17"/>
            <w:szCs w:val="17"/>
            <w:u w:val="single" w:color="auto"/>
            <w:color w:val="0000EE"/>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our Annual Report on Form 10-K filed with the SEC on </w:t>
      </w:r>
      <w:hyperlink r:id="rId53">
        <w:r>
          <w:rPr>
            <w:rFonts w:ascii="Times New Roman" w:cs="Times New Roman" w:eastAsia="Times New Roman" w:hAnsi="Times New Roman"/>
            <w:sz w:val="17"/>
            <w:szCs w:val="17"/>
            <w:u w:val="single" w:color="auto"/>
            <w:color w:val="0000EE"/>
          </w:rPr>
          <w:t>May 29, 2025</w:t>
        </w:r>
      </w:hyperlink>
      <w:r>
        <w:rPr>
          <w:rFonts w:ascii="Times New Roman" w:cs="Times New Roman" w:eastAsia="Times New Roman" w:hAnsi="Times New Roman"/>
          <w:sz w:val="17"/>
          <w:szCs w:val="17"/>
          <w:color w:val="auto"/>
        </w:rPr>
        <w:t>, including any amendments thereto or reports filed for the purpose of updating such description.</w:t>
      </w:r>
    </w:p>
    <w:p>
      <w:pPr>
        <w:spacing w:after="0" w:line="59" w:lineRule="exact"/>
        <w:rPr>
          <w:rFonts w:ascii="Times New Roman" w:cs="Times New Roman" w:eastAsia="Times New Roman" w:hAnsi="Times New Roman"/>
          <w:sz w:val="17"/>
          <w:szCs w:val="17"/>
          <w:color w:val="auto"/>
        </w:rPr>
      </w:pPr>
    </w:p>
    <w:p>
      <w:pPr>
        <w:ind w:left="440" w:right="459" w:firstLine="347"/>
        <w:spacing w:after="0" w:line="274" w:lineRule="auto"/>
        <w:rPr>
          <w:sz w:val="20"/>
          <w:szCs w:val="20"/>
          <w:color w:val="auto"/>
        </w:rPr>
      </w:pPr>
      <w:r>
        <w:rPr>
          <w:rFonts w:ascii="Times New Roman" w:cs="Times New Roman" w:eastAsia="Times New Roman" w:hAnsi="Times New Roman"/>
          <w:sz w:val="17"/>
          <w:szCs w:val="17"/>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59" w:lineRule="exact"/>
        <w:rPr>
          <w:rFonts w:ascii="Times New Roman" w:cs="Times New Roman" w:eastAsia="Times New Roman" w:hAnsi="Times New Roman"/>
          <w:sz w:val="17"/>
          <w:szCs w:val="17"/>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73" w:lineRule="exact"/>
        <w:rPr>
          <w:rFonts w:ascii="Times New Roman" w:cs="Times New Roman" w:eastAsia="Times New Roman" w:hAnsi="Times New Roman"/>
          <w:sz w:val="17"/>
          <w:szCs w:val="17"/>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You can obtain any of the filings incorporated by reference in this prospectus through us or from the SEC through the SEC’s website at www.sec.gov. Our filings with the SEC, including our Annual Reports on Form 10-K, Quarterly Reports on Form 10-Q, Current Reports on Form 8-K, and exhibits incorporated in and amendments to those reports, are also available free of charge on our website (www.roivant.com) as soon as reasonably practicable after they are filed with, or furnished to, the SEC. Information on, or accessible through, our website is not part of this prospectus, nor is such content incorporated by reference herein, and should not be relied upon in determining whether to make an investment in our securities. You can obtain any of the documents incorporated by reference into this prospectus from us without charge, excluding any exhibits to those documents unless the exhibit is specifically incorporated by reference into those documents. You can obtain documents incorporated by reference into this prospectus by requesting them in writing or by telephone from us at the following address:</w:t>
      </w:r>
    </w:p>
    <w:p>
      <w:pPr>
        <w:spacing w:after="0" w:line="21"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ind w:left="3760" w:right="3819" w:firstLine="258"/>
        <w:spacing w:after="0" w:line="254" w:lineRule="auto"/>
        <w:tabs>
          <w:tab w:leader="none" w:pos="422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Broadway London SW1H 0DB</w:t>
      </w:r>
    </w:p>
    <w:p>
      <w:pPr>
        <w:ind w:left="3880" w:right="3879" w:firstLine="27"/>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Kingdom +44 207 400 3347</w:t>
      </w:r>
    </w:p>
    <w:p>
      <w:pPr>
        <w:spacing w:after="0" w:line="165"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3" w:name="page44"/>
    <w:bookmarkEnd w:id="43"/>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95250</wp:posOffset>
            </wp:positionV>
            <wp:extent cx="502285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022850" cy="1651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161290</wp:posOffset>
            </wp:positionV>
            <wp:extent cx="50228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022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Up to $400,000,000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494665</wp:posOffset>
            </wp:positionV>
            <wp:extent cx="2998470" cy="6940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299847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758825</wp:posOffset>
            </wp:positionV>
            <wp:extent cx="10572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169545</wp:posOffset>
            </wp:positionV>
            <wp:extent cx="10572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160020</wp:posOffset>
            </wp:positionV>
            <wp:extent cx="5022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50228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217805</wp:posOffset>
            </wp:positionV>
            <wp:extent cx="502285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5022850" cy="16510"/>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341630</wp:posOffset>
            </wp:positionV>
            <wp:extent cx="674052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NOT REQUIRED IN THE PROSPECTUS</w:t>
      </w:r>
    </w:p>
    <w:p>
      <w:pPr>
        <w:spacing w:after="0" w:line="200"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14.</w:t>
        <w:tab/>
        <w:t>Other Expenses of Issuance and Distribution</w:t>
      </w:r>
    </w:p>
    <w:p>
      <w:pPr>
        <w:spacing w:after="0" w:line="119" w:lineRule="exact"/>
        <w:rPr>
          <w:sz w:val="20"/>
          <w:szCs w:val="20"/>
          <w:color w:val="auto"/>
        </w:rPr>
      </w:pPr>
    </w:p>
    <w:p>
      <w:pPr>
        <w:ind w:left="440" w:right="639" w:firstLine="347"/>
        <w:spacing w:after="0" w:line="268" w:lineRule="auto"/>
        <w:rPr>
          <w:sz w:val="20"/>
          <w:szCs w:val="20"/>
          <w:color w:val="auto"/>
        </w:rPr>
      </w:pPr>
      <w:r>
        <w:rPr>
          <w:rFonts w:ascii="Times New Roman" w:cs="Times New Roman" w:eastAsia="Times New Roman" w:hAnsi="Times New Roman"/>
          <w:sz w:val="17"/>
          <w:szCs w:val="17"/>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Nasdaq Global Select Market fee and the FINRA filing fee.</w:t>
      </w:r>
    </w:p>
    <w:p>
      <w:pPr>
        <w:spacing w:after="0" w:line="201"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5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0"/>
        </w:trPr>
        <w:tc>
          <w:tcPr>
            <w:tcW w:w="524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7"/>
                <w:szCs w:val="17"/>
                <w:color w:val="auto"/>
              </w:rPr>
              <w:t>SEC registration fee</w:t>
            </w:r>
            <w:r>
              <w:rPr>
                <w:rFonts w:ascii="Times New Roman" w:cs="Times New Roman" w:eastAsia="Times New Roman" w:hAnsi="Times New Roman"/>
                <w:sz w:val="27"/>
                <w:szCs w:val="27"/>
                <w:color w:val="auto"/>
                <w:vertAlign w:val="superscript"/>
              </w:rPr>
              <w:t>(1)</w:t>
            </w:r>
          </w:p>
        </w:tc>
        <w:tc>
          <w:tcPr>
            <w:tcW w:w="2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$92,712.29</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Nasdaq Global Select Market fee</w:t>
            </w:r>
          </w:p>
        </w:tc>
        <w:tc>
          <w:tcPr>
            <w:tcW w:w="2040" w:type="dxa"/>
            <w:vAlign w:val="bottom"/>
          </w:tcPr>
          <w:p>
            <w:pPr>
              <w:spacing w:after="0"/>
              <w:rPr>
                <w:sz w:val="20"/>
                <w:szCs w:val="20"/>
                <w:color w:val="auto"/>
              </w:rPr>
            </w:pPr>
          </w:p>
        </w:tc>
        <w:tc>
          <w:tcPr>
            <w:tcW w:w="840" w:type="dxa"/>
            <w:vAlign w:val="bottom"/>
            <w:gridSpan w:val="2"/>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bscript"/>
              </w:rPr>
              <w:t xml:space="preserve">    </w:t>
            </w:r>
            <w:r>
              <w:rPr>
                <w:rFonts w:ascii="Times New Roman" w:cs="Times New Roman" w:eastAsia="Times New Roman" w:hAnsi="Times New Roman"/>
                <w:sz w:val="13"/>
                <w:szCs w:val="13"/>
                <w:color w:val="auto"/>
              </w:rPr>
              <w:t xml:space="preserve">  (2)</w:t>
            </w:r>
          </w:p>
        </w:tc>
      </w:tr>
      <w:tr>
        <w:trPr>
          <w:trHeight w:val="23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2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8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238"/>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Transfer agent and registrar fees and expenses</w:t>
            </w:r>
          </w:p>
        </w:tc>
        <w:tc>
          <w:tcPr>
            <w:tcW w:w="28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52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Printing and miscellaneous fees and expenses</w:t>
            </w:r>
          </w:p>
        </w:tc>
        <w:tc>
          <w:tcPr>
            <w:tcW w:w="20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58"/>
        </w:trPr>
        <w:tc>
          <w:tcPr>
            <w:tcW w:w="524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182"/>
        </w:trPr>
        <w:tc>
          <w:tcPr>
            <w:tcW w:w="52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Total</w:t>
            </w:r>
          </w:p>
        </w:tc>
        <w:tc>
          <w:tcPr>
            <w:tcW w:w="20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5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189865</wp:posOffset>
            </wp:positionV>
            <wp:extent cx="793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322" w:lineRule="exact"/>
        <w:rPr>
          <w:sz w:val="20"/>
          <w:szCs w:val="20"/>
          <w:color w:val="auto"/>
        </w:rPr>
      </w:pPr>
    </w:p>
    <w:p>
      <w:pPr>
        <w:ind w:left="780" w:right="479" w:hanging="335"/>
        <w:spacing w:after="0" w:line="222"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the Registrant is deferring payment of all applicable registration fees for the securities offered under this registration statement, other than the $92,712.29 of fees due in connection with the $400,000,000 of our common stock that may be issued and sold from time to time under a sales agreement with TD Securities (USA) LLC, successor to Cowen and Company, LLC. The filing fee previously paid in connection with the securities registered in the registration statement on Form S-3 (File No. 333-267503), all of which remain unsold, will be carried forward and applied to the securities registered under this registration statement. Please see the registration fee table contained in Exhibit 107 to this registration statement for more information.</w:t>
      </w:r>
    </w:p>
    <w:p>
      <w:pPr>
        <w:spacing w:after="0" w:line="17" w:lineRule="exact"/>
        <w:rPr>
          <w:rFonts w:ascii="Times New Roman" w:cs="Times New Roman" w:eastAsia="Times New Roman" w:hAnsi="Times New Roman"/>
          <w:sz w:val="14"/>
          <w:szCs w:val="14"/>
          <w:color w:val="auto"/>
        </w:rPr>
      </w:pPr>
    </w:p>
    <w:p>
      <w:pPr>
        <w:ind w:left="780" w:right="559" w:hanging="335"/>
        <w:spacing w:after="0" w:line="232"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173"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15.</w:t>
        <w:tab/>
        <w:t>Indemnification of Directors and Officers</w:t>
      </w:r>
    </w:p>
    <w:p>
      <w:pPr>
        <w:spacing w:after="0" w:line="119" w:lineRule="exact"/>
        <w:rPr>
          <w:sz w:val="20"/>
          <w:szCs w:val="20"/>
          <w:color w:val="auto"/>
        </w:rPr>
      </w:pPr>
    </w:p>
    <w:p>
      <w:pPr>
        <w:ind w:left="440" w:right="519" w:firstLine="347"/>
        <w:spacing w:after="0" w:line="260" w:lineRule="auto"/>
        <w:rPr>
          <w:sz w:val="20"/>
          <w:szCs w:val="20"/>
          <w:color w:val="auto"/>
        </w:rPr>
      </w:pPr>
      <w:r>
        <w:rPr>
          <w:rFonts w:ascii="Times New Roman" w:cs="Times New Roman" w:eastAsia="Times New Roman" w:hAnsi="Times New Roman"/>
          <w:sz w:val="17"/>
          <w:szCs w:val="17"/>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75"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Our amended and restated bye-laws provide that we shall indemnify our officers and directors in respect of their actions and omissions, except in respect of their fraud or dishonesty, and that we shall advance funds to our officers and directors for expenses incurred in their defense upon receipt of an undertaking to repay the funds if any allegation of fraud or dishonesty is proved.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purpose.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5" w:name="page46"/>
    <w:bookmarkEnd w:id="45"/>
    <w:tbl>
      <w:tblPr>
        <w:tblLayout w:type="fixed"/>
        <w:tblInd w:w="440" w:type="dxa"/>
        <w:tblCellMar>
          <w:top w:w="0" w:type="dxa"/>
          <w:left w:w="0" w:type="dxa"/>
          <w:bottom w:w="0" w:type="dxa"/>
          <w:right w:w="0" w:type="dxa"/>
        </w:tblCellMar>
      </w:tblPr>
      <w:tr>
        <w:trPr>
          <w:trHeight w:val="161"/>
        </w:trPr>
        <w:tc>
          <w:tcPr>
            <w:tcW w:w="42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16.</w:t>
            </w:r>
          </w:p>
        </w:tc>
        <w:tc>
          <w:tcPr>
            <w:tcW w:w="100" w:type="dxa"/>
            <w:vAlign w:val="bottom"/>
          </w:tcPr>
          <w:p>
            <w:pPr>
              <w:spacing w:after="0"/>
              <w:rPr>
                <w:sz w:val="24"/>
                <w:szCs w:val="24"/>
                <w:color w:val="auto"/>
              </w:rPr>
            </w:pPr>
          </w:p>
        </w:tc>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23"/>
        </w:trPr>
        <w:tc>
          <w:tcPr>
            <w:tcW w:w="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6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4"/>
        </w:trPr>
        <w:tc>
          <w:tcPr>
            <w:tcW w:w="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36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gridSpan w:val="2"/>
          </w:tcPr>
          <w:p>
            <w:pPr>
              <w:spacing w:after="0" w:line="182"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1.</w:t>
              </w:r>
              <w:r>
                <w:rPr>
                  <w:rFonts w:ascii="Times New Roman" w:cs="Times New Roman" w:eastAsia="Times New Roman" w:hAnsi="Times New Roman"/>
                  <w:sz w:val="17"/>
                  <w:szCs w:val="17"/>
                  <w:u w:val="single" w:color="auto"/>
                  <w:color w:val="0000EE"/>
                </w:rPr>
                <w:t>2</w:t>
              </w:r>
            </w:hyperlink>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7"/>
                <w:szCs w:val="17"/>
                <w:color w:val="auto"/>
              </w:rPr>
              <w:t>Sales Agreement, by and between the Registrant</w:t>
            </w:r>
          </w:p>
        </w:tc>
        <w:tc>
          <w:tcPr>
            <w:tcW w:w="54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S-3</w:t>
            </w:r>
          </w:p>
        </w:tc>
        <w:tc>
          <w:tcPr>
            <w:tcW w:w="1160" w:type="dxa"/>
            <w:vAlign w:val="bottom"/>
            <w:gridSpan w:val="2"/>
          </w:tcPr>
          <w:p>
            <w:pPr>
              <w:jc w:val="center"/>
              <w:ind w:left="33"/>
              <w:spacing w:after="0" w:line="182" w:lineRule="exact"/>
              <w:rPr>
                <w:sz w:val="20"/>
                <w:szCs w:val="20"/>
                <w:color w:val="auto"/>
              </w:rPr>
            </w:pPr>
            <w:r>
              <w:rPr>
                <w:rFonts w:ascii="Times New Roman" w:cs="Times New Roman" w:eastAsia="Times New Roman" w:hAnsi="Times New Roman"/>
                <w:sz w:val="17"/>
                <w:szCs w:val="17"/>
                <w:color w:val="auto"/>
              </w:rPr>
              <w:t>333-267503</w:t>
            </w:r>
          </w:p>
        </w:tc>
        <w:tc>
          <w:tcPr>
            <w:tcW w:w="5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7"/>
                <w:szCs w:val="17"/>
                <w:color w:val="auto"/>
              </w:rPr>
              <w:t>1.2</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7"/>
                <w:szCs w:val="17"/>
                <w:color w:val="auto"/>
              </w:rPr>
              <w:t>09/19/2022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and TD Securities (USA) LLC, successor to</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Cowen and Company, LLC, dated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September 19, 2022.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gridSpan w:val="2"/>
            <w:shd w:val="clear" w:color="auto" w:fill="CCEEFF"/>
          </w:tcPr>
          <w:p>
            <w:pPr>
              <w:spacing w:after="0" w:line="189"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Memorandum of Association of Roivant</w:t>
            </w: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S-4/A</w:t>
            </w:r>
          </w:p>
        </w:tc>
        <w:tc>
          <w:tcPr>
            <w:tcW w:w="1160" w:type="dxa"/>
            <w:vAlign w:val="bottom"/>
            <w:gridSpan w:val="2"/>
            <w:shd w:val="clear" w:color="auto" w:fill="CCEEFF"/>
          </w:tcPr>
          <w:p>
            <w:pPr>
              <w:jc w:val="center"/>
              <w:ind w:left="33"/>
              <w:spacing w:after="0" w:line="189" w:lineRule="exact"/>
              <w:rPr>
                <w:sz w:val="20"/>
                <w:szCs w:val="20"/>
                <w:color w:val="auto"/>
              </w:rPr>
            </w:pPr>
            <w:r>
              <w:rPr>
                <w:rFonts w:ascii="Times New Roman" w:cs="Times New Roman" w:eastAsia="Times New Roman" w:hAnsi="Times New Roman"/>
                <w:sz w:val="17"/>
                <w:szCs w:val="17"/>
                <w:color w:val="auto"/>
              </w:rPr>
              <w:t>333-256165</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3.1</w:t>
            </w:r>
          </w:p>
        </w:tc>
        <w:tc>
          <w:tcPr>
            <w:tcW w:w="9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07/01/2021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600" w:type="dxa"/>
            <w:vAlign w:val="bottom"/>
            <w:tcBorders>
              <w:top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Sciences Ltd.</w:t>
            </w:r>
          </w:p>
        </w:tc>
        <w:tc>
          <w:tcPr>
            <w:tcW w:w="5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gridSpan w:val="2"/>
          </w:tcPr>
          <w:p>
            <w:pPr>
              <w:spacing w:after="0" w:line="182" w:lineRule="exact"/>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7"/>
                <w:szCs w:val="17"/>
                <w:color w:val="auto"/>
              </w:rPr>
              <w:t>Amended and Restated Bye-laws of Roivant</w:t>
            </w:r>
          </w:p>
        </w:tc>
        <w:tc>
          <w:tcPr>
            <w:tcW w:w="54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8-K</w:t>
            </w:r>
          </w:p>
        </w:tc>
        <w:tc>
          <w:tcPr>
            <w:tcW w:w="1160" w:type="dxa"/>
            <w:vAlign w:val="bottom"/>
            <w:gridSpan w:val="2"/>
          </w:tcPr>
          <w:p>
            <w:pPr>
              <w:jc w:val="center"/>
              <w:ind w:left="13"/>
              <w:spacing w:after="0" w:line="182" w:lineRule="exact"/>
              <w:rPr>
                <w:sz w:val="20"/>
                <w:szCs w:val="20"/>
                <w:color w:val="auto"/>
              </w:rPr>
            </w:pPr>
            <w:r>
              <w:rPr>
                <w:rFonts w:ascii="Times New Roman" w:cs="Times New Roman" w:eastAsia="Times New Roman" w:hAnsi="Times New Roman"/>
                <w:sz w:val="17"/>
                <w:szCs w:val="17"/>
                <w:color w:val="auto"/>
              </w:rPr>
              <w:t>001-40782</w:t>
            </w:r>
          </w:p>
        </w:tc>
        <w:tc>
          <w:tcPr>
            <w:tcW w:w="5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7"/>
                <w:szCs w:val="17"/>
                <w:color w:val="auto"/>
              </w:rPr>
              <w:t>3.1</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7"/>
                <w:szCs w:val="17"/>
                <w:color w:val="auto"/>
              </w:rPr>
              <w:t>10/01/2021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Sciences Ltd.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4.1*</w:t>
            </w:r>
          </w:p>
        </w:tc>
        <w:tc>
          <w:tcPr>
            <w:tcW w:w="36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Specimen Preference Shares Certificate and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Certificate of Designation of Preference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gridSpan w:val="2"/>
          </w:tcPr>
          <w:p>
            <w:pPr>
              <w:spacing w:after="0" w:line="182"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7"/>
                <w:szCs w:val="17"/>
                <w:color w:val="auto"/>
              </w:rPr>
              <w:t>Form of Senior Debt Indenture.</w:t>
            </w:r>
          </w:p>
        </w:tc>
        <w:tc>
          <w:tcPr>
            <w:tcW w:w="54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S-3</w:t>
            </w:r>
          </w:p>
        </w:tc>
        <w:tc>
          <w:tcPr>
            <w:tcW w:w="1160" w:type="dxa"/>
            <w:vAlign w:val="bottom"/>
            <w:gridSpan w:val="2"/>
          </w:tcPr>
          <w:p>
            <w:pPr>
              <w:jc w:val="center"/>
              <w:ind w:left="33"/>
              <w:spacing w:after="0" w:line="182" w:lineRule="exact"/>
              <w:rPr>
                <w:sz w:val="20"/>
                <w:szCs w:val="20"/>
                <w:color w:val="auto"/>
              </w:rPr>
            </w:pPr>
            <w:r>
              <w:rPr>
                <w:rFonts w:ascii="Times New Roman" w:cs="Times New Roman" w:eastAsia="Times New Roman" w:hAnsi="Times New Roman"/>
                <w:sz w:val="17"/>
                <w:szCs w:val="17"/>
                <w:color w:val="auto"/>
              </w:rPr>
              <w:t>333-267503</w:t>
            </w:r>
          </w:p>
        </w:tc>
        <w:tc>
          <w:tcPr>
            <w:tcW w:w="5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7"/>
                <w:szCs w:val="17"/>
                <w:color w:val="auto"/>
              </w:rPr>
              <w:t>09/19/2022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60" w:type="dxa"/>
            <w:vAlign w:val="bottom"/>
            <w:gridSpan w:val="2"/>
            <w:shd w:val="clear" w:color="auto" w:fill="CCEEFF"/>
          </w:tcPr>
          <w:p>
            <w:pPr>
              <w:spacing w:after="0" w:line="182"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3</w:t>
              </w:r>
            </w:hyperlink>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0" w:type="dxa"/>
            <w:vAlign w:val="bottom"/>
            <w:gridSpan w:val="4"/>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Form of Subordinated Debt Indenture.</w:t>
            </w:r>
          </w:p>
        </w:tc>
        <w:tc>
          <w:tcPr>
            <w:tcW w:w="5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S-3</w:t>
            </w:r>
          </w:p>
        </w:tc>
        <w:tc>
          <w:tcPr>
            <w:tcW w:w="1160" w:type="dxa"/>
            <w:vAlign w:val="bottom"/>
            <w:gridSpan w:val="2"/>
            <w:shd w:val="clear" w:color="auto" w:fill="CCEEFF"/>
          </w:tcPr>
          <w:p>
            <w:pPr>
              <w:jc w:val="center"/>
              <w:ind w:left="33"/>
              <w:spacing w:after="0" w:line="182" w:lineRule="exact"/>
              <w:rPr>
                <w:sz w:val="20"/>
                <w:szCs w:val="20"/>
                <w:color w:val="auto"/>
              </w:rPr>
            </w:pPr>
            <w:r>
              <w:rPr>
                <w:rFonts w:ascii="Times New Roman" w:cs="Times New Roman" w:eastAsia="Times New Roman" w:hAnsi="Times New Roman"/>
                <w:sz w:val="17"/>
                <w:szCs w:val="17"/>
                <w:color w:val="auto"/>
              </w:rPr>
              <w:t>333-267503</w:t>
            </w:r>
          </w:p>
        </w:tc>
        <w:tc>
          <w:tcPr>
            <w:tcW w:w="540" w:type="dxa"/>
            <w:vAlign w:val="bottom"/>
            <w:gridSpan w:val="2"/>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4.3</w:t>
            </w:r>
          </w:p>
        </w:tc>
        <w:tc>
          <w:tcPr>
            <w:tcW w:w="94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09/19/2022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4.4*</w:t>
            </w: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Form of Senior Note.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4.4*</w:t>
            </w:r>
          </w:p>
        </w:tc>
        <w:tc>
          <w:tcPr>
            <w:tcW w:w="36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Subordinated Note.</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4.5*</w:t>
            </w: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Form of Warrant Agreement and Warrant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Certificate.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4.6*</w:t>
            </w:r>
          </w:p>
        </w:tc>
        <w:tc>
          <w:tcPr>
            <w:tcW w:w="36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Unit Agreement.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7"/>
                <w:szCs w:val="17"/>
                <w:color w:val="auto"/>
              </w:rPr>
              <w:t>Opinion of Conyers Dill &amp; Pearman Limited,</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34"/>
        </w:trPr>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Bermuda law counsel to Roivant Sciences Ltd.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2</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Opinion of Davis Polk &amp; Wardwell LLP, U.S.</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40"/>
        </w:trPr>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600" w:type="dxa"/>
            <w:vAlign w:val="bottom"/>
            <w:tcBorders>
              <w:top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counsel of Roivant Sciences Ltd.</w:t>
            </w:r>
          </w:p>
        </w:tc>
        <w:tc>
          <w:tcPr>
            <w:tcW w:w="5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360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7"/>
                <w:szCs w:val="17"/>
                <w:color w:val="auto"/>
              </w:rPr>
              <w:t>Consent of Ernst &amp; Young LLP, Independent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9"/>
        </w:trPr>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Registered Public Accounting Firm of Roivant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Sciences Ltd.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2</w:t>
            </w:r>
          </w:p>
        </w:tc>
        <w:tc>
          <w:tcPr>
            <w:tcW w:w="36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Consent of Conyers Dill &amp; Pearman Limited</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40"/>
        </w:trPr>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600" w:type="dxa"/>
            <w:vAlign w:val="bottom"/>
            <w:tcBorders>
              <w:top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(included in Exhibit 5.1).</w:t>
            </w:r>
          </w:p>
        </w:tc>
        <w:tc>
          <w:tcPr>
            <w:tcW w:w="5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3</w:t>
            </w:r>
          </w:p>
        </w:tc>
        <w:tc>
          <w:tcPr>
            <w:tcW w:w="3600" w:type="dxa"/>
            <w:vAlign w:val="bottom"/>
            <w:gridSpan w:val="4"/>
          </w:tcPr>
          <w:p>
            <w:pPr>
              <w:ind w:left="100"/>
              <w:spacing w:after="0" w:line="182" w:lineRule="exact"/>
              <w:rPr>
                <w:sz w:val="20"/>
                <w:szCs w:val="20"/>
                <w:color w:val="auto"/>
              </w:rPr>
            </w:pPr>
            <w:r>
              <w:rPr>
                <w:rFonts w:ascii="Times New Roman" w:cs="Times New Roman" w:eastAsia="Times New Roman" w:hAnsi="Times New Roman"/>
                <w:sz w:val="17"/>
                <w:szCs w:val="17"/>
                <w:color w:val="auto"/>
              </w:rPr>
              <w:t>Consent of Davis Polk &amp; Wardwell LLP</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34"/>
        </w:trPr>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(included in Exhibit 5.2).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24.</w:t>
            </w:r>
            <w:r>
              <w:rPr>
                <w:rFonts w:ascii="Times New Roman" w:cs="Times New Roman" w:eastAsia="Times New Roman" w:hAnsi="Times New Roman"/>
                <w:sz w:val="17"/>
                <w:szCs w:val="17"/>
                <w:u w:val="single" w:color="auto"/>
                <w:color w:val="0000EE"/>
              </w:rPr>
              <w:t>1</w:t>
            </w:r>
          </w:p>
        </w:tc>
        <w:tc>
          <w:tcPr>
            <w:tcW w:w="36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Power of Attorney. Reference is made to the</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600" w:type="dxa"/>
            <w:vAlign w:val="bottom"/>
            <w:tcBorders>
              <w:top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signature pages of this Form S-3.</w:t>
            </w:r>
          </w:p>
        </w:tc>
        <w:tc>
          <w:tcPr>
            <w:tcW w:w="5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25.1**</w:t>
            </w: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Statement of Eligibility of Trustee under the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Indenture.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107</w:t>
            </w:r>
          </w:p>
        </w:tc>
        <w:tc>
          <w:tcPr>
            <w:tcW w:w="320" w:type="dxa"/>
            <w:vAlign w:val="bottom"/>
            <w:shd w:val="clear" w:color="auto" w:fill="CCEEFF"/>
          </w:tcPr>
          <w:p>
            <w:pPr>
              <w:spacing w:after="0"/>
              <w:rPr>
                <w:sz w:val="16"/>
                <w:szCs w:val="16"/>
                <w:color w:val="auto"/>
              </w:rPr>
            </w:pPr>
          </w:p>
        </w:tc>
        <w:tc>
          <w:tcPr>
            <w:tcW w:w="36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Calculation of Filing Fee Tables</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71"/>
        </w:trPr>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140335</wp:posOffset>
            </wp:positionV>
            <wp:extent cx="793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244" w:lineRule="exact"/>
        <w:rPr>
          <w:sz w:val="20"/>
          <w:szCs w:val="20"/>
          <w:color w:val="auto"/>
        </w:rPr>
      </w:pPr>
    </w:p>
    <w:p>
      <w:pPr>
        <w:ind w:left="780" w:hanging="335"/>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Current Report on Form 8-K and incorporated herein by reference, if applicable.</w:t>
      </w:r>
    </w:p>
    <w:p>
      <w:pPr>
        <w:spacing w:after="0" w:line="34" w:lineRule="exact"/>
        <w:rPr>
          <w:sz w:val="20"/>
          <w:szCs w:val="20"/>
          <w:color w:val="auto"/>
        </w:rPr>
      </w:pPr>
    </w:p>
    <w:p>
      <w:pPr>
        <w:ind w:left="780" w:right="699" w:hanging="335"/>
        <w:spacing w:after="0" w:line="244" w:lineRule="auto"/>
        <w:tabs>
          <w:tab w:leader="none" w:pos="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the requirements of Section 305(b)(2) of the Trust Indenture Act of 1939, as amended, and the applicable rules thereunder.</w:t>
      </w:r>
    </w:p>
    <w:p>
      <w:pPr>
        <w:spacing w:after="0" w:line="169"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17.</w:t>
        <w:tab/>
        <w:t>Undertakings</w:t>
      </w:r>
    </w:p>
    <w:p>
      <w:pPr>
        <w:spacing w:after="0" w:line="1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17" w:lineRule="exact"/>
        <w:rPr>
          <w:sz w:val="20"/>
          <w:szCs w:val="20"/>
          <w:color w:val="auto"/>
        </w:rPr>
      </w:pPr>
    </w:p>
    <w:p>
      <w:pPr>
        <w:ind w:left="1140" w:right="879" w:hanging="348"/>
        <w:spacing w:after="0" w:line="293" w:lineRule="auto"/>
        <w:tabs>
          <w:tab w:leader="none" w:pos="11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43" w:lineRule="exact"/>
        <w:rPr>
          <w:rFonts w:ascii="Times New Roman" w:cs="Times New Roman" w:eastAsia="Times New Roman" w:hAnsi="Times New Roman"/>
          <w:sz w:val="17"/>
          <w:szCs w:val="17"/>
          <w:color w:val="auto"/>
        </w:rPr>
      </w:pPr>
    </w:p>
    <w:p>
      <w:pPr>
        <w:ind w:left="1480" w:hanging="341"/>
        <w:spacing w:after="0"/>
        <w:tabs>
          <w:tab w:leader="none" w:pos="14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16" w:lineRule="exact"/>
        <w:rPr>
          <w:rFonts w:ascii="Times New Roman" w:cs="Times New Roman" w:eastAsia="Times New Roman" w:hAnsi="Times New Roman"/>
          <w:sz w:val="17"/>
          <w:szCs w:val="17"/>
          <w:color w:val="auto"/>
        </w:rPr>
      </w:pPr>
    </w:p>
    <w:p>
      <w:pPr>
        <w:ind w:left="1480" w:right="979" w:hanging="341"/>
        <w:spacing w:after="0" w:line="274" w:lineRule="auto"/>
        <w:tabs>
          <w:tab w:leader="none" w:pos="14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480" w:right="499"/>
        <w:spacing w:after="0" w:line="262" w:lineRule="auto"/>
        <w:rPr>
          <w:sz w:val="20"/>
          <w:szCs w:val="20"/>
          <w:color w:val="auto"/>
        </w:rPr>
      </w:pPr>
      <w:r>
        <w:rPr>
          <w:rFonts w:ascii="Times New Roman" w:cs="Times New Roman" w:eastAsia="Times New Roman" w:hAnsi="Times New Roman"/>
          <w:sz w:val="17"/>
          <w:szCs w:val="17"/>
          <w:color w:val="auto"/>
        </w:rPr>
        <w:t>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81" w:lineRule="exact"/>
        <w:rPr>
          <w:sz w:val="20"/>
          <w:szCs w:val="20"/>
          <w:color w:val="auto"/>
        </w:rPr>
      </w:pPr>
    </w:p>
    <w:p>
      <w:pPr>
        <w:ind w:left="1480" w:right="479" w:hanging="341"/>
        <w:spacing w:after="0" w:line="293" w:lineRule="auto"/>
        <w:tabs>
          <w:tab w:leader="none" w:pos="14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41" w:lineRule="exact"/>
        <w:rPr>
          <w:sz w:val="20"/>
          <w:szCs w:val="20"/>
          <w:color w:val="auto"/>
        </w:rPr>
      </w:pPr>
    </w:p>
    <w:p>
      <w:pPr>
        <w:ind w:left="800" w:right="459"/>
        <w:spacing w:after="0" w:line="265"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(1)(i), (1)(ii) and (1)(iii) do not apply if the information required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68" w:lineRule="exact"/>
        <w:rPr>
          <w:sz w:val="20"/>
          <w:szCs w:val="20"/>
          <w:color w:val="auto"/>
        </w:rPr>
      </w:pPr>
    </w:p>
    <w:p>
      <w:pPr>
        <w:ind w:left="1140" w:right="599" w:hanging="348"/>
        <w:spacing w:after="0" w:line="268"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3" w:lineRule="exact"/>
        <w:rPr>
          <w:rFonts w:ascii="Times New Roman" w:cs="Times New Roman" w:eastAsia="Times New Roman" w:hAnsi="Times New Roman"/>
          <w:sz w:val="17"/>
          <w:szCs w:val="17"/>
          <w:color w:val="auto"/>
        </w:rPr>
      </w:pPr>
    </w:p>
    <w:p>
      <w:pPr>
        <w:ind w:left="1140" w:right="479" w:hanging="348"/>
        <w:spacing w:after="0" w:line="293"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43" w:lineRule="exact"/>
        <w:rPr>
          <w:rFonts w:ascii="Times New Roman" w:cs="Times New Roman" w:eastAsia="Times New Roman" w:hAnsi="Times New Roman"/>
          <w:sz w:val="17"/>
          <w:szCs w:val="17"/>
          <w:color w:val="auto"/>
        </w:rPr>
      </w:pPr>
    </w:p>
    <w:p>
      <w:pPr>
        <w:ind w:left="1140" w:hanging="348"/>
        <w:spacing w:after="0"/>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w:t>
      </w:r>
    </w:p>
    <w:p>
      <w:pPr>
        <w:spacing w:after="0" w:line="116" w:lineRule="exact"/>
        <w:rPr>
          <w:rFonts w:ascii="Times New Roman" w:cs="Times New Roman" w:eastAsia="Times New Roman" w:hAnsi="Times New Roman"/>
          <w:sz w:val="17"/>
          <w:szCs w:val="17"/>
          <w:color w:val="auto"/>
        </w:rPr>
      </w:pPr>
    </w:p>
    <w:p>
      <w:pPr>
        <w:ind w:left="1480" w:right="679" w:hanging="341"/>
        <w:spacing w:after="0" w:line="274" w:lineRule="auto"/>
        <w:tabs>
          <w:tab w:leader="none" w:pos="14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8" w:lineRule="exact"/>
        <w:rPr>
          <w:rFonts w:ascii="Times New Roman" w:cs="Times New Roman" w:eastAsia="Times New Roman" w:hAnsi="Times New Roman"/>
          <w:sz w:val="17"/>
          <w:szCs w:val="17"/>
          <w:color w:val="auto"/>
        </w:rPr>
      </w:pPr>
    </w:p>
    <w:p>
      <w:pPr>
        <w:ind w:left="1480" w:right="599" w:hanging="341"/>
        <w:spacing w:after="0" w:line="266" w:lineRule="auto"/>
        <w:tabs>
          <w:tab w:leader="none" w:pos="14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spacing w:after="0" w:line="1" w:lineRule="exact"/>
        <w:rPr>
          <w:rFonts w:ascii="Times New Roman" w:cs="Times New Roman" w:eastAsia="Times New Roman" w:hAnsi="Times New Roman"/>
          <w:sz w:val="17"/>
          <w:szCs w:val="17"/>
          <w:color w:val="auto"/>
        </w:rPr>
      </w:pPr>
    </w:p>
    <w:p>
      <w:pPr>
        <w:ind w:left="1480" w:right="479"/>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0" w:lineRule="exact"/>
        <w:rPr>
          <w:rFonts w:ascii="Times New Roman" w:cs="Times New Roman" w:eastAsia="Times New Roman" w:hAnsi="Times New Roman"/>
          <w:sz w:val="17"/>
          <w:szCs w:val="17"/>
          <w:color w:val="auto"/>
        </w:rPr>
      </w:pPr>
    </w:p>
    <w:p>
      <w:pPr>
        <w:ind w:left="1140" w:right="479" w:hanging="348"/>
        <w:spacing w:after="0" w:line="263"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rFonts w:ascii="Times New Roman" w:cs="Times New Roman" w:eastAsia="Times New Roman" w:hAnsi="Times New Roman"/>
          <w:sz w:val="17"/>
          <w:szCs w:val="17"/>
          <w:color w:val="auto"/>
        </w:rPr>
      </w:pPr>
    </w:p>
    <w:p>
      <w:pPr>
        <w:ind w:left="1480" w:right="999" w:hanging="341"/>
        <w:spacing w:after="0" w:line="293" w:lineRule="auto"/>
        <w:tabs>
          <w:tab w:leader="none" w:pos="14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8" w:lineRule="exact"/>
        <w:rPr>
          <w:sz w:val="20"/>
          <w:szCs w:val="20"/>
          <w:color w:val="auto"/>
        </w:rPr>
      </w:pPr>
    </w:p>
    <w:p>
      <w:pPr>
        <w:ind w:left="1480" w:right="919" w:hanging="341"/>
        <w:spacing w:after="0" w:line="293" w:lineRule="auto"/>
        <w:tabs>
          <w:tab w:leader="none" w:pos="148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43" w:lineRule="exact"/>
        <w:rPr>
          <w:rFonts w:ascii="Times New Roman" w:cs="Times New Roman" w:eastAsia="Times New Roman" w:hAnsi="Times New Roman"/>
          <w:sz w:val="17"/>
          <w:szCs w:val="17"/>
          <w:color w:val="auto"/>
        </w:rPr>
      </w:pPr>
    </w:p>
    <w:p>
      <w:pPr>
        <w:jc w:val="both"/>
        <w:ind w:left="1480" w:right="1159" w:hanging="341"/>
        <w:spacing w:after="0" w:line="274" w:lineRule="auto"/>
        <w:tabs>
          <w:tab w:leader="none" w:pos="148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58" w:lineRule="exact"/>
        <w:rPr>
          <w:rFonts w:ascii="Times New Roman" w:cs="Times New Roman" w:eastAsia="Times New Roman" w:hAnsi="Times New Roman"/>
          <w:sz w:val="17"/>
          <w:szCs w:val="17"/>
          <w:color w:val="auto"/>
        </w:rPr>
      </w:pPr>
    </w:p>
    <w:p>
      <w:pPr>
        <w:ind w:left="1480" w:right="739" w:hanging="341"/>
        <w:spacing w:after="0" w:line="293" w:lineRule="auto"/>
        <w:tabs>
          <w:tab w:leader="none" w:pos="148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43" w:lineRule="exact"/>
        <w:rPr>
          <w:rFonts w:ascii="Times New Roman" w:cs="Times New Roman" w:eastAsia="Times New Roman" w:hAnsi="Times New Roman"/>
          <w:sz w:val="17"/>
          <w:szCs w:val="17"/>
          <w:color w:val="auto"/>
        </w:rPr>
      </w:pPr>
    </w:p>
    <w:p>
      <w:pPr>
        <w:ind w:left="1140" w:right="499" w:hanging="348"/>
        <w:spacing w:after="0" w:line="263" w:lineRule="auto"/>
        <w:tabs>
          <w:tab w:leader="none" w:pos="11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8" w:lineRule="exact"/>
        <w:rPr>
          <w:sz w:val="20"/>
          <w:szCs w:val="20"/>
          <w:color w:val="auto"/>
        </w:rPr>
      </w:pPr>
    </w:p>
    <w:p>
      <w:pPr>
        <w:ind w:left="440" w:right="459" w:firstLine="347"/>
        <w:spacing w:after="0" w:line="25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6" w:lineRule="exact"/>
        <w:rPr>
          <w:sz w:val="20"/>
          <w:szCs w:val="20"/>
          <w:color w:val="auto"/>
        </w:rPr>
      </w:pPr>
    </w:p>
    <w:p>
      <w:pPr>
        <w:jc w:val="both"/>
        <w:ind w:left="440" w:right="1159" w:firstLine="347"/>
        <w:spacing w:after="0" w:line="274" w:lineRule="auto"/>
        <w:rPr>
          <w:sz w:val="20"/>
          <w:szCs w:val="20"/>
          <w:color w:val="auto"/>
        </w:rPr>
      </w:pPr>
      <w:r>
        <w:rPr>
          <w:rFonts w:ascii="Times New Roman" w:cs="Times New Roman" w:eastAsia="Times New Roman" w:hAnsi="Times New Roman"/>
          <w:sz w:val="17"/>
          <w:szCs w:val="17"/>
          <w:color w:val="auto"/>
        </w:rPr>
        <w:t>The undersigned registrant hereby undertakes to file an application for the purpose of determining the eligibility of the trustee to act under subsection (a) of Section 310 of the Trust Indenture Act, or the Act, in accordance with the rules and regulations prescribed by the SEC under Section 305(b)(2) of the Act.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135255</wp:posOffset>
            </wp:positionV>
            <wp:extent cx="674052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ind w:left="440" w:right="479" w:firstLine="347"/>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on Form S-3 to be signed on its behalf by the undersigned, thereunto duly authorized, on October 3, 2025.</w:t>
      </w:r>
    </w:p>
    <w:p>
      <w:pPr>
        <w:spacing w:after="0" w:line="18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ROIVANT SCIENCES LTD.</w:t>
      </w:r>
    </w:p>
    <w:p>
      <w:pPr>
        <w:spacing w:after="0" w:line="273"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17"/>
          <w:szCs w:val="17"/>
          <w:color w:val="auto"/>
        </w:rPr>
        <w:t>By:</w:t>
        <w:tab/>
        <w:t>/s/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36195</wp:posOffset>
            </wp:positionV>
            <wp:extent cx="23958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2395855" cy="8255"/>
                    </a:xfrm>
                    <a:prstGeom prst="rect">
                      <a:avLst/>
                    </a:prstGeom>
                    <a:noFill/>
                  </pic:spPr>
                </pic:pic>
              </a:graphicData>
            </a:graphic>
          </wp:anchor>
        </w:drawing>
      </w:r>
    </w:p>
    <w:p>
      <w:pPr>
        <w:spacing w:after="0" w:line="58" w:lineRule="exact"/>
        <w:rPr>
          <w:sz w:val="20"/>
          <w:szCs w:val="20"/>
          <w:color w:val="auto"/>
        </w:rPr>
      </w:pPr>
    </w:p>
    <w:p>
      <w:pPr>
        <w:ind w:left="4800"/>
        <w:spacing w:after="0"/>
        <w:tabs>
          <w:tab w:leader="none" w:pos="5440" w:val="left"/>
        </w:tabs>
        <w:rPr>
          <w:sz w:val="20"/>
          <w:szCs w:val="20"/>
          <w:color w:val="auto"/>
        </w:rPr>
      </w:pPr>
      <w:r>
        <w:rPr>
          <w:rFonts w:ascii="Times New Roman" w:cs="Times New Roman" w:eastAsia="Times New Roman" w:hAnsi="Times New Roman"/>
          <w:sz w:val="17"/>
          <w:szCs w:val="17"/>
          <w:color w:val="auto"/>
        </w:rPr>
        <w:t>Name:</w:t>
        <w:tab/>
        <w:t>Keyur Parekh</w:t>
      </w:r>
    </w:p>
    <w:p>
      <w:pPr>
        <w:spacing w:after="0" w:line="39" w:lineRule="exact"/>
        <w:rPr>
          <w:sz w:val="20"/>
          <w:szCs w:val="20"/>
          <w:color w:val="auto"/>
        </w:rPr>
      </w:pPr>
    </w:p>
    <w:p>
      <w:pPr>
        <w:ind w:left="4800"/>
        <w:spacing w:after="0"/>
        <w:tabs>
          <w:tab w:leader="none" w:pos="54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127000</wp:posOffset>
            </wp:positionV>
            <wp:extent cx="674052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9" w:lineRule="exact"/>
        <w:rPr>
          <w:sz w:val="20"/>
          <w:szCs w:val="20"/>
          <w:color w:val="auto"/>
        </w:rPr>
      </w:pPr>
    </w:p>
    <w:p>
      <w:pPr>
        <w:ind w:left="440" w:right="479" w:firstLine="347"/>
        <w:spacing w:after="0" w:line="259" w:lineRule="auto"/>
        <w:rPr>
          <w:sz w:val="20"/>
          <w:szCs w:val="20"/>
          <w:color w:val="auto"/>
        </w:rPr>
      </w:pPr>
      <w:r>
        <w:rPr>
          <w:rFonts w:ascii="Times New Roman" w:cs="Times New Roman" w:eastAsia="Times New Roman" w:hAnsi="Times New Roman"/>
          <w:sz w:val="17"/>
          <w:szCs w:val="17"/>
          <w:color w:val="auto"/>
        </w:rPr>
        <w:t>KNOW ALL PERSONS BY THESE PRESENTS, that each of the undersigned constitutes and appoints Richard Pulik, Jo Chen and Keyur Parekh, as his or her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76" w:lineRule="exact"/>
        <w:rPr>
          <w:sz w:val="20"/>
          <w:szCs w:val="20"/>
          <w:color w:val="auto"/>
        </w:rPr>
      </w:pPr>
    </w:p>
    <w:p>
      <w:pPr>
        <w:ind w:left="440" w:right="499" w:firstLine="347"/>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on Form S-3 has been signed below by the following persons in the capacities and on the dates indicated.</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72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3"/>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Matthew Gline</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44"/>
        </w:trPr>
        <w:tc>
          <w:tcPr>
            <w:tcW w:w="2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Matthew Gline</w:t>
            </w:r>
          </w:p>
        </w:tc>
        <w:tc>
          <w:tcPr>
            <w:tcW w:w="2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Richard Pulik</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44"/>
        </w:trPr>
        <w:tc>
          <w:tcPr>
            <w:tcW w:w="2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Richard Pulik</w:t>
            </w:r>
          </w:p>
        </w:tc>
        <w:tc>
          <w:tcPr>
            <w:tcW w:w="2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Jennifer Humes</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Accounting Officer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44"/>
        </w:trPr>
        <w:tc>
          <w:tcPr>
            <w:tcW w:w="2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Jennifer Humes</w:t>
            </w:r>
          </w:p>
        </w:tc>
        <w:tc>
          <w:tcPr>
            <w:tcW w:w="2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Mayukh Sukhatme</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President and Chief Investment Officer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44"/>
        </w:trPr>
        <w:tc>
          <w:tcPr>
            <w:tcW w:w="2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and Director</w:t>
            </w: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Mayukh Sukhatme</w:t>
            </w:r>
          </w:p>
        </w:tc>
        <w:tc>
          <w:tcPr>
            <w:tcW w:w="2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Keith Manchester</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Keith Manchester</w:t>
            </w:r>
          </w:p>
        </w:tc>
        <w:tc>
          <w:tcPr>
            <w:tcW w:w="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Ilan Oren</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Ilan Oren</w:t>
            </w:r>
          </w:p>
        </w:tc>
        <w:tc>
          <w:tcPr>
            <w:tcW w:w="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Daniel Gold</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Daniel Gold</w:t>
            </w:r>
          </w:p>
        </w:tc>
        <w:tc>
          <w:tcPr>
            <w:tcW w:w="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Melissa Epperly</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Melissa Epperly</w:t>
            </w:r>
          </w:p>
        </w:tc>
        <w:tc>
          <w:tcPr>
            <w:tcW w:w="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Meghan FitzGerald</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Meghan FitzGerald</w:t>
            </w:r>
          </w:p>
        </w:tc>
        <w:tc>
          <w:tcPr>
            <w:tcW w:w="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/s/ James C. Momtazee</w:t>
            </w:r>
          </w:p>
        </w:tc>
        <w:tc>
          <w:tcPr>
            <w:tcW w:w="2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 2025</w:t>
            </w:r>
          </w:p>
        </w:tc>
        <w:tc>
          <w:tcPr>
            <w:tcW w:w="0" w:type="dxa"/>
            <w:vAlign w:val="bottom"/>
          </w:tcPr>
          <w:p>
            <w:pPr>
              <w:spacing w:after="0"/>
              <w:rPr>
                <w:sz w:val="1"/>
                <w:szCs w:val="1"/>
                <w:color w:val="auto"/>
              </w:rPr>
            </w:pPr>
          </w:p>
        </w:tc>
      </w:tr>
      <w:tr>
        <w:trPr>
          <w:trHeight w:val="26"/>
        </w:trPr>
        <w:tc>
          <w:tcPr>
            <w:tcW w:w="2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James C. Momtazee</w:t>
            </w:r>
          </w:p>
        </w:tc>
        <w:tc>
          <w:tcPr>
            <w:tcW w:w="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II-6</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50" w:name="page51"/>
    <w:bookmarkEnd w:id="50"/>
    <w:p>
      <w:pPr>
        <w:ind w:left="10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5.1</w:t>
      </w:r>
    </w:p>
    <w:p>
      <w:pPr>
        <w:spacing w:after="0" w:line="21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032C40"/>
        </w:rPr>
        <w:t>CONYERS DILL &amp; PEARMAN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2478405" cy="5124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2478405" cy="512445"/>
                    </a:xfrm>
                    <a:prstGeom prst="rect">
                      <a:avLst/>
                    </a:prstGeom>
                    <a:noFill/>
                  </pic:spPr>
                </pic:pic>
              </a:graphicData>
            </a:graphic>
          </wp:anchor>
        </w:drawing>
      </w:r>
    </w:p>
    <w:p>
      <w:pPr>
        <w:spacing w:after="0" w:line="1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111111"/>
        </w:rPr>
        <w:t>Clarendon House, 2 Church Street</w:t>
      </w:r>
    </w:p>
    <w:p>
      <w:pPr>
        <w:ind w:left="6760"/>
        <w:spacing w:after="0"/>
        <w:rPr>
          <w:sz w:val="20"/>
          <w:szCs w:val="20"/>
          <w:color w:val="auto"/>
        </w:rPr>
      </w:pPr>
      <w:r>
        <w:rPr>
          <w:rFonts w:ascii="Times New Roman" w:cs="Times New Roman" w:eastAsia="Times New Roman" w:hAnsi="Times New Roman"/>
          <w:sz w:val="14"/>
          <w:szCs w:val="14"/>
          <w:color w:val="111111"/>
        </w:rPr>
        <w:t>Hamilton HM 11, Bermuda</w:t>
      </w:r>
    </w:p>
    <w:p>
      <w:pPr>
        <w:spacing w:after="0" w:line="1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111111"/>
        </w:rPr>
        <w:t>Mail: PO Box HM 666, Hamilton HM CX, Bermuda</w:t>
      </w:r>
    </w:p>
    <w:p>
      <w:pPr>
        <w:ind w:left="6760"/>
        <w:spacing w:after="0"/>
        <w:rPr>
          <w:sz w:val="20"/>
          <w:szCs w:val="20"/>
          <w:color w:val="auto"/>
        </w:rPr>
      </w:pPr>
      <w:r>
        <w:rPr>
          <w:rFonts w:ascii="Times New Roman" w:cs="Times New Roman" w:eastAsia="Times New Roman" w:hAnsi="Times New Roman"/>
          <w:sz w:val="14"/>
          <w:szCs w:val="14"/>
          <w:color w:val="111111"/>
        </w:rPr>
        <w:t>T +1 441 295 1422</w:t>
      </w:r>
    </w:p>
    <w:p>
      <w:pPr>
        <w:spacing w:after="0" w:line="1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032C40"/>
        </w:rPr>
        <w:t>conyers.com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October 2025</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D2A30"/>
        </w:rPr>
        <w:t>Matter No.:348706</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D2A30"/>
        </w:rPr>
        <w:t>+44 20 7562 0346</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D2A30"/>
        </w:rPr>
        <w:t>karoline.tauschke@conyers.com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Roivant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7th Floor</w:t>
      </w:r>
    </w:p>
    <w:p>
      <w:pPr>
        <w:spacing w:after="0" w:line="13" w:lineRule="exact"/>
        <w:rPr>
          <w:sz w:val="20"/>
          <w:szCs w:val="20"/>
          <w:color w:val="auto"/>
        </w:rPr>
      </w:pPr>
    </w:p>
    <w:p>
      <w:pPr>
        <w:ind w:right="10060" w:firstLine="4"/>
        <w:spacing w:after="0" w:line="260" w:lineRule="auto"/>
        <w:tabs>
          <w:tab w:leader="none" w:pos="217" w:val="left"/>
        </w:tabs>
        <w:numPr>
          <w:ilvl w:val="0"/>
          <w:numId w:val="38"/>
        </w:numPr>
        <w:rPr>
          <w:rFonts w:ascii="Times New Roman" w:cs="Times New Roman" w:eastAsia="Times New Roman" w:hAnsi="Times New Roman"/>
          <w:sz w:val="17"/>
          <w:szCs w:val="17"/>
          <w:color w:val="2D2A30"/>
        </w:rPr>
      </w:pPr>
      <w:r>
        <w:rPr>
          <w:rFonts w:ascii="Times New Roman" w:cs="Times New Roman" w:eastAsia="Times New Roman" w:hAnsi="Times New Roman"/>
          <w:sz w:val="17"/>
          <w:szCs w:val="17"/>
          <w:color w:val="2D2A30"/>
        </w:rPr>
        <w:t>Broadway London SW1H 0DB United Kingdom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Dear Sir/Madam,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D2A30"/>
        </w:rPr>
        <w:t>Re: Roivant Sciences Ltd. (the “Company”)</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2D2A30"/>
        </w:rPr>
        <w:t>We have acted as special legal counsel in Bermuda to the Company in connection with a Registration Statement on Form S-3 filed with the U.S. Securities and Exchange Commission (the “</w:t>
      </w:r>
      <w:r>
        <w:rPr>
          <w:rFonts w:ascii="Times New Roman" w:cs="Times New Roman" w:eastAsia="Times New Roman" w:hAnsi="Times New Roman"/>
          <w:sz w:val="17"/>
          <w:szCs w:val="17"/>
          <w:b w:val="1"/>
          <w:bCs w:val="1"/>
          <w:color w:val="2D2A30"/>
        </w:rPr>
        <w:t>Commission</w:t>
      </w:r>
      <w:r>
        <w:rPr>
          <w:rFonts w:ascii="Times New Roman" w:cs="Times New Roman" w:eastAsia="Times New Roman" w:hAnsi="Times New Roman"/>
          <w:sz w:val="17"/>
          <w:szCs w:val="17"/>
          <w:color w:val="2D2A30"/>
        </w:rPr>
        <w:t>”) on 3 October 2025 (the “</w:t>
      </w:r>
      <w:r>
        <w:rPr>
          <w:rFonts w:ascii="Times New Roman" w:cs="Times New Roman" w:eastAsia="Times New Roman" w:hAnsi="Times New Roman"/>
          <w:sz w:val="17"/>
          <w:szCs w:val="17"/>
          <w:b w:val="1"/>
          <w:bCs w:val="1"/>
          <w:color w:val="2D2A30"/>
        </w:rPr>
        <w:t>Registration Statement</w:t>
      </w:r>
      <w:r>
        <w:rPr>
          <w:rFonts w:ascii="Times New Roman" w:cs="Times New Roman" w:eastAsia="Times New Roman" w:hAnsi="Times New Roman"/>
          <w:sz w:val="17"/>
          <w:szCs w:val="17"/>
          <w:color w:val="2D2A30"/>
        </w:rPr>
        <w:t>”, which term does not include any other document or agreement whether or not specifically referred to therein or attached as an exhibit or schedule thereto), including:</w:t>
      </w:r>
    </w:p>
    <w:p>
      <w:pPr>
        <w:spacing w:after="0" w:line="163" w:lineRule="exact"/>
        <w:rPr>
          <w:sz w:val="20"/>
          <w:szCs w:val="20"/>
          <w:color w:val="auto"/>
        </w:rPr>
      </w:pPr>
    </w:p>
    <w:p>
      <w:pPr>
        <w:jc w:val="both"/>
        <w:ind w:left="1260" w:hanging="631"/>
        <w:spacing w:after="0" w:line="266" w:lineRule="auto"/>
        <w:tabs>
          <w:tab w:leader="none" w:pos="1260" w:val="left"/>
        </w:tabs>
        <w:numPr>
          <w:ilvl w:val="0"/>
          <w:numId w:val="39"/>
        </w:numPr>
        <w:rPr>
          <w:rFonts w:ascii="Times New Roman" w:cs="Times New Roman" w:eastAsia="Times New Roman" w:hAnsi="Times New Roman"/>
          <w:sz w:val="17"/>
          <w:szCs w:val="17"/>
          <w:color w:val="2D2A30"/>
        </w:rPr>
      </w:pPr>
      <w:r>
        <w:rPr>
          <w:rFonts w:ascii="Times New Roman" w:cs="Times New Roman" w:eastAsia="Times New Roman" w:hAnsi="Times New Roman"/>
          <w:sz w:val="17"/>
          <w:szCs w:val="17"/>
          <w:color w:val="2D2A30"/>
        </w:rPr>
        <w:t>the prospectus which covers the offering, issuance and sale from time to time of the Company’s common shares, US$0.0000000341740141 par value per share (the “</w:t>
      </w:r>
      <w:r>
        <w:rPr>
          <w:rFonts w:ascii="Times New Roman" w:cs="Times New Roman" w:eastAsia="Times New Roman" w:hAnsi="Times New Roman"/>
          <w:sz w:val="17"/>
          <w:szCs w:val="17"/>
          <w:b w:val="1"/>
          <w:bCs w:val="1"/>
          <w:color w:val="2D2A30"/>
        </w:rPr>
        <w:t>Common Shares</w:t>
      </w:r>
      <w:r>
        <w:rPr>
          <w:rFonts w:ascii="Times New Roman" w:cs="Times New Roman" w:eastAsia="Times New Roman" w:hAnsi="Times New Roman"/>
          <w:sz w:val="17"/>
          <w:szCs w:val="17"/>
          <w:color w:val="2D2A30"/>
        </w:rPr>
        <w:t>”), preference shares (the “</w:t>
      </w:r>
      <w:r>
        <w:rPr>
          <w:rFonts w:ascii="Times New Roman" w:cs="Times New Roman" w:eastAsia="Times New Roman" w:hAnsi="Times New Roman"/>
          <w:sz w:val="17"/>
          <w:szCs w:val="17"/>
          <w:b w:val="1"/>
          <w:bCs w:val="1"/>
          <w:color w:val="2D2A30"/>
        </w:rPr>
        <w:t>Preference Shares</w:t>
      </w:r>
      <w:r>
        <w:rPr>
          <w:rFonts w:ascii="Times New Roman" w:cs="Times New Roman" w:eastAsia="Times New Roman" w:hAnsi="Times New Roman"/>
          <w:sz w:val="17"/>
          <w:szCs w:val="17"/>
          <w:color w:val="2D2A30"/>
        </w:rPr>
        <w:t>”), debt securities (“</w:t>
      </w:r>
      <w:r>
        <w:rPr>
          <w:rFonts w:ascii="Times New Roman" w:cs="Times New Roman" w:eastAsia="Times New Roman" w:hAnsi="Times New Roman"/>
          <w:sz w:val="17"/>
          <w:szCs w:val="17"/>
          <w:b w:val="1"/>
          <w:bCs w:val="1"/>
          <w:color w:val="2D2A30"/>
        </w:rPr>
        <w:t>Debt Securities</w:t>
      </w:r>
      <w:r>
        <w:rPr>
          <w:rFonts w:ascii="Times New Roman" w:cs="Times New Roman" w:eastAsia="Times New Roman" w:hAnsi="Times New Roman"/>
          <w:sz w:val="17"/>
          <w:szCs w:val="17"/>
          <w:color w:val="2D2A30"/>
        </w:rPr>
        <w:t>”), warrants to purchase Common Shares, Preference Shares or debt securities (“</w:t>
      </w:r>
      <w:r>
        <w:rPr>
          <w:rFonts w:ascii="Times New Roman" w:cs="Times New Roman" w:eastAsia="Times New Roman" w:hAnsi="Times New Roman"/>
          <w:sz w:val="17"/>
          <w:szCs w:val="17"/>
          <w:b w:val="1"/>
          <w:bCs w:val="1"/>
          <w:color w:val="2D2A30"/>
        </w:rPr>
        <w:t>Warrants</w:t>
      </w:r>
      <w:r>
        <w:rPr>
          <w:rFonts w:ascii="Times New Roman" w:cs="Times New Roman" w:eastAsia="Times New Roman" w:hAnsi="Times New Roman"/>
          <w:sz w:val="17"/>
          <w:szCs w:val="17"/>
          <w:color w:val="2D2A30"/>
        </w:rPr>
        <w:t>”) and units consisting of two or more types of the foregoing securities (the “</w:t>
      </w:r>
      <w:r>
        <w:rPr>
          <w:rFonts w:ascii="Times New Roman" w:cs="Times New Roman" w:eastAsia="Times New Roman" w:hAnsi="Times New Roman"/>
          <w:sz w:val="17"/>
          <w:szCs w:val="17"/>
          <w:b w:val="1"/>
          <w:bCs w:val="1"/>
          <w:color w:val="2D2A30"/>
        </w:rPr>
        <w:t>Units</w:t>
      </w:r>
      <w:r>
        <w:rPr>
          <w:rFonts w:ascii="Times New Roman" w:cs="Times New Roman" w:eastAsia="Times New Roman" w:hAnsi="Times New Roman"/>
          <w:sz w:val="17"/>
          <w:szCs w:val="17"/>
          <w:color w:val="2D2A30"/>
        </w:rPr>
        <w:t>”, and together with the Common Shares, the Preference Shares, the Debt Securities and the Warrants, the “</w:t>
      </w:r>
      <w:r>
        <w:rPr>
          <w:rFonts w:ascii="Times New Roman" w:cs="Times New Roman" w:eastAsia="Times New Roman" w:hAnsi="Times New Roman"/>
          <w:sz w:val="17"/>
          <w:szCs w:val="17"/>
          <w:b w:val="1"/>
          <w:bCs w:val="1"/>
          <w:color w:val="2D2A30"/>
        </w:rPr>
        <w:t>Securities</w:t>
      </w:r>
      <w:r>
        <w:rPr>
          <w:rFonts w:ascii="Times New Roman" w:cs="Times New Roman" w:eastAsia="Times New Roman" w:hAnsi="Times New Roman"/>
          <w:sz w:val="17"/>
          <w:szCs w:val="17"/>
          <w:color w:val="2D2A30"/>
        </w:rPr>
        <w:t>”); and</w:t>
      </w:r>
    </w:p>
    <w:p>
      <w:pPr>
        <w:spacing w:after="0" w:line="382" w:lineRule="exact"/>
        <w:rPr>
          <w:rFonts w:ascii="Times New Roman" w:cs="Times New Roman" w:eastAsia="Times New Roman" w:hAnsi="Times New Roman"/>
          <w:sz w:val="17"/>
          <w:szCs w:val="17"/>
          <w:color w:val="2D2A30"/>
        </w:rPr>
      </w:pPr>
    </w:p>
    <w:p>
      <w:pPr>
        <w:jc w:val="both"/>
        <w:ind w:left="1260" w:hanging="631"/>
        <w:spacing w:after="0" w:line="274" w:lineRule="auto"/>
        <w:tabs>
          <w:tab w:leader="none" w:pos="1260" w:val="left"/>
        </w:tabs>
        <w:numPr>
          <w:ilvl w:val="0"/>
          <w:numId w:val="39"/>
        </w:numPr>
        <w:rPr>
          <w:rFonts w:ascii="Times New Roman" w:cs="Times New Roman" w:eastAsia="Times New Roman" w:hAnsi="Times New Roman"/>
          <w:sz w:val="17"/>
          <w:szCs w:val="17"/>
          <w:color w:val="2D2A30"/>
        </w:rPr>
      </w:pPr>
      <w:r>
        <w:rPr>
          <w:rFonts w:ascii="Times New Roman" w:cs="Times New Roman" w:eastAsia="Times New Roman" w:hAnsi="Times New Roman"/>
          <w:sz w:val="17"/>
          <w:szCs w:val="17"/>
          <w:color w:val="2D2A30"/>
        </w:rPr>
        <w:t>the prospectus which covers the offering, issuance, and sale of Common Shares by the Company of up to a maximum aggregate offering price of US$400 million pursuant to the Sales Agreement dated 19 September 2022 between the Company and TD Securities (USA) LLC, successor to Cowen and Company, LLC,</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D2A30"/>
        </w:rPr>
        <w:t>(together, the “</w:t>
      </w:r>
      <w:r>
        <w:rPr>
          <w:rFonts w:ascii="Times New Roman" w:cs="Times New Roman" w:eastAsia="Times New Roman" w:hAnsi="Times New Roman"/>
          <w:sz w:val="17"/>
          <w:szCs w:val="17"/>
          <w:b w:val="1"/>
          <w:bCs w:val="1"/>
          <w:color w:val="2D2A30"/>
        </w:rPr>
        <w:t>Prospectuses</w:t>
      </w:r>
      <w:r>
        <w:rPr>
          <w:rFonts w:ascii="Times New Roman" w:cs="Times New Roman" w:eastAsia="Times New Roman" w:hAnsi="Times New Roman"/>
          <w:sz w:val="17"/>
          <w:szCs w:val="17"/>
          <w:color w:val="2D2A3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51" w:name="page52"/>
    <w:bookmarkEnd w:id="51"/>
    <w:p>
      <w:pPr>
        <w:ind w:left="620" w:hanging="616"/>
        <w:spacing w:after="0"/>
        <w:tabs>
          <w:tab w:leader="none" w:pos="62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2D2A30"/>
        </w:rPr>
        <w:t>DOCUMENTS REVIEWED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For the purposes of giving this opinion, we have examined a copy of the Registration Statement and the Prospectuses.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We have also reviewed:</w:t>
      </w:r>
    </w:p>
    <w:p>
      <w:pPr>
        <w:spacing w:after="0" w:line="219" w:lineRule="exact"/>
        <w:rPr>
          <w:sz w:val="20"/>
          <w:szCs w:val="20"/>
          <w:color w:val="auto"/>
        </w:rPr>
      </w:pPr>
    </w:p>
    <w:p>
      <w:pPr>
        <w:ind w:left="620" w:hanging="624"/>
        <w:spacing w:after="0" w:line="296" w:lineRule="auto"/>
        <w:tabs>
          <w:tab w:leader="none" w:pos="6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2D2A30"/>
        </w:rPr>
        <w:t>copies of the memorandum of association and the bye-laws of the Company (together, the “</w:t>
      </w:r>
      <w:r>
        <w:rPr>
          <w:rFonts w:ascii="Times New Roman" w:cs="Times New Roman" w:eastAsia="Times New Roman" w:hAnsi="Times New Roman"/>
          <w:sz w:val="17"/>
          <w:szCs w:val="17"/>
          <w:b w:val="1"/>
          <w:bCs w:val="1"/>
          <w:color w:val="2D2A30"/>
        </w:rPr>
        <w:t>Constitutional Documents</w:t>
      </w:r>
      <w:r>
        <w:rPr>
          <w:rFonts w:ascii="Times New Roman" w:cs="Times New Roman" w:eastAsia="Times New Roman" w:hAnsi="Times New Roman"/>
          <w:sz w:val="17"/>
          <w:szCs w:val="17"/>
          <w:color w:val="2D2A30"/>
        </w:rPr>
        <w:t>"), each certified by the Secretary of the Company on 2 October 2025;</w:t>
      </w:r>
    </w:p>
    <w:p>
      <w:pPr>
        <w:spacing w:after="0" w:line="142" w:lineRule="exact"/>
        <w:rPr>
          <w:sz w:val="20"/>
          <w:szCs w:val="20"/>
          <w:color w:val="auto"/>
        </w:rPr>
      </w:pPr>
    </w:p>
    <w:p>
      <w:pPr>
        <w:ind w:left="620" w:hanging="624"/>
        <w:spacing w:after="0" w:line="296" w:lineRule="auto"/>
        <w:tabs>
          <w:tab w:leader="none" w:pos="6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2D2A30"/>
        </w:rPr>
        <w:t>a certified extract of resolutions adopted at a meeting of the board of directors of the Company (the “</w:t>
      </w:r>
      <w:r>
        <w:rPr>
          <w:rFonts w:ascii="Times New Roman" w:cs="Times New Roman" w:eastAsia="Times New Roman" w:hAnsi="Times New Roman"/>
          <w:sz w:val="17"/>
          <w:szCs w:val="17"/>
          <w:b w:val="1"/>
          <w:bCs w:val="1"/>
          <w:color w:val="2D2A30"/>
        </w:rPr>
        <w:t>Board</w:t>
      </w:r>
      <w:r>
        <w:rPr>
          <w:rFonts w:ascii="Times New Roman" w:cs="Times New Roman" w:eastAsia="Times New Roman" w:hAnsi="Times New Roman"/>
          <w:sz w:val="17"/>
          <w:szCs w:val="17"/>
          <w:color w:val="2D2A30"/>
        </w:rPr>
        <w:t>”) held on 10 September 2025, (the "</w:t>
      </w:r>
      <w:r>
        <w:rPr>
          <w:rFonts w:ascii="Times New Roman" w:cs="Times New Roman" w:eastAsia="Times New Roman" w:hAnsi="Times New Roman"/>
          <w:sz w:val="17"/>
          <w:szCs w:val="17"/>
          <w:b w:val="1"/>
          <w:bCs w:val="1"/>
          <w:color w:val="2D2A30"/>
        </w:rPr>
        <w:t>Resolutions</w:t>
      </w:r>
      <w:r>
        <w:rPr>
          <w:rFonts w:ascii="Times New Roman" w:cs="Times New Roman" w:eastAsia="Times New Roman" w:hAnsi="Times New Roman"/>
          <w:sz w:val="17"/>
          <w:szCs w:val="17"/>
          <w:color w:val="2D2A30"/>
        </w:rPr>
        <w:t>"), certified by an officer of the Company on 1 October 2025; and</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2D2A30"/>
        </w:rPr>
        <w:t>such other documents and made such enquiries as to questions of law as we have deemed necessary in order to render the opinion set forth below.</w:t>
      </w:r>
    </w:p>
    <w:p>
      <w:pPr>
        <w:spacing w:after="0" w:line="219" w:lineRule="exact"/>
        <w:rPr>
          <w:sz w:val="20"/>
          <w:szCs w:val="20"/>
          <w:color w:val="auto"/>
        </w:rPr>
      </w:pPr>
    </w:p>
    <w:p>
      <w:pPr>
        <w:ind w:left="620" w:hanging="616"/>
        <w:spacing w:after="0"/>
        <w:tabs>
          <w:tab w:leader="none" w:pos="62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2D2A30"/>
        </w:rPr>
        <w:t>ASSUMPTIONS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We have assumed:</w:t>
      </w:r>
    </w:p>
    <w:p>
      <w:pPr>
        <w:spacing w:after="0" w:line="221" w:lineRule="exact"/>
        <w:rPr>
          <w:sz w:val="20"/>
          <w:szCs w:val="20"/>
          <w:color w:val="auto"/>
        </w:rPr>
      </w:pPr>
    </w:p>
    <w:p>
      <w:pPr>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2D2A30"/>
        </w:rPr>
        <w:t>the genuineness and authenticity of all signatures and the conformity to the originals of all copies (whether or not certified) examined by us and the authenticity and completeness of the originals from which such copies were taken;</w:t>
      </w:r>
    </w:p>
    <w:p>
      <w:pPr>
        <w:spacing w:after="0" w:line="147" w:lineRule="exact"/>
        <w:rPr>
          <w:sz w:val="20"/>
          <w:szCs w:val="20"/>
          <w:color w:val="auto"/>
        </w:rPr>
      </w:pPr>
    </w:p>
    <w:p>
      <w:pPr>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2D2A30"/>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p>
      <w:pPr>
        <w:spacing w:after="0" w:line="147" w:lineRule="exact"/>
        <w:rPr>
          <w:sz w:val="20"/>
          <w:szCs w:val="20"/>
          <w:color w:val="auto"/>
        </w:rPr>
      </w:pPr>
    </w:p>
    <w:p>
      <w:pPr>
        <w:ind w:left="620" w:hanging="624"/>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color w:val="2D2A30"/>
        </w:rPr>
        <w:t>the accuracy and completeness of all factual representations made in the Registration Statement, the Prospectuses and any other documents reviewed by us;</w:t>
      </w:r>
    </w:p>
    <w:p>
      <w:pPr>
        <w:spacing w:after="0" w:line="398" w:lineRule="exact"/>
        <w:rPr>
          <w:sz w:val="20"/>
          <w:szCs w:val="20"/>
          <w:color w:val="auto"/>
        </w:rPr>
      </w:pPr>
    </w:p>
    <w:p>
      <w:pPr>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color w:val="2D2A30"/>
        </w:rPr>
        <w:t>that the Resolutions were passed at one or more duly convened, constituted and quorate meetings, or by unanimous written resolutions, remain in full force and effect and have not been rescinded or amended;</w:t>
      </w:r>
    </w:p>
    <w:p>
      <w:pPr>
        <w:spacing w:after="0" w:line="14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7"/>
          <w:szCs w:val="17"/>
          <w:color w:val="2D2A30"/>
        </w:rPr>
        <w:t>that the Constitutional Documents will not be amended in any manner that would affect the opinions expressed herein;</w:t>
      </w:r>
    </w:p>
    <w:p>
      <w:pPr>
        <w:spacing w:after="0" w:line="221" w:lineRule="exact"/>
        <w:rPr>
          <w:sz w:val="20"/>
          <w:szCs w:val="20"/>
          <w:color w:val="auto"/>
        </w:rPr>
      </w:pPr>
    </w:p>
    <w:p>
      <w:pPr>
        <w:ind w:left="620" w:hanging="624"/>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7"/>
          <w:szCs w:val="17"/>
          <w:color w:val="2D2A30"/>
        </w:rPr>
        <w:t>that there is no provision of the law of any jurisdiction, other than Bermuda, which would have any implication in relation to the opinions expressed herein;</w:t>
      </w:r>
    </w:p>
    <w:p>
      <w:pPr>
        <w:spacing w:after="0" w:line="398" w:lineRule="exact"/>
        <w:rPr>
          <w:sz w:val="20"/>
          <w:szCs w:val="20"/>
          <w:color w:val="auto"/>
        </w:rPr>
      </w:pPr>
    </w:p>
    <w:p>
      <w:pPr>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7"/>
          <w:szCs w:val="17"/>
          <w:color w:val="2D2A30"/>
        </w:rPr>
        <w:t>that the Company will have sufficient authorised capital to effect the issue of any of the Common Shares and the Preference Shares at the time of issuance, whether as principal issue or on the conversion, exchange or exercise of any Securities;</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conyers.com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374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jc w:val="both"/>
        <w:ind w:left="620" w:hanging="624"/>
        <w:spacing w:after="0" w:line="274" w:lineRule="auto"/>
        <w:tabs>
          <w:tab w:leader="none" w:pos="60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7"/>
          <w:szCs w:val="17"/>
          <w:color w:val="2D2A30"/>
        </w:rPr>
        <w:t>that the Common Shares and Preference Shares will be listed on an appointed stock exchange, as defined in the Companies Act 1981, as amended (the “</w:t>
      </w:r>
      <w:r>
        <w:rPr>
          <w:rFonts w:ascii="Times New Roman" w:cs="Times New Roman" w:eastAsia="Times New Roman" w:hAnsi="Times New Roman"/>
          <w:sz w:val="17"/>
          <w:szCs w:val="17"/>
          <w:b w:val="1"/>
          <w:bCs w:val="1"/>
          <w:color w:val="2D2A30"/>
        </w:rPr>
        <w:t>Companies Act</w:t>
      </w:r>
      <w:r>
        <w:rPr>
          <w:rFonts w:ascii="Times New Roman" w:cs="Times New Roman" w:eastAsia="Times New Roman" w:hAnsi="Times New Roman"/>
          <w:sz w:val="17"/>
          <w:szCs w:val="17"/>
          <w:color w:val="2D2A30"/>
        </w:rPr>
        <w:t>”), which includes the NASDAQ and the consent to the issue and free transfer of the Securities given by the Bermuda Monetary Authority as of 25 February 2022 will not have been revoked or amended at the time of the issuance of any Common Shares or Preference Shares;</w:t>
      </w:r>
    </w:p>
    <w:p>
      <w:pPr>
        <w:spacing w:after="0" w:line="163" w:lineRule="exact"/>
        <w:rPr>
          <w:sz w:val="20"/>
          <w:szCs w:val="20"/>
          <w:color w:val="auto"/>
        </w:rPr>
      </w:pPr>
    </w:p>
    <w:p>
      <w:pPr>
        <w:jc w:val="both"/>
        <w:ind w:left="620" w:hanging="624"/>
        <w:spacing w:after="0" w:line="264" w:lineRule="auto"/>
        <w:tabs>
          <w:tab w:leader="none" w:pos="600" w:val="left"/>
        </w:tabs>
        <w:rPr>
          <w:sz w:val="20"/>
          <w:szCs w:val="20"/>
          <w:color w:val="auto"/>
        </w:rPr>
      </w:pPr>
      <w:r>
        <w:rPr>
          <w:rFonts w:ascii="Times New Roman" w:cs="Times New Roman" w:eastAsia="Times New Roman" w:hAnsi="Times New Roman"/>
          <w:sz w:val="17"/>
          <w:szCs w:val="17"/>
          <w:color w:val="auto"/>
        </w:rPr>
        <w:t>2.9.</w:t>
      </w:r>
      <w:r>
        <w:rPr>
          <w:sz w:val="20"/>
          <w:szCs w:val="20"/>
          <w:color w:val="auto"/>
        </w:rPr>
        <w:tab/>
      </w:r>
      <w:r>
        <w:rPr>
          <w:rFonts w:ascii="Times New Roman" w:cs="Times New Roman" w:eastAsia="Times New Roman" w:hAnsi="Times New Roman"/>
          <w:sz w:val="17"/>
          <w:szCs w:val="17"/>
          <w:color w:val="2D2A30"/>
        </w:rPr>
        <w:t>that the form and terms of any and all Securities (including, without limitation, the designation, powers, preferences, rights, qualifications, limitations and restrictions of Preference Shares) or other securities (or other obligations, rights, currencies, commodities or other subject matter) comprising the same or subject thereto (in the case of the Warrants and Units),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Constitutional Documents nor any applicable law, regulation, order or decree in Bermuda;</w:t>
      </w:r>
    </w:p>
    <w:p>
      <w:pPr>
        <w:spacing w:after="0" w:line="382" w:lineRule="exact"/>
        <w:rPr>
          <w:sz w:val="20"/>
          <w:szCs w:val="20"/>
          <w:color w:val="auto"/>
        </w:rPr>
      </w:pPr>
    </w:p>
    <w:p>
      <w:pPr>
        <w:jc w:val="both"/>
        <w:ind w:left="620" w:hanging="624"/>
        <w:spacing w:after="0" w:line="265" w:lineRule="auto"/>
        <w:tabs>
          <w:tab w:leader="none" w:pos="600" w:val="left"/>
        </w:tabs>
        <w:rPr>
          <w:sz w:val="20"/>
          <w:szCs w:val="20"/>
          <w:color w:val="auto"/>
        </w:rPr>
      </w:pPr>
      <w:r>
        <w:rPr>
          <w:rFonts w:ascii="Times New Roman" w:cs="Times New Roman" w:eastAsia="Times New Roman" w:hAnsi="Times New Roman"/>
          <w:sz w:val="17"/>
          <w:szCs w:val="17"/>
          <w:color w:val="auto"/>
        </w:rPr>
        <w:t>2.10.</w:t>
      </w:r>
      <w:r>
        <w:rPr>
          <w:rFonts w:ascii="Times New Roman" w:cs="Times New Roman" w:eastAsia="Times New Roman" w:hAnsi="Times New Roman"/>
          <w:sz w:val="17"/>
          <w:szCs w:val="17"/>
          <w:color w:val="2D2A30"/>
        </w:rPr>
        <w:tab/>
        <w:t>that all necessary corporate action will be taken to authorise and approve any issuance of Securities (including, if Preference Shares are to be issued, all necessary corporate action to establish one or more series of Preference Shares and fix the designation, powers, preferences, rights, qualifications, limitations and restrictions thereof), the terms of the offering thereof and related matters, and that the applicable definitive purchase, underwriting or similar agreement, and if any Debt Securities are to be issued, the applicable indenture and any applicable supplements thereto and any other agreement or other document relating to any Security will be duly approved, executed and delivered by or on behalf of the Company and all other parties thereto;</w:t>
      </w:r>
    </w:p>
    <w:p>
      <w:pPr>
        <w:spacing w:after="0" w:line="170" w:lineRule="exact"/>
        <w:rPr>
          <w:sz w:val="20"/>
          <w:szCs w:val="20"/>
          <w:color w:val="auto"/>
        </w:rPr>
      </w:pPr>
    </w:p>
    <w:p>
      <w:pPr>
        <w:jc w:val="both"/>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7"/>
          <w:szCs w:val="17"/>
          <w:color w:val="2D2A30"/>
        </w:rPr>
        <w:t>that the applicable purchase, underwriting or similar agreement, any Debt Security, any indenture and any supplement thereto and any other agreement or other document relating to any Security will be valid and binding in accordance with its terms pursuant to its governing law;</w:t>
      </w:r>
    </w:p>
    <w:p>
      <w:pPr>
        <w:spacing w:after="0" w:line="147" w:lineRule="exact"/>
        <w:rPr>
          <w:sz w:val="20"/>
          <w:szCs w:val="20"/>
          <w:color w:val="auto"/>
        </w:rPr>
      </w:pPr>
    </w:p>
    <w:p>
      <w:pPr>
        <w:jc w:val="both"/>
        <w:ind w:left="620" w:hanging="624"/>
        <w:spacing w:after="0" w:line="274" w:lineRule="auto"/>
        <w:tabs>
          <w:tab w:leader="none" w:pos="600" w:val="left"/>
        </w:tabs>
        <w:rPr>
          <w:sz w:val="20"/>
          <w:szCs w:val="20"/>
          <w:color w:val="auto"/>
        </w:rPr>
      </w:pPr>
      <w:r>
        <w:rPr>
          <w:rFonts w:ascii="Times New Roman" w:cs="Times New Roman" w:eastAsia="Times New Roman" w:hAnsi="Times New Roman"/>
          <w:sz w:val="17"/>
          <w:szCs w:val="17"/>
          <w:color w:val="auto"/>
        </w:rPr>
        <w:t>2.12.</w:t>
      </w:r>
      <w:r>
        <w:rPr>
          <w:rFonts w:ascii="Times New Roman" w:cs="Times New Roman" w:eastAsia="Times New Roman" w:hAnsi="Times New Roman"/>
          <w:sz w:val="17"/>
          <w:szCs w:val="17"/>
          <w:color w:val="2D2A30"/>
        </w:rPr>
        <w:tab/>
        <w:t>that the issuance and sale of and payment for the Securities will be in accordance with the applicable definitive purchase, underwriting or similar agreement duly approved by the Board and the Registration Statement (including the Prospectuses set forth therein and any applicable supplement thereto) and, if Debt Securities are to be issued, the applicable indenture and any applicable supplements thereto;</w:t>
      </w:r>
    </w:p>
    <w:p>
      <w:pPr>
        <w:spacing w:after="0" w:line="163" w:lineRule="exact"/>
        <w:rPr>
          <w:sz w:val="20"/>
          <w:szCs w:val="20"/>
          <w:color w:val="auto"/>
        </w:rPr>
      </w:pPr>
    </w:p>
    <w:p>
      <w:pPr>
        <w:jc w:val="both"/>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2.13.</w:t>
      </w:r>
      <w:r>
        <w:rPr>
          <w:rFonts w:ascii="Times New Roman" w:cs="Times New Roman" w:eastAsia="Times New Roman" w:hAnsi="Times New Roman"/>
          <w:sz w:val="17"/>
          <w:szCs w:val="17"/>
          <w:color w:val="2D2A30"/>
        </w:rPr>
        <w:tab/>
        <w:t>upon the issue of any Common Shares or Preference Shares, the Company will receive consideration for the full issue price thereof which shall be equal to at least the par value thereof; and</w:t>
      </w:r>
    </w:p>
    <w:p>
      <w:pPr>
        <w:spacing w:after="0" w:line="147" w:lineRule="exact"/>
        <w:rPr>
          <w:sz w:val="20"/>
          <w:szCs w:val="20"/>
          <w:color w:val="auto"/>
        </w:rPr>
      </w:pPr>
    </w:p>
    <w:p>
      <w:pPr>
        <w:jc w:val="both"/>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2.14.</w:t>
      </w:r>
      <w:r>
        <w:rPr>
          <w:rFonts w:ascii="Times New Roman" w:cs="Times New Roman" w:eastAsia="Times New Roman" w:hAnsi="Times New Roman"/>
          <w:sz w:val="17"/>
          <w:szCs w:val="17"/>
          <w:color w:val="2D2A30"/>
        </w:rPr>
        <w:tab/>
        <w:t>capacity, power and authority of all parties other than the Company to enter into and perform their obligations under any and all documents entered into by such parties in connection with the issuance of the Securities, and the due execution and delivery thereof by each party thereto.</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conyers.com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374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620" w:hanging="616"/>
        <w:spacing w:after="0"/>
        <w:tabs>
          <w:tab w:leader="none" w:pos="62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2D2A30"/>
        </w:rPr>
        <w:t>QUALIFICATIONS</w:t>
      </w:r>
    </w:p>
    <w:p>
      <w:pPr>
        <w:spacing w:after="0" w:line="2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color w:val="2D2A30"/>
        </w:rPr>
        <w:t>The obligations of the Company in connection with any Security and any indenture or other agreement or document relating thereto:</w:t>
      </w:r>
    </w:p>
    <w:p>
      <w:pPr>
        <w:spacing w:after="0" w:line="221" w:lineRule="exact"/>
        <w:rPr>
          <w:sz w:val="20"/>
          <w:szCs w:val="20"/>
          <w:color w:val="auto"/>
        </w:rPr>
      </w:pPr>
    </w:p>
    <w:p>
      <w:pPr>
        <w:jc w:val="both"/>
        <w:ind w:left="1260" w:hanging="631"/>
        <w:spacing w:after="0" w:line="268" w:lineRule="auto"/>
        <w:tabs>
          <w:tab w:leader="none" w:pos="1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D2A30"/>
        </w:rPr>
        <w:t>will be subject to the laws from time to time in effect relating to bankruptcy, insolvency, liquidation, possessory liens, rights of set off, reorganisation, amalgamation, merger, consolidation, moratorium, bribery, corruption, money laundering, terrorist financing, proliferation financing or any other laws or legal procedures, whether of a similar nature or otherwise, generally affecting the rights of creditors as well as applicable international sanctions;</w:t>
      </w:r>
    </w:p>
    <w:p>
      <w:pPr>
        <w:spacing w:after="0" w:line="167"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D2A30"/>
        </w:rPr>
        <w:t>will be subject to statutory limitation of the time within which proceedings may be brought;</w:t>
      </w:r>
    </w:p>
    <w:p>
      <w:pPr>
        <w:spacing w:after="0" w:line="220" w:lineRule="exact"/>
        <w:rPr>
          <w:rFonts w:ascii="Times New Roman" w:cs="Times New Roman" w:eastAsia="Times New Roman" w:hAnsi="Times New Roman"/>
          <w:sz w:val="17"/>
          <w:szCs w:val="17"/>
          <w:color w:val="auto"/>
        </w:rPr>
      </w:pPr>
    </w:p>
    <w:p>
      <w:pPr>
        <w:ind w:left="1260" w:hanging="631"/>
        <w:spacing w:after="0" w:line="293" w:lineRule="auto"/>
        <w:tabs>
          <w:tab w:leader="none" w:pos="1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D2A30"/>
        </w:rPr>
        <w:t>will be subject to general principles of equity and, as such, specific performance and injunctive relief, being equitable remedies, may not be available;</w:t>
      </w:r>
    </w:p>
    <w:p>
      <w:pPr>
        <w:spacing w:after="0" w:line="147" w:lineRule="exact"/>
        <w:rPr>
          <w:rFonts w:ascii="Times New Roman" w:cs="Times New Roman" w:eastAsia="Times New Roman" w:hAnsi="Times New Roman"/>
          <w:sz w:val="17"/>
          <w:szCs w:val="17"/>
          <w:color w:val="auto"/>
        </w:rPr>
      </w:pPr>
    </w:p>
    <w:p>
      <w:pPr>
        <w:ind w:left="1260" w:hanging="631"/>
        <w:spacing w:after="0" w:line="293" w:lineRule="auto"/>
        <w:tabs>
          <w:tab w:leader="none" w:pos="1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D2A30"/>
        </w:rPr>
        <w:t>may not be given effect to by a Bermuda court if and to the extent they constitute the payment of an amount which is in the nature of a penalty; and</w:t>
      </w:r>
    </w:p>
    <w:p>
      <w:pPr>
        <w:spacing w:after="0" w:line="147" w:lineRule="exact"/>
        <w:rPr>
          <w:rFonts w:ascii="Times New Roman" w:cs="Times New Roman" w:eastAsia="Times New Roman" w:hAnsi="Times New Roman"/>
          <w:sz w:val="17"/>
          <w:szCs w:val="17"/>
          <w:color w:val="auto"/>
        </w:rPr>
      </w:pPr>
    </w:p>
    <w:p>
      <w:pPr>
        <w:jc w:val="both"/>
        <w:ind w:left="1260" w:hanging="631"/>
        <w:spacing w:after="0" w:line="274" w:lineRule="auto"/>
        <w:tabs>
          <w:tab w:leader="none" w:pos="1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D2A30"/>
        </w:rPr>
        <w:t>may not be given effect by a Bermuda court to the extent that they are to be performed in a jurisdiction outside Bermuda and such performance would be illegal under the laws of that jurisdiction. Notwithstanding any contractual submission to the exclusive or non-exclusive jurisdiction of specific courts, a Bermuda court has inherent discretion to stay or allow proceedings in the Bermuda courts.</w:t>
      </w:r>
    </w:p>
    <w:p>
      <w:pPr>
        <w:spacing w:after="0" w:line="163" w:lineRule="exact"/>
        <w:rPr>
          <w:sz w:val="20"/>
          <w:szCs w:val="20"/>
          <w:color w:val="auto"/>
        </w:rPr>
      </w:pPr>
    </w:p>
    <w:p>
      <w:pPr>
        <w:jc w:val="both"/>
        <w:ind w:left="620" w:hanging="624"/>
        <w:spacing w:after="0" w:line="263" w:lineRule="auto"/>
        <w:tabs>
          <w:tab w:leader="none" w:pos="6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2D2A30"/>
        </w:rPr>
        <w:t>"Non-assessability" is not a legal concept under Bermuda law, but when we describe the Common Shares and/or Preference Shares herein as being "non-assessable" we mean, subject to any contrary provision in any agreement between the Company and any one of its members holding any of the Common Shares and Preference Shares (but only with respect to such member), that no further sums are payable with respect to the issue of such shares and no member shall be bound by an alteration in the Constitutional Documents after the date upon which it became a member if and so far as the alteration requires such member to take or subscribe for additional Common Shares or Preference Shares or in any way increases its liability to contribute to the share capital of, or otherwise pay money to, the Company.</w:t>
      </w:r>
    </w:p>
    <w:p>
      <w:pPr>
        <w:spacing w:after="0" w:line="1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2D2A30"/>
        </w:rPr>
        <w:t>We have made no investigation of and express no opinion in relation to the laws of any jurisdiction other than Bermuda.</w:t>
      </w:r>
    </w:p>
    <w:p>
      <w:pPr>
        <w:spacing w:after="0" w:line="221" w:lineRule="exact"/>
        <w:rPr>
          <w:sz w:val="20"/>
          <w:szCs w:val="20"/>
          <w:color w:val="auto"/>
        </w:rPr>
      </w:pPr>
    </w:p>
    <w:p>
      <w:pPr>
        <w:jc w:val="both"/>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color w:val="2D2A30"/>
        </w:rPr>
        <w:t>This opinion is to be governed by and construed in accordance with the laws of Bermuda and is limited to and is given on the basis of the current law and practice in Bermuda.</w:t>
      </w:r>
    </w:p>
    <w:p>
      <w:pPr>
        <w:spacing w:after="0" w:line="147" w:lineRule="exact"/>
        <w:rPr>
          <w:sz w:val="20"/>
          <w:szCs w:val="20"/>
          <w:color w:val="auto"/>
        </w:rPr>
      </w:pPr>
    </w:p>
    <w:p>
      <w:pPr>
        <w:jc w:val="both"/>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7"/>
          <w:szCs w:val="17"/>
          <w:color w:val="2D2A30"/>
        </w:rPr>
        <w:t>This opinion is issued solely for your benefit and use for the purposes of the filing of the Registration Statement and the issuance of the Securities by the Company as described in the Registration Statement and is not to be relied upon by any other person, firm or entity or in respect of any other matter.</w:t>
      </w:r>
    </w:p>
    <w:p>
      <w:pPr>
        <w:spacing w:after="0" w:line="316"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color w:val="auto"/>
        </w:rPr>
        <w:t>conyers.com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71374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ind w:left="620" w:hanging="616"/>
        <w:spacing w:after="0"/>
        <w:tabs>
          <w:tab w:leader="none" w:pos="62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2D2A30"/>
        </w:rPr>
        <w:t>OPINIONS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On the basis of and subject to the foregoing, we are of the opinion that:</w:t>
      </w:r>
    </w:p>
    <w:p>
      <w:pPr>
        <w:spacing w:after="0" w:line="221" w:lineRule="exact"/>
        <w:rPr>
          <w:sz w:val="20"/>
          <w:szCs w:val="20"/>
          <w:color w:val="auto"/>
        </w:rPr>
      </w:pPr>
    </w:p>
    <w:p>
      <w:pPr>
        <w:jc w:val="both"/>
        <w:ind w:left="620" w:hanging="624"/>
        <w:spacing w:after="0" w:line="274" w:lineRule="auto"/>
        <w:tabs>
          <w:tab w:leader="none" w:pos="60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color w:val="2D2A30"/>
        </w:rPr>
        <w:t>The Company is duly incorporated and existing under the laws of Bermuda in good standing (meaning solely that it has not failed to make any filing with any Bermuda governmental authority under the Companies Act 1981, or to pay any Bermuda government fee or tax, which would make it liable to be struck off the Register of Companies and thereby cease to exist under the laws of Bermuda).</w:t>
      </w:r>
    </w:p>
    <w:p>
      <w:pPr>
        <w:spacing w:after="0" w:line="163" w:lineRule="exact"/>
        <w:rPr>
          <w:sz w:val="20"/>
          <w:szCs w:val="20"/>
          <w:color w:val="auto"/>
        </w:rPr>
      </w:pPr>
    </w:p>
    <w:p>
      <w:pPr>
        <w:jc w:val="both"/>
        <w:ind w:left="620" w:hanging="624"/>
        <w:spacing w:after="0" w:line="293" w:lineRule="auto"/>
        <w:tabs>
          <w:tab w:leader="none" w:pos="60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7"/>
          <w:szCs w:val="17"/>
          <w:color w:val="2D2A30"/>
        </w:rPr>
        <w:t>Upon the due issuance of the Common Shares and/or Preference Shares and payment of the consideration therefor, such Common Shares and/or Preference Shares will be validly issued, fully paid and non-assessable.</w:t>
      </w:r>
    </w:p>
    <w:p>
      <w:pPr>
        <w:spacing w:after="0" w:line="147" w:lineRule="exact"/>
        <w:rPr>
          <w:sz w:val="20"/>
          <w:szCs w:val="20"/>
          <w:color w:val="auto"/>
        </w:rPr>
      </w:pPr>
    </w:p>
    <w:p>
      <w:pPr>
        <w:jc w:val="both"/>
        <w:ind w:left="620" w:hanging="624"/>
        <w:spacing w:after="0" w:line="274" w:lineRule="auto"/>
        <w:tabs>
          <w:tab w:leader="none" w:pos="60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7"/>
          <w:szCs w:val="17"/>
          <w:color w:val="2D2A30"/>
        </w:rPr>
        <w:t>Upon the due issuance of: (a) Debt Securities; (b) Warrants and/or (c) Units, and payment of the consideration therefor, such Securities will be validly issued and (except in the case of any Common Shares or Preference Shares forming part of a Unit) will constitute valid and binding obligations of the Company in accordance with the terms thereof.</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2D2A30"/>
        </w:rPr>
        <w:t>We hereby consent to the filing of this opinion as an exhibit to the Registration Statement and to the references to our firm under the caption “Legal Matters” in the Prospectuses forming a part of the Registration Statement.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A30"/>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2D2A30"/>
        </w:rPr>
        <w:t>/s/ Conyers Dill &amp; Pearman Limited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D2A30"/>
        </w:rPr>
        <w:t>Conyers Dill &amp; Pearman Limited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conyers.com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77470</wp:posOffset>
            </wp:positionV>
            <wp:extent cx="71374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5.2</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140BE3"/>
        </w:rPr>
        <w:t xml:space="preserve">Davis Polk &amp; Wardwell </w:t>
      </w:r>
      <w:r>
        <w:rPr>
          <w:rFonts w:ascii="Times New Roman" w:cs="Times New Roman" w:eastAsia="Times New Roman" w:hAnsi="Times New Roman"/>
          <w:sz w:val="9"/>
          <w:szCs w:val="9"/>
          <w:color w:val="140BE3"/>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-86360</wp:posOffset>
            </wp:positionV>
            <wp:extent cx="867410" cy="156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867410" cy="156845"/>
                    </a:xfrm>
                    <a:prstGeom prst="rect">
                      <a:avLst/>
                    </a:prstGeom>
                    <a:noFill/>
                  </pic:spPr>
                </pic:pic>
              </a:graphicData>
            </a:graphic>
          </wp:anchor>
        </w:drawing>
      </w:r>
    </w:p>
    <w:p>
      <w:pPr>
        <w:ind w:left="2260"/>
        <w:spacing w:after="0" w:line="213" w:lineRule="auto"/>
        <w:rPr>
          <w:sz w:val="20"/>
          <w:szCs w:val="20"/>
          <w:color w:val="auto"/>
        </w:rPr>
      </w:pPr>
      <w:r>
        <w:rPr>
          <w:rFonts w:ascii="Times New Roman" w:cs="Times New Roman" w:eastAsia="Times New Roman" w:hAnsi="Times New Roman"/>
          <w:sz w:val="14"/>
          <w:szCs w:val="14"/>
          <w:color w:val="140BE3"/>
        </w:rPr>
        <w:t>450 Lexington Avenue</w:t>
      </w:r>
    </w:p>
    <w:p>
      <w:pPr>
        <w:ind w:left="2260"/>
        <w:spacing w:after="0" w:line="213" w:lineRule="auto"/>
        <w:rPr>
          <w:sz w:val="20"/>
          <w:szCs w:val="20"/>
          <w:color w:val="auto"/>
        </w:rPr>
      </w:pPr>
      <w:r>
        <w:rPr>
          <w:rFonts w:ascii="Times New Roman" w:cs="Times New Roman" w:eastAsia="Times New Roman" w:hAnsi="Times New Roman"/>
          <w:sz w:val="14"/>
          <w:szCs w:val="14"/>
          <w:color w:val="140BE3"/>
        </w:rPr>
        <w:t>New York, NY 10017</w:t>
      </w:r>
    </w:p>
    <w:p>
      <w:pPr>
        <w:ind w:left="2260"/>
        <w:spacing w:after="0"/>
        <w:rPr>
          <w:sz w:val="20"/>
          <w:szCs w:val="20"/>
          <w:color w:val="auto"/>
        </w:rPr>
      </w:pPr>
      <w:r>
        <w:rPr>
          <w:rFonts w:ascii="Times New Roman" w:cs="Times New Roman" w:eastAsia="Times New Roman" w:hAnsi="Times New Roman"/>
          <w:sz w:val="14"/>
          <w:szCs w:val="14"/>
          <w:color w:val="140BE3"/>
        </w:rPr>
        <w:t>davispolk.com</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Roivant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7th Floor</w:t>
      </w:r>
    </w:p>
    <w:p>
      <w:pPr>
        <w:spacing w:after="0" w:line="13" w:lineRule="exact"/>
        <w:rPr>
          <w:sz w:val="20"/>
          <w:szCs w:val="20"/>
          <w:color w:val="auto"/>
        </w:rPr>
      </w:pPr>
    </w:p>
    <w:p>
      <w:pPr>
        <w:ind w:right="9820" w:firstLine="4"/>
        <w:spacing w:after="0" w:line="263" w:lineRule="auto"/>
        <w:tabs>
          <w:tab w:leader="none" w:pos="21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Broadway London SW1H 0DB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Roivant Sciences Ltd., a Bermuda exempt limited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is filing with the Securities and Exchange Commission a Registration Statement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Form S-3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for the purpose of registering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(i) (a) common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par value $0.0000000341740141 per share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of the Company; (b) preference shares (the “</w:t>
      </w:r>
      <w:r>
        <w:rPr>
          <w:rFonts w:ascii="Times New Roman" w:cs="Times New Roman" w:eastAsia="Times New Roman" w:hAnsi="Times New Roman"/>
          <w:sz w:val="17"/>
          <w:szCs w:val="17"/>
          <w:b w:val="1"/>
          <w:bCs w:val="1"/>
          <w:color w:val="auto"/>
        </w:rPr>
        <w:t>Preference Shares</w:t>
      </w:r>
      <w:r>
        <w:rPr>
          <w:rFonts w:ascii="Times New Roman" w:cs="Times New Roman" w:eastAsia="Times New Roman" w:hAnsi="Times New Roman"/>
          <w:sz w:val="17"/>
          <w:szCs w:val="17"/>
          <w:color w:val="auto"/>
        </w:rPr>
        <w:t>”) of the Company;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 the Company’s senior debt securities and subordinated debt securities (collectively, the “</w:t>
      </w:r>
      <w:r>
        <w:rPr>
          <w:rFonts w:ascii="Times New Roman" w:cs="Times New Roman" w:eastAsia="Times New Roman" w:hAnsi="Times New Roman"/>
          <w:sz w:val="17"/>
          <w:szCs w:val="17"/>
          <w:b w:val="1"/>
          <w:bCs w:val="1"/>
          <w:color w:val="auto"/>
        </w:rPr>
        <w:t>Debt Securities</w:t>
      </w:r>
      <w:r>
        <w:rPr>
          <w:rFonts w:ascii="Times New Roman" w:cs="Times New Roman" w:eastAsia="Times New Roman" w:hAnsi="Times New Roman"/>
          <w:sz w:val="17"/>
          <w:szCs w:val="17"/>
          <w:color w:val="auto"/>
        </w:rPr>
        <w:t>”), which may be issued pursuant to a senior debt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between the Company and the trustee to be named therein (the “</w:t>
      </w:r>
      <w:r>
        <w:rPr>
          <w:rFonts w:ascii="Times New Roman" w:cs="Times New Roman" w:eastAsia="Times New Roman" w:hAnsi="Times New Roman"/>
          <w:sz w:val="17"/>
          <w:szCs w:val="17"/>
          <w:b w:val="1"/>
          <w:bCs w:val="1"/>
          <w:color w:val="auto"/>
        </w:rPr>
        <w:t>Senior Debt Trustee</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Senior Debt Indenture</w:t>
      </w:r>
      <w:r>
        <w:rPr>
          <w:rFonts w:ascii="Times New Roman" w:cs="Times New Roman" w:eastAsia="Times New Roman" w:hAnsi="Times New Roman"/>
          <w:sz w:val="17"/>
          <w:szCs w:val="17"/>
          <w:color w:val="auto"/>
        </w:rPr>
        <w:t>”) and a subordinated debt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 between the Company and the trustee to be named therein (the “</w:t>
      </w:r>
      <w:r>
        <w:rPr>
          <w:rFonts w:ascii="Times New Roman" w:cs="Times New Roman" w:eastAsia="Times New Roman" w:hAnsi="Times New Roman"/>
          <w:sz w:val="17"/>
          <w:szCs w:val="17"/>
          <w:b w:val="1"/>
          <w:bCs w:val="1"/>
          <w:color w:val="auto"/>
        </w:rPr>
        <w:t>Subordinated Debt Trustee</w:t>
      </w:r>
      <w:r>
        <w:rPr>
          <w:rFonts w:ascii="Times New Roman" w:cs="Times New Roman" w:eastAsia="Times New Roman" w:hAnsi="Times New Roman"/>
          <w:sz w:val="17"/>
          <w:szCs w:val="17"/>
          <w:color w:val="auto"/>
        </w:rPr>
        <w:t>” and, together with the Senior Debt Trustee,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Trustees</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Subordinated Debt Indenture</w:t>
      </w:r>
      <w:r>
        <w:rPr>
          <w:rFonts w:ascii="Times New Roman" w:cs="Times New Roman" w:eastAsia="Times New Roman" w:hAnsi="Times New Roman"/>
          <w:sz w:val="17"/>
          <w:szCs w:val="17"/>
          <w:color w:val="auto"/>
        </w:rPr>
        <w:t>,” and together with the Senior Debt Indenture, the “</w:t>
      </w:r>
      <w:r>
        <w:rPr>
          <w:rFonts w:ascii="Times New Roman" w:cs="Times New Roman" w:eastAsia="Times New Roman" w:hAnsi="Times New Roman"/>
          <w:sz w:val="17"/>
          <w:szCs w:val="17"/>
          <w:b w:val="1"/>
          <w:bCs w:val="1"/>
          <w:color w:val="auto"/>
        </w:rPr>
        <w:t>Indentures</w:t>
      </w:r>
      <w:r>
        <w:rPr>
          <w:rFonts w:ascii="Times New Roman" w:cs="Times New Roman" w:eastAsia="Times New Roman" w:hAnsi="Times New Roman"/>
          <w:sz w:val="17"/>
          <w:szCs w:val="17"/>
          <w:color w:val="auto"/>
        </w:rPr>
        <w:t>”); (d) warrants of the Company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which may be issued under one or more warrant agreements (each, a “</w:t>
      </w:r>
      <w:r>
        <w:rPr>
          <w:rFonts w:ascii="Times New Roman" w:cs="Times New Roman" w:eastAsia="Times New Roman" w:hAnsi="Times New Roman"/>
          <w:sz w:val="17"/>
          <w:szCs w:val="17"/>
          <w:b w:val="1"/>
          <w:bCs w:val="1"/>
          <w:color w:val="auto"/>
        </w:rPr>
        <w:t>Warrant Agreement</w:t>
      </w:r>
      <w:r>
        <w:rPr>
          <w:rFonts w:ascii="Times New Roman" w:cs="Times New Roman" w:eastAsia="Times New Roman" w:hAnsi="Times New Roman"/>
          <w:sz w:val="17"/>
          <w:szCs w:val="17"/>
          <w:color w:val="auto"/>
        </w:rPr>
        <w:t>”) to be entered into between the Company and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agent to be named therein (the “</w:t>
      </w:r>
      <w:r>
        <w:rPr>
          <w:rFonts w:ascii="Times New Roman" w:cs="Times New Roman" w:eastAsia="Times New Roman" w:hAnsi="Times New Roman"/>
          <w:sz w:val="17"/>
          <w:szCs w:val="17"/>
          <w:b w:val="1"/>
          <w:bCs w:val="1"/>
          <w:color w:val="auto"/>
        </w:rPr>
        <w:t>Warrant Agent</w:t>
      </w:r>
      <w:r>
        <w:rPr>
          <w:rFonts w:ascii="Times New Roman" w:cs="Times New Roman" w:eastAsia="Times New Roman" w:hAnsi="Times New Roman"/>
          <w:sz w:val="17"/>
          <w:szCs w:val="17"/>
          <w:color w:val="auto"/>
        </w:rPr>
        <w:t>”) and; (e) units (the “</w:t>
      </w:r>
      <w:r>
        <w:rPr>
          <w:rFonts w:ascii="Times New Roman" w:cs="Times New Roman" w:eastAsia="Times New Roman" w:hAnsi="Times New Roman"/>
          <w:sz w:val="17"/>
          <w:szCs w:val="17"/>
          <w:b w:val="1"/>
          <w:bCs w:val="1"/>
          <w:color w:val="auto"/>
        </w:rPr>
        <w:t>Units</w:t>
      </w:r>
      <w:r>
        <w:rPr>
          <w:rFonts w:ascii="Times New Roman" w:cs="Times New Roman" w:eastAsia="Times New Roman" w:hAnsi="Times New Roman"/>
          <w:sz w:val="17"/>
          <w:szCs w:val="17"/>
          <w:color w:val="auto"/>
        </w:rPr>
        <w:t>”) to be issued under one or more unit agreements to be entered into among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 bank or trust company, as unit agent (the “</w:t>
      </w:r>
      <w:r>
        <w:rPr>
          <w:rFonts w:ascii="Times New Roman" w:cs="Times New Roman" w:eastAsia="Times New Roman" w:hAnsi="Times New Roman"/>
          <w:sz w:val="17"/>
          <w:szCs w:val="17"/>
          <w:b w:val="1"/>
          <w:bCs w:val="1"/>
          <w:color w:val="auto"/>
        </w:rPr>
        <w:t>Unit Agent</w:t>
      </w:r>
      <w:r>
        <w:rPr>
          <w:rFonts w:ascii="Times New Roman" w:cs="Times New Roman" w:eastAsia="Times New Roman" w:hAnsi="Times New Roman"/>
          <w:sz w:val="17"/>
          <w:szCs w:val="17"/>
          <w:color w:val="auto"/>
        </w:rPr>
        <w:t>”), and the holders from time to time of the Units (each such unit agreement, a “</w:t>
      </w:r>
      <w:r>
        <w:rPr>
          <w:rFonts w:ascii="Times New Roman" w:cs="Times New Roman" w:eastAsia="Times New Roman" w:hAnsi="Times New Roman"/>
          <w:sz w:val="17"/>
          <w:szCs w:val="17"/>
          <w:b w:val="1"/>
          <w:bCs w:val="1"/>
          <w:color w:val="auto"/>
        </w:rPr>
        <w:t>Unit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7"/>
          <w:szCs w:val="17"/>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upon the foregoing, and subject to the additional assumptions and qualifications set forth below, we advise you that, in our opinion:</w:t>
      </w:r>
    </w:p>
    <w:p>
      <w:pPr>
        <w:spacing w:after="0" w:line="221" w:lineRule="exact"/>
        <w:rPr>
          <w:sz w:val="20"/>
          <w:szCs w:val="20"/>
          <w:color w:val="auto"/>
        </w:rPr>
      </w:pPr>
    </w:p>
    <w:p>
      <w:pPr>
        <w:ind w:left="1260" w:right="60" w:hanging="631"/>
        <w:spacing w:after="0" w:line="260" w:lineRule="auto"/>
        <w:tabs>
          <w:tab w:leader="none" w:pos="12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Indentures and any supplemental indenture to be entered into in connection with the issuance of any Debt Securities have been duly authorized, executed and delivered by the Trustees and the Company; the specific terms of a particular series of Debt Securities have been duly authorized and established in accordance with the Indentures;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13740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56" w:name="page57"/>
    <w:bookmarkEnd w:id="56"/>
    <w:p>
      <w:pPr>
        <w:ind w:left="2260"/>
        <w:spacing w:after="0"/>
        <w:rPr>
          <w:sz w:val="20"/>
          <w:szCs w:val="20"/>
          <w:color w:val="auto"/>
        </w:rPr>
      </w:pPr>
      <w:r>
        <w:rPr>
          <w:rFonts w:ascii="Times New Roman" w:cs="Times New Roman" w:eastAsia="Times New Roman" w:hAnsi="Times New Roman"/>
          <w:sz w:val="14"/>
          <w:szCs w:val="14"/>
          <w:color w:val="140BE3"/>
        </w:rPr>
        <w:t>Roivant Sciences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-87630</wp:posOffset>
            </wp:positionV>
            <wp:extent cx="867410" cy="156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867410" cy="156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60" w:right="40" w:hanging="631"/>
        <w:spacing w:after="0" w:line="261"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77" w:lineRule="exact"/>
        <w:rPr>
          <w:rFonts w:ascii="Times New Roman" w:cs="Times New Roman" w:eastAsia="Times New Roman" w:hAnsi="Times New Roman"/>
          <w:sz w:val="17"/>
          <w:szCs w:val="17"/>
          <w:color w:val="auto"/>
        </w:rPr>
      </w:pPr>
    </w:p>
    <w:p>
      <w:pPr>
        <w:ind w:left="1260" w:right="40" w:hanging="631"/>
        <w:spacing w:after="0" w:line="261"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7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is, and shall remain, validly existing as a corporation in good standing under the laws of Bermuda, (iii) the Registration Statement shall have become effective and such effectiveness shall not have been terminated or rescinded; and (iv) the Indentures, the Debt Securities, the Warrant Agreement, and the Unit Agreement (collectively, the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any such security (a) is within its corporate powers, (b) do not contravene, or constitute a default under, the memorandum of association or bye-laws or other constitutive documents of the Company, (c) require no action by or in respect of, or filing with, any governmental body, agency or official and (d) do not contravene, or constitute a default under, any provision of applicable law or public policy or regulation or any judgment, injunction, order or decree or any agreement or other instrument binding upon the Company and (ii) any Warrant Agreement and Unit Agreement will be governed by the laws of the State of New York.</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Borders>
              <w:top w:val="single" w:sz="8" w:color="140BE3"/>
            </w:tcBorders>
          </w:tcPr>
          <w:p>
            <w:pPr>
              <w:spacing w:after="0"/>
              <w:rPr>
                <w:sz w:val="20"/>
                <w:szCs w:val="20"/>
                <w:color w:val="auto"/>
              </w:rPr>
            </w:pPr>
            <w:r>
              <w:rPr>
                <w:rFonts w:ascii="Times New Roman" w:cs="Times New Roman" w:eastAsia="Times New Roman" w:hAnsi="Times New Roman"/>
                <w:sz w:val="17"/>
                <w:szCs w:val="17"/>
                <w:color w:val="auto"/>
              </w:rPr>
              <w:t>October 3, 2025</w:t>
            </w:r>
          </w:p>
        </w:tc>
        <w:tc>
          <w:tcPr>
            <w:tcW w:w="5120" w:type="dxa"/>
            <w:vAlign w:val="bottom"/>
            <w:tcBorders>
              <w:top w:val="single" w:sz="8" w:color="140BE3"/>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57"/>
        </w:trPr>
        <w:tc>
          <w:tcPr>
            <w:tcW w:w="612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r>
    </w:tbl>
    <w:p>
      <w:pPr>
        <w:sectPr>
          <w:pgSz w:w="11900" w:h="16838" w:orient="portrait"/>
          <w:cols w:equalWidth="0" w:num="1">
            <w:col w:w="11240"/>
          </w:cols>
          <w:pgMar w:left="320" w:top="118" w:right="339" w:bottom="1440" w:gutter="0" w:footer="0" w:header="0"/>
        </w:sectPr>
      </w:pPr>
    </w:p>
    <w:bookmarkStart w:id="57" w:name="page58"/>
    <w:bookmarkEnd w:id="57"/>
    <w:p>
      <w:pPr>
        <w:ind w:left="2260"/>
        <w:spacing w:after="0"/>
        <w:rPr>
          <w:sz w:val="20"/>
          <w:szCs w:val="20"/>
          <w:color w:val="auto"/>
        </w:rPr>
      </w:pPr>
      <w:r>
        <w:rPr>
          <w:rFonts w:ascii="Times New Roman" w:cs="Times New Roman" w:eastAsia="Times New Roman" w:hAnsi="Times New Roman"/>
          <w:sz w:val="14"/>
          <w:szCs w:val="14"/>
          <w:color w:val="140BE3"/>
        </w:rPr>
        <w:t>Roivant Sciences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-87630</wp:posOffset>
            </wp:positionV>
            <wp:extent cx="867410" cy="156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867410" cy="1568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are members of the Bar of the State of New York and the foregoing opinion is limited to the laws of the State of New York, except that we express no opinion as to (i)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 Insofar as the foregoing opinion involves matters governed by the laws of Bermuda, we have relied, without independent inquiry or investigation, on the opinion of Conyers Dill &amp; Pearman Limited delivered to you today.</w:t>
      </w:r>
    </w:p>
    <w:p>
      <w:pPr>
        <w:spacing w:after="0" w:line="170" w:lineRule="exact"/>
        <w:rPr>
          <w:sz w:val="20"/>
          <w:szCs w:val="20"/>
          <w:color w:val="auto"/>
        </w:rPr>
      </w:pPr>
    </w:p>
    <w:p>
      <w:pPr>
        <w:jc w:val="both"/>
        <w:ind w:right="400"/>
        <w:spacing w:after="0" w:line="274"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Davis Polk &amp; Wardwell LLP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Borders>
              <w:top w:val="single" w:sz="8" w:color="140BE3"/>
            </w:tcBorders>
          </w:tcPr>
          <w:p>
            <w:pPr>
              <w:spacing w:after="0"/>
              <w:rPr>
                <w:sz w:val="20"/>
                <w:szCs w:val="20"/>
                <w:color w:val="auto"/>
              </w:rPr>
            </w:pPr>
            <w:r>
              <w:rPr>
                <w:rFonts w:ascii="Times New Roman" w:cs="Times New Roman" w:eastAsia="Times New Roman" w:hAnsi="Times New Roman"/>
                <w:sz w:val="17"/>
                <w:szCs w:val="17"/>
                <w:color w:val="auto"/>
              </w:rPr>
              <w:t>October 3, 2025</w:t>
            </w:r>
          </w:p>
        </w:tc>
        <w:tc>
          <w:tcPr>
            <w:tcW w:w="5120" w:type="dxa"/>
            <w:vAlign w:val="bottom"/>
            <w:tcBorders>
              <w:top w:val="single" w:sz="8" w:color="140BE3"/>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87"/>
        </w:trPr>
        <w:tc>
          <w:tcPr>
            <w:tcW w:w="61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23.1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333333"/>
        </w:rPr>
        <w:t>We consent to the reference to our firm under the caption "Experts" in this Registration Statement (Form S-3) and related Prospectus of Roivant Sciences Ltd. for the registration of common shares, preference shares, debt securities, warrants and units and to the incorporation by reference therein of our reports dated May 29, 2025, with respect to the consolidated financial statements of Roivant Sciences Ltd., and the effectiveness of internal control over financial reporting of Roivant Sciences Ltd., included in its Annual Report (Form 10-K) for the year ended March 31, 2025, filed with the Securities and Exchange Commission.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Iselin, New Jersey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189865</wp:posOffset>
            </wp:positionV>
            <wp:extent cx="713740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59" w:name="page60"/>
    <w:bookmarkEnd w:id="59"/>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107</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S-3</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820" w:type="dxa"/>
            <w:vAlign w:val="bottom"/>
            <w:tcBorders>
              <w:top w:val="single" w:sz="8" w:color="auto"/>
              <w:left w:val="single" w:sz="8" w:color="auto"/>
              <w:right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Fee</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Previously</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9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Carry</w:t>
            </w:r>
          </w:p>
        </w:tc>
        <w:tc>
          <w:tcPr>
            <w:tcW w:w="860" w:type="dxa"/>
            <w:vAlign w:val="bottom"/>
            <w:tcBorders>
              <w:right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Unsold</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Carry</w:t>
            </w:r>
          </w:p>
        </w:tc>
        <w:tc>
          <w:tcPr>
            <w:tcW w:w="660" w:type="dxa"/>
            <w:vAlign w:val="bottom"/>
            <w:tcBorders>
              <w:right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Initial</w:t>
            </w:r>
          </w:p>
        </w:tc>
        <w:tc>
          <w:tcPr>
            <w:tcW w:w="860" w:type="dxa"/>
            <w:vAlign w:val="bottom"/>
            <w:tcBorders>
              <w:right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to be</w:t>
            </w:r>
          </w:p>
        </w:tc>
      </w:tr>
      <w:tr>
        <w:trPr>
          <w:trHeight w:val="208"/>
        </w:trPr>
        <w:tc>
          <w:tcPr>
            <w:tcW w:w="820" w:type="dxa"/>
            <w:vAlign w:val="bottom"/>
            <w:tcBorders>
              <w:left w:val="single" w:sz="8" w:color="auto"/>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 Class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920" w:type="dxa"/>
            <w:vAlign w:val="bottom"/>
            <w:tcBorders>
              <w:right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Form</w:t>
            </w:r>
          </w:p>
        </w:tc>
        <w:tc>
          <w:tcPr>
            <w:tcW w:w="660" w:type="dxa"/>
            <w:vAlign w:val="bottom"/>
            <w:tcBorders>
              <w:right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File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Effective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r>
      <w:tr>
        <w:trPr>
          <w:trHeight w:val="229"/>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Rule</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r>
      <w:tr>
        <w:trPr>
          <w:trHeight w:val="201"/>
        </w:trPr>
        <w:tc>
          <w:tcPr>
            <w:tcW w:w="82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r>
      <w:tr>
        <w:trPr>
          <w:trHeight w:val="183"/>
        </w:trPr>
        <w:tc>
          <w:tcPr>
            <w:tcW w:w="820" w:type="dxa"/>
            <w:vAlign w:val="bottom"/>
            <w:tcBorders>
              <w:left w:val="single" w:sz="8" w:color="auto"/>
              <w:right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Fees to</w:t>
            </w:r>
          </w:p>
        </w:tc>
        <w:tc>
          <w:tcPr>
            <w:tcW w:w="80" w:type="dxa"/>
            <w:vAlign w:val="bottom"/>
            <w:tcBorders>
              <w:right w:val="single" w:sz="8" w:color="auto"/>
            </w:tcBorders>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162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r>
      <w:tr>
        <w:trPr>
          <w:trHeight w:val="227"/>
        </w:trPr>
        <w:tc>
          <w:tcPr>
            <w:tcW w:w="8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 Paid</w:t>
            </w:r>
          </w:p>
        </w:tc>
        <w:tc>
          <w:tcPr>
            <w:tcW w:w="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Common Shares</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457(r)</w:t>
            </w: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83"/>
        </w:trPr>
        <w:tc>
          <w:tcPr>
            <w:tcW w:w="82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Fees to</w:t>
            </w:r>
          </w:p>
        </w:tc>
        <w:tc>
          <w:tcPr>
            <w:tcW w:w="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27"/>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be Paid</w:t>
            </w:r>
          </w:p>
        </w:tc>
        <w:tc>
          <w:tcPr>
            <w:tcW w:w="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2</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Preference Shares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457(r)</w:t>
            </w:r>
          </w:p>
        </w:tc>
        <w:tc>
          <w:tcPr>
            <w:tcW w:w="9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9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183"/>
        </w:trPr>
        <w:tc>
          <w:tcPr>
            <w:tcW w:w="820" w:type="dxa"/>
            <w:vAlign w:val="bottom"/>
            <w:tcBorders>
              <w:left w:val="single" w:sz="8" w:color="auto"/>
              <w:right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Fees to</w:t>
            </w:r>
          </w:p>
        </w:tc>
        <w:tc>
          <w:tcPr>
            <w:tcW w:w="80" w:type="dxa"/>
            <w:vAlign w:val="bottom"/>
            <w:tcBorders>
              <w:right w:val="single" w:sz="8" w:color="auto"/>
            </w:tcBorders>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162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r>
      <w:tr>
        <w:trPr>
          <w:trHeight w:val="227"/>
        </w:trPr>
        <w:tc>
          <w:tcPr>
            <w:tcW w:w="8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 Paid</w:t>
            </w:r>
          </w:p>
        </w:tc>
        <w:tc>
          <w:tcPr>
            <w:tcW w:w="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3</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Debt Securities</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457(r)</w:t>
            </w: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83"/>
        </w:trPr>
        <w:tc>
          <w:tcPr>
            <w:tcW w:w="82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Fees to</w:t>
            </w:r>
          </w:p>
        </w:tc>
        <w:tc>
          <w:tcPr>
            <w:tcW w:w="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27"/>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be Paid</w:t>
            </w:r>
          </w:p>
        </w:tc>
        <w:tc>
          <w:tcPr>
            <w:tcW w:w="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457(r)</w:t>
            </w:r>
          </w:p>
        </w:tc>
        <w:tc>
          <w:tcPr>
            <w:tcW w:w="9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9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183"/>
        </w:trPr>
        <w:tc>
          <w:tcPr>
            <w:tcW w:w="820" w:type="dxa"/>
            <w:vAlign w:val="bottom"/>
            <w:tcBorders>
              <w:left w:val="single" w:sz="8" w:color="auto"/>
              <w:right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Fees to</w:t>
            </w:r>
          </w:p>
        </w:tc>
        <w:tc>
          <w:tcPr>
            <w:tcW w:w="80" w:type="dxa"/>
            <w:vAlign w:val="bottom"/>
            <w:tcBorders>
              <w:right w:val="single" w:sz="8" w:color="auto"/>
            </w:tcBorders>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162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r>
      <w:tr>
        <w:trPr>
          <w:trHeight w:val="227"/>
        </w:trPr>
        <w:tc>
          <w:tcPr>
            <w:tcW w:w="8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 Paid</w:t>
            </w:r>
          </w:p>
        </w:tc>
        <w:tc>
          <w:tcPr>
            <w:tcW w:w="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5</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Units</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457(r)</w:t>
            </w: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0.0001381</w:t>
            </w: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83"/>
        </w:trPr>
        <w:tc>
          <w:tcPr>
            <w:tcW w:w="820" w:type="dxa"/>
            <w:vAlign w:val="bottom"/>
            <w:tcBorders>
              <w:left w:val="single" w:sz="8" w:color="auto"/>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Fees</w:t>
            </w:r>
          </w:p>
        </w:tc>
        <w:tc>
          <w:tcPr>
            <w:tcW w:w="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08"/>
        </w:trPr>
        <w:tc>
          <w:tcPr>
            <w:tcW w:w="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Previously</w:t>
            </w: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27"/>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Paid</w:t>
            </w:r>
          </w:p>
        </w:tc>
        <w:tc>
          <w:tcPr>
            <w:tcW w:w="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01"/>
        </w:trPr>
        <w:tc>
          <w:tcPr>
            <w:tcW w:w="82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80" w:type="dxa"/>
            <w:vAlign w:val="bottom"/>
            <w:tcBorders>
              <w:bottom w:val="single" w:sz="8" w:color="auto"/>
              <w:right w:val="single" w:sz="8" w:color="CCEEFF"/>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shd w:val="clear" w:color="auto" w:fill="CCEEFF"/>
          </w:tcPr>
          <w:p>
            <w:pPr>
              <w:spacing w:after="0"/>
              <w:rPr>
                <w:sz w:val="17"/>
                <w:szCs w:val="17"/>
                <w:color w:val="auto"/>
              </w:rPr>
            </w:pPr>
          </w:p>
        </w:tc>
        <w:tc>
          <w:tcPr>
            <w:tcW w:w="1620" w:type="dxa"/>
            <w:vAlign w:val="bottom"/>
            <w:tcBorders>
              <w:bottom w:val="single" w:sz="8" w:color="auto"/>
              <w:right w:val="single" w:sz="8" w:color="CCEEFF"/>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spacing w:after="0"/>
              <w:rPr>
                <w:sz w:val="17"/>
                <w:szCs w:val="17"/>
                <w:color w:val="auto"/>
              </w:rPr>
            </w:pPr>
          </w:p>
        </w:tc>
        <w:tc>
          <w:tcPr>
            <w:tcW w:w="3340" w:type="dxa"/>
            <w:vAlign w:val="bottom"/>
            <w:tcBorders>
              <w:bottom w:val="single" w:sz="8" w:color="auto"/>
              <w:right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940" w:type="dxa"/>
            <w:vAlign w:val="bottom"/>
            <w:tcBorders>
              <w:bottom w:val="single" w:sz="8" w:color="auto"/>
              <w:right w:val="single" w:sz="8" w:color="CCEEFF"/>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spacing w:after="0"/>
              <w:rPr>
                <w:sz w:val="17"/>
                <w:szCs w:val="17"/>
                <w:color w:val="auto"/>
              </w:rPr>
            </w:pPr>
          </w:p>
        </w:tc>
        <w:tc>
          <w:tcPr>
            <w:tcW w:w="660" w:type="dxa"/>
            <w:vAlign w:val="bottom"/>
            <w:tcBorders>
              <w:bottom w:val="single" w:sz="8" w:color="auto"/>
              <w:right w:val="single" w:sz="8" w:color="CCEEFF"/>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83"/>
        </w:trPr>
        <w:tc>
          <w:tcPr>
            <w:tcW w:w="820" w:type="dxa"/>
            <w:vAlign w:val="bottom"/>
            <w:tcBorders>
              <w:left w:val="single" w:sz="8" w:color="auto"/>
              <w:right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Common Stock par</w:t>
            </w:r>
          </w:p>
        </w:tc>
        <w:tc>
          <w:tcPr>
            <w:tcW w:w="88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r>
      <w:tr>
        <w:trPr>
          <w:trHeight w:val="208"/>
        </w:trPr>
        <w:tc>
          <w:tcPr>
            <w:tcW w:w="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Carry</w:t>
            </w: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value</w:t>
            </w: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08"/>
        </w:trPr>
        <w:tc>
          <w:tcPr>
            <w:tcW w:w="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Forward</w:t>
            </w:r>
          </w:p>
        </w:tc>
        <w:tc>
          <w:tcPr>
            <w:tcW w:w="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$0.0000000341740141</w:t>
            </w: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333-</w:t>
            </w: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27"/>
        </w:trPr>
        <w:tc>
          <w:tcPr>
            <w:tcW w:w="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6</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par value per share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400,000,000</w:t>
            </w: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400,000,000</w:t>
            </w:r>
          </w:p>
        </w:tc>
        <w:tc>
          <w:tcPr>
            <w:tcW w:w="7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S-3</w:t>
            </w:r>
          </w:p>
        </w:tc>
        <w:tc>
          <w:tcPr>
            <w:tcW w:w="6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267503</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10/03/2022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$ 92,712.29</w:t>
            </w:r>
          </w:p>
        </w:tc>
      </w:tr>
      <w:tr>
        <w:trPr>
          <w:trHeight w:val="183"/>
        </w:trPr>
        <w:tc>
          <w:tcPr>
            <w:tcW w:w="820" w:type="dxa"/>
            <w:vAlign w:val="bottom"/>
            <w:tcBorders>
              <w:left w:val="single" w:sz="8" w:color="auto"/>
              <w:right w:val="single" w:sz="8" w:color="auto"/>
            </w:tcBorders>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62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right w:val="single" w:sz="8" w:color="auto"/>
            </w:tcBorders>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r>
      <w:tr>
        <w:trPr>
          <w:trHeight w:val="227"/>
        </w:trPr>
        <w:tc>
          <w:tcPr>
            <w:tcW w:w="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right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spacing w:after="0"/>
              <w:rPr>
                <w:sz w:val="19"/>
                <w:szCs w:val="19"/>
                <w:color w:val="auto"/>
              </w:rPr>
            </w:pPr>
          </w:p>
        </w:tc>
        <w:tc>
          <w:tcPr>
            <w:tcW w:w="1620" w:type="dxa"/>
            <w:vAlign w:val="bottom"/>
            <w:tcBorders>
              <w:bottom w:val="single" w:sz="8" w:color="auto"/>
              <w:right w:val="single" w:sz="8" w:color="CCEEFF"/>
            </w:tcBorders>
            <w:shd w:val="clear" w:color="auto" w:fill="CCEEFF"/>
          </w:tcPr>
          <w:p>
            <w:pPr>
              <w:spacing w:after="0"/>
              <w:rPr>
                <w:sz w:val="19"/>
                <w:szCs w:val="19"/>
                <w:color w:val="auto"/>
              </w:rPr>
            </w:pPr>
          </w:p>
        </w:tc>
        <w:tc>
          <w:tcPr>
            <w:tcW w:w="1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Total Offering Amounts</w:t>
            </w:r>
          </w:p>
        </w:tc>
        <w:tc>
          <w:tcPr>
            <w:tcW w:w="7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400,000,000</w:t>
            </w: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$ 0.00</w:t>
            </w: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1"/>
        </w:trPr>
        <w:tc>
          <w:tcPr>
            <w:tcW w:w="82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4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Fees Previously Paid</w:t>
            </w:r>
          </w:p>
        </w:tc>
        <w:tc>
          <w:tcPr>
            <w:tcW w:w="7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$ 0.00</w:t>
            </w:r>
          </w:p>
        </w:tc>
        <w:tc>
          <w:tcPr>
            <w:tcW w:w="7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r>
      <w:tr>
        <w:trPr>
          <w:trHeight w:val="201"/>
        </w:trPr>
        <w:tc>
          <w:tcPr>
            <w:tcW w:w="8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80" w:type="dxa"/>
            <w:vAlign w:val="bottom"/>
            <w:tcBorders>
              <w:bottom w:val="single" w:sz="8" w:color="auto"/>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shd w:val="clear" w:color="auto" w:fill="CCEEFF"/>
          </w:tcPr>
          <w:p>
            <w:pPr>
              <w:spacing w:after="0"/>
              <w:rPr>
                <w:sz w:val="17"/>
                <w:szCs w:val="17"/>
                <w:color w:val="auto"/>
              </w:rPr>
            </w:pPr>
          </w:p>
        </w:tc>
        <w:tc>
          <w:tcPr>
            <w:tcW w:w="1620" w:type="dxa"/>
            <w:vAlign w:val="bottom"/>
            <w:tcBorders>
              <w:bottom w:val="single" w:sz="8" w:color="auto"/>
              <w:right w:val="single" w:sz="8" w:color="CCEEFF"/>
            </w:tcBorders>
            <w:shd w:val="clear" w:color="auto" w:fill="CCEEFF"/>
          </w:tcPr>
          <w:p>
            <w:pPr>
              <w:spacing w:after="0"/>
              <w:rPr>
                <w:sz w:val="17"/>
                <w:szCs w:val="17"/>
                <w:color w:val="auto"/>
              </w:rPr>
            </w:pPr>
          </w:p>
        </w:tc>
        <w:tc>
          <w:tcPr>
            <w:tcW w:w="1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Total Fee Offsets</w:t>
            </w:r>
          </w:p>
        </w:tc>
        <w:tc>
          <w:tcPr>
            <w:tcW w:w="780" w:type="dxa"/>
            <w:vAlign w:val="bottom"/>
            <w:tcBorders>
              <w:bottom w:val="single" w:sz="8" w:color="auto"/>
              <w:right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shd w:val="clear" w:color="auto" w:fill="CCEEFF"/>
          </w:tcPr>
          <w:p>
            <w:pPr>
              <w:spacing w:after="0"/>
              <w:rPr>
                <w:sz w:val="17"/>
                <w:szCs w:val="17"/>
                <w:color w:val="auto"/>
              </w:rPr>
            </w:pP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$ 0.00</w:t>
            </w:r>
          </w:p>
        </w:tc>
        <w:tc>
          <w:tcPr>
            <w:tcW w:w="700" w:type="dxa"/>
            <w:vAlign w:val="bottom"/>
            <w:tcBorders>
              <w:bottom w:val="single" w:sz="8" w:color="auto"/>
              <w:right w:val="single" w:sz="8" w:color="auto"/>
            </w:tcBorders>
            <w:shd w:val="clear" w:color="auto" w:fill="CCEEFF"/>
          </w:tcPr>
          <w:p>
            <w:pPr>
              <w:spacing w:after="0"/>
              <w:rPr>
                <w:sz w:val="17"/>
                <w:szCs w:val="17"/>
                <w:color w:val="auto"/>
              </w:rPr>
            </w:pPr>
          </w:p>
        </w:tc>
        <w:tc>
          <w:tcPr>
            <w:tcW w:w="660" w:type="dxa"/>
            <w:vAlign w:val="bottom"/>
            <w:tcBorders>
              <w:bottom w:val="single" w:sz="8" w:color="auto"/>
              <w:right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201"/>
        </w:trPr>
        <w:tc>
          <w:tcPr>
            <w:tcW w:w="82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Net Fee Due</w:t>
            </w:r>
          </w:p>
        </w:tc>
        <w:tc>
          <w:tcPr>
            <w:tcW w:w="7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$ 0.00</w:t>
            </w:r>
          </w:p>
        </w:tc>
        <w:tc>
          <w:tcPr>
            <w:tcW w:w="7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Offering Note</w:t>
      </w:r>
    </w:p>
    <w:p>
      <w:pPr>
        <w:spacing w:after="0" w:line="249" w:lineRule="exact"/>
        <w:rPr>
          <w:sz w:val="20"/>
          <w:szCs w:val="20"/>
          <w:color w:val="auto"/>
        </w:rPr>
      </w:pPr>
    </w:p>
    <w:p>
      <w:pPr>
        <w:jc w:val="both"/>
        <w:ind w:left="440" w:right="200" w:hanging="371"/>
        <w:spacing w:after="0" w:line="260" w:lineRule="auto"/>
        <w:tabs>
          <w:tab w:leader="none" w:pos="4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registered hereunder may be sold separately or as units with other securities registered hereunder. The Registrant is relying on Rule 456(b) and Rule 457(r) under the Securities Act of 1933, as amended,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An unspecified number of the securities of each identified class of securities is being registered for possible issuance from time to time at indeterminate prices. Separate consideration may or may not be received for securities that are issuable on exercise, conversion or exchange of other securities or that are issued in units or represented by depositary shares.</w:t>
      </w:r>
    </w:p>
    <w:p>
      <w:pPr>
        <w:ind w:left="440" w:hanging="371"/>
        <w:spacing w:after="0"/>
        <w:tabs>
          <w:tab w:leader="none" w:pos="4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see Fee Note (1).</w:t>
      </w:r>
    </w:p>
    <w:p>
      <w:pPr>
        <w:spacing w:after="0" w:line="38" w:lineRule="exact"/>
        <w:rPr>
          <w:rFonts w:ascii="Times New Roman" w:cs="Times New Roman" w:eastAsia="Times New Roman" w:hAnsi="Times New Roman"/>
          <w:sz w:val="17"/>
          <w:szCs w:val="17"/>
          <w:color w:val="auto"/>
        </w:rPr>
      </w:pPr>
    </w:p>
    <w:p>
      <w:pPr>
        <w:ind w:left="440" w:hanging="371"/>
        <w:spacing w:after="0"/>
        <w:tabs>
          <w:tab w:leader="none" w:pos="4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see Fee Note (1).</w:t>
      </w:r>
    </w:p>
    <w:p>
      <w:pPr>
        <w:spacing w:after="0" w:line="38" w:lineRule="exact"/>
        <w:rPr>
          <w:rFonts w:ascii="Times New Roman" w:cs="Times New Roman" w:eastAsia="Times New Roman" w:hAnsi="Times New Roman"/>
          <w:sz w:val="17"/>
          <w:szCs w:val="17"/>
          <w:color w:val="auto"/>
        </w:rPr>
      </w:pPr>
    </w:p>
    <w:p>
      <w:pPr>
        <w:ind w:left="440" w:hanging="371"/>
        <w:spacing w:after="0"/>
        <w:tabs>
          <w:tab w:leader="none" w:pos="4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see Fee Note (1).</w:t>
      </w:r>
    </w:p>
    <w:p>
      <w:pPr>
        <w:spacing w:after="0" w:line="38" w:lineRule="exact"/>
        <w:rPr>
          <w:rFonts w:ascii="Times New Roman" w:cs="Times New Roman" w:eastAsia="Times New Roman" w:hAnsi="Times New Roman"/>
          <w:sz w:val="17"/>
          <w:szCs w:val="17"/>
          <w:color w:val="auto"/>
        </w:rPr>
      </w:pPr>
    </w:p>
    <w:p>
      <w:pPr>
        <w:ind w:left="440" w:hanging="371"/>
        <w:spacing w:after="0"/>
        <w:tabs>
          <w:tab w:leader="none" w:pos="4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see Fee Note (1).</w:t>
      </w:r>
    </w:p>
    <w:p>
      <w:pPr>
        <w:spacing w:after="0" w:line="38" w:lineRule="exact"/>
        <w:rPr>
          <w:rFonts w:ascii="Times New Roman" w:cs="Times New Roman" w:eastAsia="Times New Roman" w:hAnsi="Times New Roman"/>
          <w:sz w:val="17"/>
          <w:szCs w:val="17"/>
          <w:color w:val="auto"/>
        </w:rPr>
      </w:pPr>
    </w:p>
    <w:p>
      <w:pPr>
        <w:jc w:val="both"/>
        <w:ind w:left="440" w:right="200" w:hanging="371"/>
        <w:spacing w:after="0" w:line="263" w:lineRule="auto"/>
        <w:tabs>
          <w:tab w:leader="none" w:pos="4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415(a)(6) under the Securities Act of 1933, the securities registered pursuant to this Registration Statement include $400,000,000 of unsold securities (the "unsold securities") previously registered pursuant to the Registration Statement on Form S-3 (File No. 333-267503) (as amended, the "prior registration statement"). The filing fee associated with the registration of the offer and sale of the unsold securities is hereby carried forward to be applied to the unsold securities registered hereunder, and no additional filing fee is due with respect to the unsold securities in connection with the filing of this registration statement.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13740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340"/>
      </w:cols>
      <w:pgMar w:left="320" w:top="2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50"/>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Roman"/>
      <w:start w:val="1"/>
    </w:lvl>
  </w:abstractNum>
  <w:abstractNum w:abstractNumId="8">
    <w:nsid w:val="836C40E"/>
    <w:multiLevelType w:val="hybridMultilevel"/>
    <w:lvl w:ilvl="0">
      <w:lvlJc w:val="left"/>
      <w:lvlText w:val="(%1)"/>
      <w:numFmt w:val="lowerRoman"/>
      <w:start w:val="8"/>
    </w:lvl>
  </w:abstractNum>
  <w:abstractNum w:abstractNumId="9">
    <w:nsid w:val="2901D82"/>
    <w:multiLevelType w:val="hybridMultilevel"/>
    <w:lvl w:ilvl="0">
      <w:lvlJc w:val="left"/>
      <w:lvlText w:val="(%1)"/>
      <w:numFmt w:val="lowerRoman"/>
      <w:start w:val="2"/>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lowerRoman"/>
      <w:start w:val="1"/>
    </w:lvl>
  </w:abstractNum>
  <w:abstractNum w:abstractNumId="12">
    <w:nsid w:val="1E7FF521"/>
    <w:multiLevelType w:val="hybridMultilevel"/>
    <w:lvl w:ilvl="0">
      <w:lvlJc w:val="left"/>
      <w:lvlText w:val="(%1)"/>
      <w:numFmt w:val="lowerRoman"/>
      <w:start w:val="4"/>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50"/>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50"/>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lvl w:ilvl="1">
      <w:lvlJc w:val="left"/>
      <w:lvlText w:val="(%2)"/>
      <w:numFmt w:val="lowerRoman"/>
      <w:start w:val="1"/>
    </w:lvl>
  </w:abstractNum>
  <w:abstractNum w:abstractNumId="33">
    <w:nsid w:val="153EA438"/>
    <w:multiLevelType w:val="hybridMultilevel"/>
    <w:lvl w:ilvl="0">
      <w:lvlJc w:val="left"/>
      <w:lvlText w:val="(%1)"/>
      <w:numFmt w:val="lowerRoman"/>
      <w:start w:val="3"/>
    </w:lvl>
  </w:abstractNum>
  <w:abstractNum w:abstractNumId="34">
    <w:nsid w:val="3855585C"/>
    <w:multiLevelType w:val="hybridMultilevel"/>
    <w:lvl w:ilvl="0">
      <w:lvlJc w:val="left"/>
      <w:lvlText w:val="(%1)"/>
      <w:numFmt w:val="decimal"/>
      <w:start w:val="2"/>
    </w:lvl>
    <w:lvl w:ilvl="1">
      <w:lvlJc w:val="left"/>
      <w:lvlText w:val="(%2)"/>
      <w:numFmt w:val="lowerRoman"/>
      <w:start w:val="1"/>
    </w:lvl>
  </w:abstractNum>
  <w:abstractNum w:abstractNumId="35">
    <w:nsid w:val="70A64E2A"/>
    <w:multiLevelType w:val="hybridMultilevel"/>
    <w:lvl w:ilvl="0">
      <w:lvlJc w:val="left"/>
      <w:lvlText w:val="%1"/>
      <w:numFmt w:val="decimal"/>
      <w:start w:val="1"/>
    </w:lvl>
    <w:lvl w:ilvl="1">
      <w:lvlJc w:val="left"/>
      <w:lvlText w:val="(%2)"/>
      <w:numFmt w:val="lowerRoman"/>
      <w:start w:val="2"/>
    </w:lvl>
  </w:abstractNum>
  <w:abstractNum w:abstractNumId="36">
    <w:nsid w:val="6A2342EC"/>
    <w:multiLevelType w:val="hybridMultilevel"/>
    <w:lvl w:ilvl="0">
      <w:lvlJc w:val="left"/>
      <w:lvlText w:val="(%1)"/>
      <w:numFmt w:val="decimal"/>
      <w:start w:val="6"/>
    </w:lvl>
    <w:lvl w:ilvl="1">
      <w:lvlJc w:val="left"/>
      <w:lvlText w:val="%2"/>
      <w:numFmt w:val="lowerRoman"/>
      <w:start w:val="1"/>
    </w:lvl>
  </w:abstractNum>
  <w:abstractNum w:abstractNumId="37">
    <w:nsid w:val="2A487CB0"/>
    <w:multiLevelType w:val="hybridMultilevel"/>
    <w:lvl w:ilvl="0">
      <w:lvlJc w:val="left"/>
      <w:lvlText w:val="%1"/>
      <w:numFmt w:val="decimal"/>
      <w:start w:val="50"/>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2"/>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decimal"/>
      <w:start w:val="4"/>
    </w:lvl>
  </w:abstractNum>
  <w:abstractNum w:abstractNumId="44">
    <w:nsid w:val="542289EC"/>
    <w:multiLevelType w:val="hybridMultilevel"/>
    <w:lvl w:ilvl="0">
      <w:lvlJc w:val="left"/>
      <w:lvlText w:val="%1"/>
      <w:numFmt w:val="decimal"/>
      <w:start w:val="50"/>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2"/>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jpe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jpe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jpe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jpeg"/><Relationship Id="rId110" Type="http://schemas.openxmlformats.org/officeDocument/2006/relationships/image" Target="media/image90.png"/><Relationship Id="rId111" Type="http://schemas.openxmlformats.org/officeDocument/2006/relationships/image" Target="media/image91.jpeg"/><Relationship Id="rId112" Type="http://schemas.openxmlformats.org/officeDocument/2006/relationships/image" Target="media/image92.jpe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53" Type="http://schemas.openxmlformats.org/officeDocument/2006/relationships/hyperlink" Target="https://www.sec.gov/ix?doc=/Archives/edgar/data/1635088/000114036125020715/ef20047582_10k.htm" TargetMode="External"/><Relationship Id="rId54" Type="http://schemas.openxmlformats.org/officeDocument/2006/relationships/hyperlink" Target="https://www.sec.gov/ix?doc=/Archives/edgar/data/1635088/000114036125030001/ef20050394_10q.htm" TargetMode="External"/><Relationship Id="rId55" Type="http://schemas.openxmlformats.org/officeDocument/2006/relationships/hyperlink" Target="https://www.sec.gov/ix?doc=/Archives/edgar/data/1635088/000114036125027846/ny20049997x1_def14a.htm" TargetMode="External"/><Relationship Id="rId56" Type="http://schemas.openxmlformats.org/officeDocument/2006/relationships/hyperlink" Target="https://www.sec.gov/ix?doc=/Archives/edgar/data/1635088/000114036125023553/ef20051006_8k.htm" TargetMode="External"/><Relationship Id="rId57" Type="http://schemas.openxmlformats.org/officeDocument/2006/relationships/hyperlink" Target="https://www.sec.gov/ix?doc=/Archives/edgar/data/1635088/000114036125033767/ef20055076_8k.htm" TargetMode="External"/><Relationship Id="rId58" Type="http://schemas.openxmlformats.org/officeDocument/2006/relationships/hyperlink" Target="https://www.sec.gov/ix?doc=/Archives/edgar/data/1635088/000114036125034711/ef20055421_8k.htm" TargetMode="External"/><Relationship Id="rId59" Type="http://schemas.openxmlformats.org/officeDocument/2006/relationships/hyperlink" Target="https://www.sec.gov/ix?doc=/Archives/edgar/data/1635088/000114036125035190/ef20055655_8k.htm" TargetMode="External"/><Relationship Id="rId60" Type="http://schemas.openxmlformats.org/officeDocument/2006/relationships/hyperlink" Target="https://www.sec.gov/Archives/edgar/data/1635088/000114036123031798/brhc20054745_ex4-5.htm" TargetMode="External"/><Relationship Id="rId90" Type="http://schemas.openxmlformats.org/officeDocument/2006/relationships/hyperlink" Target="https://www.sec.gov/Archives/edgar/data/1635088/000114036122033812/ny20005291x1_ex1-2.htm" TargetMode="External"/><Relationship Id="rId91" Type="http://schemas.openxmlformats.org/officeDocument/2006/relationships/hyperlink" Target="https://www.sec.gov/Archives/edgar/data/1635088/000119312521205193/d65062dex31.htm" TargetMode="External"/><Relationship Id="rId92" Type="http://schemas.openxmlformats.org/officeDocument/2006/relationships/hyperlink" Target="https://www.sec.gov/Archives/edgar/data/1635088/000119312521288885/d230641dex31.htm" TargetMode="External"/><Relationship Id="rId93" Type="http://schemas.openxmlformats.org/officeDocument/2006/relationships/hyperlink" Target="https://www.sec.gov/Archives/edgar/data/1635088/000114036122033812/ny20005291x1_ex4-2.htm" TargetMode="External"/><Relationship Id="rId94" Type="http://schemas.openxmlformats.org/officeDocument/2006/relationships/hyperlink" Target="https://www.sec.gov/Archives/edgar/data/1635088/000114036122033812/ny20005291x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2025-10-03T15:39:06Z</dcterms:created>
  <dcterms:modified xsi:type="dcterms:W3CDTF">2025-10-03T15:39:06Z</dcterms:modified>
</cp:coreProperties>
</file>