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001-40782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98-1173944</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00" w:space="720"/>
            <w:col w:w="2740" w:space="720"/>
            <w:col w:w="32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31" w:lineRule="exact"/>
        <w:rPr>
          <w:sz w:val="24"/>
          <w:szCs w:val="24"/>
          <w:color w:val="auto"/>
        </w:rPr>
      </w:pPr>
    </w:p>
    <w:p>
      <w:pPr>
        <w:ind w:left="4860" w:right="4840" w:firstLine="258"/>
        <w:spacing w:after="0" w:line="265" w:lineRule="auto"/>
        <w:tabs>
          <w:tab w:leader="none" w:pos="534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Broadway London SW1H 0DB</w:t>
      </w:r>
    </w:p>
    <w:p>
      <w:pPr>
        <w:ind w:left="4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+44 207 400-3347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$0.0000000341740141 per share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ROIV</w:t>
            </w:r>
          </w:p>
        </w:tc>
        <w:tc>
          <w:tcPr>
            <w:tcW w:w="2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7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8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24, 2025, the board of directors of Roivant Sciences Ltd. (the “Company”) authorized a common share repurchase program allowing for repurchases of the Company’s common shares in an aggregate amount of up to $500 million (excluding fees and expenses). This new authorization is in addition to the $1.5 billion common share repurchase program announced in April 2024, which had approximately $205 million of remaining capacity as of March 31, 2025 and has since been fully exhausted.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repurchase program will be funded with available cash and cash equivalents on hand and does not have an expiration date. The timing and total amount of common shares to be repurchased will depend on several factors, including the market price of the Company’s common shares, general business, macroeconomic and market conditions and other investment opportunities. Under the repurchase program, purchases may be conducted through open market transactions, tender offers or privately negotiated transactions, including the use of trading plans under Rule 10b5-1 of the Securities Exchange Act of 1934, as amended. The share repurchase program may be suspended or discontinued at any time. There can be no assurances as to how many additional common shares the Company will repurchase under the program, if any, or at what prices any purchases will be made.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00" w:type="dxa"/>
            <w:vAlign w:val="bottom"/>
          </w:tcPr>
          <w:p>
            <w:pPr>
              <w:spacing w:after="0"/>
              <w:rPr>
                <w:sz w:val="20"/>
                <w:szCs w:val="20"/>
                <w:color w:val="auto"/>
              </w:rPr>
            </w:pPr>
          </w:p>
        </w:tc>
      </w:tr>
      <w:tr>
        <w:trPr>
          <w:trHeight w:val="45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4"/>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w:t>
            </w:r>
          </w:p>
        </w:tc>
      </w:tr>
      <w:tr>
        <w:trPr>
          <w:trHeight w:val="380"/>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Keyur Parekh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2025-06-25T06:35:18Z</dcterms:created>
  <dcterms:modified xsi:type="dcterms:W3CDTF">2025-06-25T06:35:18Z</dcterms:modified>
</cp:coreProperties>
</file>