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20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0" w:after="20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Pursuant to Section 13 or 15(d) of the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20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September 16, 2026</w:t>
      </w:r>
    </w:p>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Roivant Sciences Ltd.</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Charter)</w:t>
      </w:r>
    </w:p>
    <w:tbl>
      <w:tblPr>
        <w:tblW w:w="9478" w:type="dxa"/>
        <w:jc w:val="left"/>
        <w:tblInd w:w="0" w:type="dxa"/>
        <w:tblLayout w:type="fixed"/>
        <w:tblCellMar>
          <w:top w:w="28" w:type="dxa"/>
          <w:left w:w="28" w:type="dxa"/>
          <w:bottom w:w="28" w:type="dxa"/>
          <w:right w:w="28" w:type="dxa"/>
        </w:tblCellMar>
      </w:tblPr>
      <w:tblGrid>
        <w:gridCol w:w="1433"/>
        <w:gridCol w:w="1256"/>
        <w:gridCol w:w="1271"/>
        <w:gridCol w:w="792"/>
        <w:gridCol w:w="792"/>
        <w:gridCol w:w="800"/>
        <w:gridCol w:w="915"/>
        <w:gridCol w:w="915"/>
        <w:gridCol w:w="1304"/>
      </w:tblGrid>
      <w:tr>
        <w:trPr/>
        <w:tc>
          <w:tcPr>
            <w:tcW w:w="143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001-40782</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98-1173944</w:t>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7th Floor</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50 Broadway</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London SW1H 0DB</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United Kingdom</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(Addresses of Principal Executive Offices, and Zip Code)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+44 207 400 3347</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Registrant’s Telephone Number, Including Area Code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 Applicable </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(Former Name or Former Address, if Changed Since Last Report)</w:t>
      </w:r>
    </w:p>
    <w:p>
      <w:pPr>
        <w:pStyle w:val="TextBody"/>
        <w:bidi w:val="0"/>
        <w:spacing w:lineRule="auto" w:line="288" w:before="0" w:after="240"/>
        <w:jc w:val="left"/>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shd w:fill="FFFFFF" w:val="clear"/>
        </w:rPr>
        <w:t>see</w:t>
      </w:r>
      <w:r>
        <w:rPr>
          <w:color w:val="000000"/>
          <w:shd w:fill="FFFFFF" w:val="clear"/>
        </w:rPr>
        <w:t xml:space="preserve"> </w:t>
      </w:r>
      <w:r>
        <w:rPr>
          <w:rFonts w:ascii="Times New Roman;serif" w:hAnsi="Times New Roman;serif"/>
          <w:b w:val="false"/>
          <w:color w:val="000000"/>
          <w:sz w:val="20"/>
          <w:shd w:fill="FFFFFF" w:val="clear"/>
        </w:rPr>
        <w:t>General Instruction A.2. below):</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4"/>
        <w:gridCol w:w="2684"/>
        <w:gridCol w:w="38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533"/>
        <w:gridCol w:w="1330"/>
        <w:gridCol w:w="1347"/>
        <w:gridCol w:w="109"/>
        <w:gridCol w:w="109"/>
        <w:gridCol w:w="109"/>
        <w:gridCol w:w="549"/>
        <w:gridCol w:w="549"/>
        <w:gridCol w:w="551"/>
        <w:gridCol w:w="109"/>
        <w:gridCol w:w="109"/>
        <w:gridCol w:w="109"/>
        <w:gridCol w:w="1078"/>
        <w:gridCol w:w="1078"/>
        <w:gridCol w:w="1536"/>
      </w:tblGrid>
      <w:tr>
        <w:trPr/>
        <w:tc>
          <w:tcPr>
            <w:tcW w:w="153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4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Shares, $0.0000000341740141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Emerging growth company </w:t>
      </w:r>
      <w:r>
        <w:rPr>
          <w:rFonts w:ascii="Wingdings;sans-serif" w:hAnsi="Wingdings;sans-serif"/>
          <w:b w:val="false"/>
          <w:color w:val="000000"/>
          <w:sz w:val="20"/>
          <w:shd w:fill="FFFFFF" w:val="clear"/>
        </w:rPr>
        <w:t>o</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br/>
        <w:t>On September 16, 2026, Roivant Sciences Ltd. (the “Company”) held its 2026 Annual General Meeting of Shareholders. At that meeting, the shareholders considered and acted upon three proposals as described in more detail in the Company’s proxy statement for its 2026 Annual General Meeting of Shareholders filed with the SEC on July 29, 2026 (the “Proxy Statement”).</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722,406,273</w:t>
      </w:r>
      <w:r>
        <w:rPr>
          <w:color w:val="000000"/>
          <w:shd w:fill="FFFFFF" w:val="clear"/>
        </w:rPr>
        <w:t xml:space="preserve"> </w:t>
      </w:r>
      <w:r>
        <w:rPr>
          <w:rFonts w:ascii="Times New Roman;serif" w:hAnsi="Times New Roman;serif"/>
          <w:b w:val="false"/>
          <w:color w:val="000000"/>
          <w:sz w:val="20"/>
          <w:shd w:fill="FFFFFF" w:val="clear"/>
        </w:rPr>
        <w:t>common shares outstanding and entitled to vote as of the close of business on the record date for the meeting, July 23, 2026, the holders of record of 652,143,869 common shares, representing approximately 90.3% of the shares entitled to vote, were present at the meeting either in person or by proxy, which constituted a quorum for the transaction of business. All proposals on the agenda were approved by the shareholders. Below are the final voting results.</w:t>
      </w:r>
    </w:p>
    <w:p>
      <w:pPr>
        <w:pStyle w:val="TextBody"/>
        <w:bidi w:val="0"/>
        <w:spacing w:lineRule="auto" w:line="288" w:before="0" w:after="240"/>
        <w:ind w:left="0" w:right="0" w:hanging="360"/>
        <w:jc w:val="left"/>
        <w:rPr/>
      </w:pPr>
      <w:r>
        <w:rPr>
          <w:rFonts w:ascii="Times New Roman;serif" w:hAnsi="Times New Roman;serif"/>
          <w:b w:val="false"/>
          <w:color w:val="000000"/>
          <w:sz w:val="20"/>
        </w:rPr>
        <w:t>1.</w:t>
      </w:r>
      <w:r>
        <w:rPr>
          <w:color w:val="000000"/>
          <w:shd w:fill="FFFFFF" w:val="clear"/>
        </w:rPr>
        <w:t xml:space="preserve"> </w:t>
      </w:r>
      <w:r>
        <w:rPr>
          <w:rFonts w:ascii="Times New Roman;serif" w:hAnsi="Times New Roman;serif"/>
          <w:b w:val="false"/>
          <w:color w:val="000000"/>
          <w:sz w:val="20"/>
          <w:shd w:fill="FFFFFF" w:val="clear"/>
        </w:rPr>
        <w:t>Shareholders re-elected the individuals named below to serve as Class II directors of the Company, to hold office until the date of the annual general meeting of shareholders following the fiscal year ending March 31, 2029, and until their successors are duly elected and qualified, or until such director’s earlier death, resignation or removal. Election of each director required approval by a plurality of the votes cast.</w:t>
      </w:r>
    </w:p>
    <w:tbl>
      <w:tblPr>
        <w:tblW w:w="5581" w:type="dxa"/>
        <w:jc w:val="left"/>
        <w:tblInd w:w="0" w:type="dxa"/>
        <w:tblLayout w:type="fixed"/>
        <w:tblCellMar>
          <w:top w:w="28" w:type="dxa"/>
          <w:left w:w="28" w:type="dxa"/>
          <w:bottom w:w="28" w:type="dxa"/>
          <w:right w:w="28" w:type="dxa"/>
        </w:tblCellMar>
      </w:tblPr>
      <w:tblGrid>
        <w:gridCol w:w="613"/>
        <w:gridCol w:w="539"/>
        <w:gridCol w:w="542"/>
        <w:gridCol w:w="379"/>
        <w:gridCol w:w="379"/>
        <w:gridCol w:w="383"/>
        <w:gridCol w:w="379"/>
        <w:gridCol w:w="379"/>
        <w:gridCol w:w="383"/>
        <w:gridCol w:w="470"/>
        <w:gridCol w:w="470"/>
        <w:gridCol w:w="665"/>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Nominee</w:t>
            </w:r>
          </w:p>
        </w:tc>
        <w:tc>
          <w:tcPr>
            <w:tcW w:w="114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114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16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Broker Non-Vote</w:t>
            </w:r>
          </w:p>
        </w:tc>
      </w:tr>
      <w:tr>
        <w:trPr/>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Gold</w:t>
            </w:r>
          </w:p>
        </w:tc>
        <w:tc>
          <w:tcPr>
            <w:tcW w:w="114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375,791,264</w:t>
            </w:r>
          </w:p>
        </w:tc>
        <w:tc>
          <w:tcPr>
            <w:tcW w:w="114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210,203,958</w:t>
            </w:r>
          </w:p>
        </w:tc>
        <w:tc>
          <w:tcPr>
            <w:tcW w:w="16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66,148,647</w:t>
            </w:r>
          </w:p>
        </w:tc>
      </w:tr>
      <w:tr>
        <w:trPr/>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Meghan FitzGerald</w:t>
            </w:r>
          </w:p>
        </w:tc>
        <w:tc>
          <w:tcPr>
            <w:tcW w:w="114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422,428,908</w:t>
            </w:r>
          </w:p>
        </w:tc>
        <w:tc>
          <w:tcPr>
            <w:tcW w:w="114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163,566,314</w:t>
            </w:r>
          </w:p>
        </w:tc>
        <w:tc>
          <w:tcPr>
            <w:tcW w:w="16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66,148,647</w:t>
            </w:r>
          </w:p>
        </w:tc>
      </w:tr>
    </w:tbl>
    <w:p>
      <w:pPr>
        <w:pStyle w:val="TextBody"/>
        <w:bidi w:val="0"/>
        <w:spacing w:lineRule="auto" w:line="288" w:before="0" w:after="240"/>
        <w:ind w:left="0" w:right="0" w:hanging="360"/>
        <w:jc w:val="left"/>
        <w:rPr/>
      </w:pPr>
      <w:r>
        <w:rPr>
          <w:rFonts w:ascii="Times New Roman;serif" w:hAnsi="Times New Roman;serif"/>
          <w:b w:val="false"/>
          <w:color w:val="000000"/>
          <w:sz w:val="20"/>
        </w:rPr>
        <w:t>2.Shareholders</w:t>
      </w:r>
      <w:r>
        <w:rPr>
          <w:color w:val="000000"/>
        </w:rPr>
        <w:t xml:space="preserve"> </w:t>
      </w:r>
      <w:r>
        <w:rPr>
          <w:rFonts w:ascii="Times New Roman;serif" w:hAnsi="Times New Roman;serif"/>
          <w:b w:val="false"/>
          <w:color w:val="000000"/>
          <w:sz w:val="20"/>
        </w:rPr>
        <w:t>ratified</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appointment</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Ernst</w:t>
      </w:r>
      <w:r>
        <w:rPr>
          <w:color w:val="000000"/>
        </w:rPr>
        <w:t xml:space="preserve"> </w:t>
      </w:r>
      <w:r>
        <w:rPr>
          <w:rFonts w:ascii="Times New Roman;serif" w:hAnsi="Times New Roman;serif"/>
          <w:b w:val="false"/>
          <w:color w:val="000000"/>
          <w:sz w:val="20"/>
        </w:rPr>
        <w:t>&amp;</w:t>
      </w:r>
      <w:r>
        <w:rPr>
          <w:color w:val="000000"/>
        </w:rPr>
        <w:t xml:space="preserve"> </w:t>
      </w:r>
      <w:r>
        <w:rPr>
          <w:rFonts w:ascii="Times New Roman;serif" w:hAnsi="Times New Roman;serif"/>
          <w:b w:val="false"/>
          <w:color w:val="000000"/>
          <w:sz w:val="20"/>
        </w:rPr>
        <w:t>Young</w:t>
      </w:r>
      <w:r>
        <w:rPr>
          <w:color w:val="000000"/>
        </w:rPr>
        <w:t xml:space="preserve"> </w:t>
      </w:r>
      <w:r>
        <w:rPr>
          <w:rFonts w:ascii="Times New Roman;serif" w:hAnsi="Times New Roman;serif"/>
          <w:b w:val="false"/>
          <w:color w:val="000000"/>
          <w:sz w:val="20"/>
        </w:rPr>
        <w:t>LLP</w:t>
      </w:r>
      <w:r>
        <w:rPr>
          <w:color w:val="000000"/>
        </w:rPr>
        <w:t xml:space="preserve"> </w:t>
      </w:r>
      <w:r>
        <w:rPr>
          <w:rFonts w:ascii="Times New Roman;serif" w:hAnsi="Times New Roman;serif"/>
          <w:b w:val="false"/>
          <w:color w:val="000000"/>
          <w:sz w:val="20"/>
        </w:rPr>
        <w:t>(“EY”)</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serve</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Company’s</w:t>
      </w:r>
      <w:r>
        <w:rPr>
          <w:color w:val="000000"/>
        </w:rPr>
        <w:t xml:space="preserve"> </w:t>
      </w:r>
      <w:r>
        <w:rPr>
          <w:rFonts w:ascii="Times New Roman;serif" w:hAnsi="Times New Roman;serif"/>
          <w:b w:val="false"/>
          <w:color w:val="000000"/>
          <w:sz w:val="20"/>
        </w:rPr>
        <w:t>independent</w:t>
      </w:r>
      <w:r>
        <w:rPr>
          <w:color w:val="000000"/>
        </w:rPr>
        <w:t xml:space="preserve"> </w:t>
      </w:r>
      <w:r>
        <w:rPr>
          <w:rFonts w:ascii="Times New Roman;serif" w:hAnsi="Times New Roman;serif"/>
          <w:b w:val="false"/>
          <w:color w:val="000000"/>
          <w:sz w:val="20"/>
        </w:rPr>
        <w:t>registered</w:t>
      </w:r>
      <w:r>
        <w:rPr>
          <w:color w:val="000000"/>
        </w:rPr>
        <w:t xml:space="preserve"> </w:t>
      </w:r>
      <w:r>
        <w:rPr>
          <w:rFonts w:ascii="Times New Roman;serif" w:hAnsi="Times New Roman;serif"/>
          <w:b w:val="false"/>
          <w:color w:val="000000"/>
          <w:sz w:val="20"/>
        </w:rPr>
        <w:t>public accounting</w:t>
      </w:r>
      <w:r>
        <w:rPr>
          <w:color w:val="000000"/>
        </w:rPr>
        <w:t xml:space="preserve"> </w:t>
      </w:r>
      <w:r>
        <w:rPr>
          <w:rFonts w:ascii="Times New Roman;serif" w:hAnsi="Times New Roman;serif"/>
          <w:b w:val="false"/>
          <w:color w:val="000000"/>
          <w:sz w:val="20"/>
        </w:rPr>
        <w:t>firm</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fiscal</w:t>
      </w:r>
      <w:r>
        <w:rPr>
          <w:color w:val="000000"/>
        </w:rPr>
        <w:t xml:space="preserve"> </w:t>
      </w:r>
      <w:r>
        <w:rPr>
          <w:rFonts w:ascii="Times New Roman;serif" w:hAnsi="Times New Roman;serif"/>
          <w:b w:val="false"/>
          <w:color w:val="000000"/>
          <w:sz w:val="20"/>
        </w:rPr>
        <w:t>year</w:t>
      </w:r>
      <w:r>
        <w:rPr>
          <w:color w:val="000000"/>
        </w:rPr>
        <w:t xml:space="preserve"> </w:t>
      </w:r>
      <w:r>
        <w:rPr>
          <w:rFonts w:ascii="Times New Roman;serif" w:hAnsi="Times New Roman;serif"/>
          <w:b w:val="false"/>
          <w:color w:val="000000"/>
          <w:sz w:val="20"/>
        </w:rPr>
        <w:t>ending</w:t>
      </w:r>
      <w:r>
        <w:rPr>
          <w:color w:val="000000"/>
        </w:rPr>
        <w:t xml:space="preserve"> </w:t>
      </w:r>
      <w:r>
        <w:rPr>
          <w:rFonts w:ascii="Times New Roman;serif" w:hAnsi="Times New Roman;serif"/>
          <w:b w:val="false"/>
          <w:color w:val="000000"/>
          <w:sz w:val="20"/>
        </w:rPr>
        <w:t>March</w:t>
      </w:r>
      <w:r>
        <w:rPr>
          <w:color w:val="000000"/>
        </w:rPr>
        <w:t xml:space="preserve"> </w:t>
      </w:r>
      <w:r>
        <w:rPr>
          <w:rFonts w:ascii="Times New Roman;serif" w:hAnsi="Times New Roman;serif"/>
          <w:b w:val="false"/>
          <w:color w:val="000000"/>
          <w:sz w:val="20"/>
        </w:rPr>
        <w:t>31,</w:t>
      </w:r>
      <w:r>
        <w:rPr>
          <w:color w:val="000000"/>
        </w:rPr>
        <w:t xml:space="preserve"> </w:t>
      </w:r>
      <w:r>
        <w:rPr>
          <w:rFonts w:ascii="Times New Roman;serif" w:hAnsi="Times New Roman;serif"/>
          <w:b w:val="false"/>
          <w:color w:val="000000"/>
          <w:sz w:val="20"/>
        </w:rPr>
        <w:t>2027,</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appoint</w:t>
      </w:r>
      <w:r>
        <w:rPr>
          <w:color w:val="000000"/>
        </w:rPr>
        <w:t xml:space="preserve"> </w:t>
      </w:r>
      <w:r>
        <w:rPr>
          <w:rFonts w:ascii="Times New Roman;serif" w:hAnsi="Times New Roman;serif"/>
          <w:b w:val="false"/>
          <w:color w:val="000000"/>
          <w:sz w:val="20"/>
        </w:rPr>
        <w:t>EY</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Company’s</w:t>
      </w:r>
      <w:r>
        <w:rPr>
          <w:color w:val="000000"/>
        </w:rPr>
        <w:t xml:space="preserve"> </w:t>
      </w:r>
      <w:r>
        <w:rPr>
          <w:rFonts w:ascii="Times New Roman;serif" w:hAnsi="Times New Roman;serif"/>
          <w:b w:val="false"/>
          <w:color w:val="000000"/>
          <w:sz w:val="20"/>
        </w:rPr>
        <w:t>auditor</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statutory</w:t>
      </w:r>
      <w:r>
        <w:rPr>
          <w:color w:val="000000"/>
        </w:rPr>
        <w:t xml:space="preserve"> </w:t>
      </w:r>
      <w:r>
        <w:rPr>
          <w:rFonts w:ascii="Times New Roman;serif" w:hAnsi="Times New Roman;serif"/>
          <w:b w:val="false"/>
          <w:color w:val="000000"/>
          <w:sz w:val="20"/>
        </w:rPr>
        <w:t>purposes under the Bermuda Companies</w:t>
      </w:r>
      <w:r>
        <w:rPr>
          <w:color w:val="000000"/>
        </w:rPr>
        <w:t xml:space="preserve"> </w:t>
      </w:r>
      <w:r>
        <w:rPr>
          <w:rFonts w:ascii="Times New Roman;serif" w:hAnsi="Times New Roman;serif"/>
          <w:b w:val="false"/>
          <w:color w:val="000000"/>
          <w:sz w:val="20"/>
        </w:rPr>
        <w:t>Act 1981, as amended, for the fiscal year ending March 31, 2027. Ratification required the affirmative vote of a majority of the votes cast.</w:t>
      </w:r>
    </w:p>
    <w:tbl>
      <w:tblPr>
        <w:tblW w:w="2761" w:type="dxa"/>
        <w:jc w:val="left"/>
        <w:tblInd w:w="0" w:type="dxa"/>
        <w:tblLayout w:type="fixed"/>
        <w:tblCellMar>
          <w:top w:w="28" w:type="dxa"/>
          <w:left w:w="28" w:type="dxa"/>
          <w:bottom w:w="28" w:type="dxa"/>
          <w:right w:w="28" w:type="dxa"/>
        </w:tblCellMar>
      </w:tblPr>
      <w:tblGrid>
        <w:gridCol w:w="569"/>
        <w:gridCol w:w="497"/>
        <w:gridCol w:w="509"/>
        <w:gridCol w:w="347"/>
        <w:gridCol w:w="347"/>
        <w:gridCol w:w="492"/>
      </w:tblGrid>
      <w:tr>
        <w:trPr/>
        <w:tc>
          <w:tcPr>
            <w:tcW w:w="56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t>
            </w:r>
          </w:p>
        </w:tc>
        <w:tc>
          <w:tcPr>
            <w:tcW w:w="118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651,315,490</w:t>
            </w:r>
          </w:p>
        </w:tc>
      </w:tr>
      <w:tr>
        <w:trPr/>
        <w:tc>
          <w:tcPr>
            <w:tcW w:w="15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Against</w:t>
            </w:r>
          </w:p>
        </w:tc>
        <w:tc>
          <w:tcPr>
            <w:tcW w:w="118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731,364</w:t>
            </w:r>
          </w:p>
        </w:tc>
      </w:tr>
      <w:tr>
        <w:trPr/>
        <w:tc>
          <w:tcPr>
            <w:tcW w:w="15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Abstain</w:t>
            </w:r>
          </w:p>
        </w:tc>
        <w:tc>
          <w:tcPr>
            <w:tcW w:w="118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97,015</w:t>
            </w:r>
          </w:p>
        </w:tc>
      </w:tr>
      <w:tr>
        <w:trPr/>
        <w:tc>
          <w:tcPr>
            <w:tcW w:w="157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Broker Non-Vote</w:t>
            </w:r>
          </w:p>
        </w:tc>
        <w:tc>
          <w:tcPr>
            <w:tcW w:w="1186"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68" w:before="0" w:after="0"/>
        <w:ind w:left="0" w:right="0" w:hanging="360"/>
        <w:jc w:val="left"/>
        <w:rPr/>
      </w:pPr>
      <w:r>
        <w:rPr>
          <w:rFonts w:ascii="Times New Roman;serif" w:hAnsi="Times New Roman;serif"/>
          <w:b w:val="false"/>
          <w:color w:val="000000"/>
          <w:sz w:val="20"/>
        </w:rPr>
        <w:t>3.Shareholders</w:t>
      </w:r>
      <w:r>
        <w:rPr>
          <w:color w:val="000000"/>
        </w:rPr>
        <w:t xml:space="preserve"> </w:t>
      </w:r>
      <w:r>
        <w:rPr>
          <w:rFonts w:ascii="Times New Roman;serif" w:hAnsi="Times New Roman;serif"/>
          <w:b w:val="false"/>
          <w:color w:val="000000"/>
          <w:sz w:val="20"/>
        </w:rPr>
        <w:t>approved,</w:t>
      </w:r>
      <w:r>
        <w:rPr>
          <w:color w:val="000000"/>
        </w:rPr>
        <w:t xml:space="preserve"> </w:t>
      </w:r>
      <w:r>
        <w:rPr>
          <w:rFonts w:ascii="Times New Roman;serif" w:hAnsi="Times New Roman;serif"/>
          <w:b w:val="false"/>
          <w:color w:val="000000"/>
          <w:sz w:val="20"/>
        </w:rPr>
        <w:t>on</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non-binding</w:t>
      </w:r>
      <w:r>
        <w:rPr>
          <w:color w:val="000000"/>
        </w:rPr>
        <w:t xml:space="preserve"> </w:t>
      </w:r>
      <w:r>
        <w:rPr>
          <w:rFonts w:ascii="Times New Roman;serif" w:hAnsi="Times New Roman;serif"/>
          <w:b w:val="false"/>
          <w:color w:val="000000"/>
          <w:sz w:val="20"/>
        </w:rPr>
        <w:t>advisory</w:t>
      </w:r>
      <w:r>
        <w:rPr>
          <w:color w:val="000000"/>
        </w:rPr>
        <w:t xml:space="preserve"> </w:t>
      </w:r>
      <w:r>
        <w:rPr>
          <w:rFonts w:ascii="Times New Roman;serif" w:hAnsi="Times New Roman;serif"/>
          <w:b w:val="false"/>
          <w:color w:val="000000"/>
          <w:sz w:val="20"/>
        </w:rPr>
        <w:t>basis,</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compensation</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Company’s</w:t>
      </w:r>
      <w:r>
        <w:rPr>
          <w:color w:val="000000"/>
        </w:rPr>
        <w:t xml:space="preserve"> </w:t>
      </w:r>
      <w:r>
        <w:rPr>
          <w:rFonts w:ascii="Times New Roman;serif" w:hAnsi="Times New Roman;serif"/>
          <w:b w:val="false"/>
          <w:color w:val="000000"/>
          <w:sz w:val="20"/>
        </w:rPr>
        <w:t>named</w:t>
      </w:r>
      <w:r>
        <w:rPr>
          <w:color w:val="000000"/>
        </w:rPr>
        <w:t xml:space="preserve"> </w:t>
      </w:r>
      <w:r>
        <w:rPr>
          <w:rFonts w:ascii="Times New Roman;serif" w:hAnsi="Times New Roman;serif"/>
          <w:b w:val="false"/>
          <w:color w:val="000000"/>
          <w:sz w:val="20"/>
        </w:rPr>
        <w:t>executive</w:t>
      </w:r>
      <w:r>
        <w:rPr>
          <w:color w:val="000000"/>
        </w:rPr>
        <w:t xml:space="preserve"> </w:t>
      </w:r>
      <w:r>
        <w:rPr>
          <w:rFonts w:ascii="Times New Roman;serif" w:hAnsi="Times New Roman;serif"/>
          <w:b w:val="false"/>
          <w:color w:val="000000"/>
          <w:sz w:val="20"/>
        </w:rPr>
        <w:t>officers,</w:t>
      </w:r>
      <w:r>
        <w:rPr>
          <w:color w:val="000000"/>
        </w:rPr>
        <w:t xml:space="preserve"> </w:t>
      </w:r>
      <w:r>
        <w:rPr>
          <w:rFonts w:ascii="Times New Roman;serif" w:hAnsi="Times New Roman;serif"/>
          <w:b w:val="false"/>
          <w:color w:val="000000"/>
          <w:sz w:val="20"/>
        </w:rPr>
        <w:t>as disclosed in the Proxy Statement, including the compensation tables and related narrative disclosures. Approval required the affirmative vote of a majority of the votes cast.</w:t>
      </w:r>
    </w:p>
    <w:p>
      <w:pPr>
        <w:pStyle w:val="TextBody"/>
        <w:bidi w:val="0"/>
        <w:spacing w:before="0" w:after="0"/>
        <w:ind w:left="0" w:right="0" w:firstLine="720"/>
        <w:jc w:val="left"/>
        <w:rPr/>
      </w:pPr>
      <w:r>
        <w:rPr/>
      </w:r>
    </w:p>
    <w:tbl>
      <w:tblPr>
        <w:tblW w:w="2761" w:type="dxa"/>
        <w:jc w:val="left"/>
        <w:tblInd w:w="0" w:type="dxa"/>
        <w:tblLayout w:type="fixed"/>
        <w:tblCellMar>
          <w:top w:w="28" w:type="dxa"/>
          <w:left w:w="28" w:type="dxa"/>
          <w:bottom w:w="28" w:type="dxa"/>
          <w:right w:w="28" w:type="dxa"/>
        </w:tblCellMar>
      </w:tblPr>
      <w:tblGrid>
        <w:gridCol w:w="569"/>
        <w:gridCol w:w="497"/>
        <w:gridCol w:w="509"/>
        <w:gridCol w:w="347"/>
        <w:gridCol w:w="347"/>
        <w:gridCol w:w="492"/>
      </w:tblGrid>
      <w:tr>
        <w:trPr/>
        <w:tc>
          <w:tcPr>
            <w:tcW w:w="56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t>
            </w:r>
          </w:p>
        </w:tc>
        <w:tc>
          <w:tcPr>
            <w:tcW w:w="118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316,702,500</w:t>
            </w:r>
          </w:p>
        </w:tc>
      </w:tr>
      <w:tr>
        <w:trPr/>
        <w:tc>
          <w:tcPr>
            <w:tcW w:w="15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Against</w:t>
            </w:r>
          </w:p>
        </w:tc>
        <w:tc>
          <w:tcPr>
            <w:tcW w:w="118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269,062,122</w:t>
            </w:r>
          </w:p>
        </w:tc>
      </w:tr>
      <w:tr>
        <w:trPr/>
        <w:tc>
          <w:tcPr>
            <w:tcW w:w="15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Abstain</w:t>
            </w:r>
          </w:p>
        </w:tc>
        <w:tc>
          <w:tcPr>
            <w:tcW w:w="118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230,600</w:t>
            </w:r>
          </w:p>
        </w:tc>
      </w:tr>
      <w:tr>
        <w:trPr/>
        <w:tc>
          <w:tcPr>
            <w:tcW w:w="157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Broker Non-Vote</w:t>
            </w:r>
          </w:p>
        </w:tc>
        <w:tc>
          <w:tcPr>
            <w:tcW w:w="1186"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66,148,647</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(d)Exhibits.</w:t>
      </w:r>
    </w:p>
    <w:tbl>
      <w:tblPr>
        <w:tblW w:w="754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792"/>
        <w:gridCol w:w="1792"/>
        <w:gridCol w:w="255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3097" w:type="dxa"/>
        <w:jc w:val="left"/>
        <w:tblInd w:w="0" w:type="dxa"/>
        <w:tblLayout w:type="fixed"/>
        <w:tblCellMar>
          <w:top w:w="28" w:type="dxa"/>
          <w:left w:w="28" w:type="dxa"/>
          <w:bottom w:w="28" w:type="dxa"/>
          <w:right w:w="28" w:type="dxa"/>
        </w:tblCellMar>
      </w:tblPr>
      <w:tblGrid>
        <w:gridCol w:w="466"/>
        <w:gridCol w:w="410"/>
        <w:gridCol w:w="410"/>
        <w:gridCol w:w="479"/>
        <w:gridCol w:w="479"/>
        <w:gridCol w:w="481"/>
        <w:gridCol w:w="109"/>
        <w:gridCol w:w="109"/>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ROIVANT SCIENCES LTD.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Keyur Parekh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Keyur Parekh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Authorized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4113</Characters>
  <CharactersWithSpaces>4771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