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0" w:lineRule="exact"/>
        <w:rPr>
          <w:sz w:val="24"/>
          <w:szCs w:val="24"/>
          <w:color w:val="auto"/>
        </w:rPr>
      </w:pPr>
    </w:p>
    <w:p>
      <w:pPr>
        <w:ind w:left="340"/>
        <w:spacing w:after="0" w:line="27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-191135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8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81"/>
              <w:spacing w:after="0" w:line="126"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50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5316855</wp:posOffset>
            </wp:positionH>
            <wp:positionV relativeFrom="paragraph">
              <wp:posOffset>-592455</wp:posOffset>
            </wp:positionV>
            <wp:extent cx="5651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79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-592455</wp:posOffset>
            </wp:positionV>
            <wp:extent cx="5651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7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-1880235</wp:posOffset>
            </wp:positionH>
            <wp:positionV relativeFrom="paragraph">
              <wp:posOffset>15875</wp:posOffset>
            </wp:positionV>
            <wp:extent cx="7329170" cy="4181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170" cy="418147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620"/>
            <w:col w:w="8580"/>
          </w:cols>
          <w:pgMar w:left="240" w:top="218" w:right="139" w:bottom="1440" w:gutter="0" w:footer="0" w:header="0"/>
        </w:sectPr>
      </w:pPr>
    </w:p>
    <w:tbl>
      <w:tblPr>
        <w:tblLayout w:type="fixed"/>
        <w:tblInd w:w="8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Roivant Sciences Ltd.</w:t>
              </w:r>
            </w:hyperlink>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spacing w:after="0" w:line="170" w:lineRule="exact"/>
              <w:rPr>
                <w:rFonts w:ascii="Arial" w:cs="Arial" w:eastAsia="Arial" w:hAnsi="Arial"/>
                <w:sz w:val="18"/>
                <w:szCs w:val="18"/>
                <w:color w:val="0000EE"/>
              </w:rPr>
            </w:pPr>
            <w:hyperlink r:id="rId13">
              <w:r>
                <w:rPr>
                  <w:rFonts w:ascii="Arial" w:cs="Arial" w:eastAsia="Arial" w:hAnsi="Arial"/>
                  <w:sz w:val="18"/>
                  <w:szCs w:val="18"/>
                  <w:color w:val="0000EE"/>
                </w:rPr>
                <w:t xml:space="preserve">Arbutus Biopharma Corp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ABUS</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92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4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38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60" w:type="dxa"/>
            <w:vAlign w:val="bottom"/>
            <w:tcBorders>
              <w:bottom w:val="single" w:sz="8" w:color="2C2C2C"/>
            </w:tcBorders>
          </w:tcPr>
          <w:p>
            <w:pPr>
              <w:spacing w:after="0"/>
              <w:rPr>
                <w:sz w:val="9"/>
                <w:szCs w:val="9"/>
                <w:color w:val="auto"/>
              </w:rPr>
            </w:pPr>
          </w:p>
        </w:tc>
        <w:tc>
          <w:tcPr>
            <w:tcW w:w="19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3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gridSpan w:val="3"/>
          </w:tcPr>
          <w:p>
            <w:pPr>
              <w:spacing w:after="0"/>
              <w:rPr>
                <w:sz w:val="20"/>
                <w:szCs w:val="20"/>
                <w:color w:val="auto"/>
              </w:rPr>
            </w:pPr>
            <w:r>
              <w:rPr>
                <w:rFonts w:ascii="Arial" w:cs="Arial" w:eastAsia="Arial" w:hAnsi="Arial"/>
                <w:sz w:val="16"/>
                <w:szCs w:val="16"/>
                <w:color w:val="0000FF"/>
              </w:rPr>
              <w:t>SUITE 1, 3RD FLOOR</w:t>
            </w:r>
          </w:p>
        </w:tc>
        <w:tc>
          <w:tcPr>
            <w:tcW w:w="1380" w:type="dxa"/>
            <w:vAlign w:val="bottom"/>
          </w:tcPr>
          <w:p>
            <w:pPr>
              <w:spacing w:after="0"/>
              <w:rPr>
                <w:sz w:val="19"/>
                <w:szCs w:val="19"/>
                <w:color w:val="auto"/>
              </w:rPr>
            </w:pPr>
          </w:p>
        </w:tc>
        <w:tc>
          <w:tcPr>
            <w:tcW w:w="2120" w:type="dxa"/>
            <w:vAlign w:val="bottom"/>
            <w:gridSpan w:val="4"/>
          </w:tcPr>
          <w:p>
            <w:pPr>
              <w:ind w:left="140"/>
              <w:spacing w:after="0"/>
              <w:rPr>
                <w:sz w:val="20"/>
                <w:szCs w:val="20"/>
                <w:color w:val="auto"/>
              </w:rPr>
            </w:pPr>
            <w:r>
              <w:rPr>
                <w:rFonts w:ascii="Arial" w:cs="Arial" w:eastAsia="Arial" w:hAnsi="Arial"/>
                <w:sz w:val="16"/>
                <w:szCs w:val="16"/>
                <w:color w:val="0000FF"/>
              </w:rPr>
              <w:t>10/16/2017</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11-12 ST. JAMES'S SQUARE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2" w:right="920" w:firstLine="2"/>
        <w:spacing w:after="0" w:line="24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2" w:lineRule="exact"/>
        <w:rPr>
          <w:sz w:val="20"/>
          <w:szCs w:val="20"/>
          <w:color w:val="auto"/>
        </w:rPr>
      </w:pPr>
    </w:p>
    <w:p>
      <w:pPr>
        <w:ind w:left="558"/>
        <w:spacing w:after="0"/>
        <w:tabs>
          <w:tab w:leader="none" w:pos="1837" w:val="left"/>
          <w:tab w:leader="none" w:pos="21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0"/>
          <w:szCs w:val="20"/>
          <w:color w:val="auto"/>
        </w:rPr>
      </w:pPr>
    </w:p>
    <w:p>
      <w:pPr>
        <w:jc w:val="right"/>
        <w:ind w:right="52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8"/>
        <w:spacing w:after="0"/>
        <w:tabs>
          <w:tab w:leader="none" w:pos="21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9" w:lineRule="exact"/>
        <w:rPr>
          <w:sz w:val="20"/>
          <w:szCs w:val="20"/>
          <w:color w:val="auto"/>
        </w:rPr>
      </w:pPr>
    </w:p>
    <w:p>
      <w:pPr>
        <w:sectPr>
          <w:pgSz w:w="11900" w:h="16838" w:orient="portrait"/>
          <w:cols w:equalWidth="0" w:num="2">
            <w:col w:w="7980" w:space="62"/>
            <w:col w:w="3478"/>
          </w:cols>
          <w:pgMar w:left="240" w:top="218" w:right="13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100" w:type="dxa"/>
            <w:vAlign w:val="bottom"/>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380" w:type="dxa"/>
            <w:vAlign w:val="bottom"/>
            <w:shd w:val="clear" w:color="auto" w:fill="9A9A9A"/>
          </w:tcPr>
          <w:p>
            <w:pPr>
              <w:spacing w:after="0"/>
              <w:rPr>
                <w:sz w:val="2"/>
                <w:szCs w:val="2"/>
                <w:color w:val="auto"/>
              </w:rPr>
            </w:pPr>
          </w:p>
        </w:tc>
        <w:tc>
          <w:tcPr>
            <w:tcW w:w="3720" w:type="dxa"/>
            <w:vAlign w:val="bottom"/>
            <w:gridSpan w:val="9"/>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880" w:type="dxa"/>
            <w:vAlign w:val="bottom"/>
            <w:gridSpan w:val="11"/>
            <w:vMerge w:val="restart"/>
          </w:tcPr>
          <w:p>
            <w:pPr>
              <w:ind w:left="4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2"/>
        </w:trPr>
        <w:tc>
          <w:tcPr>
            <w:tcW w:w="80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20" w:type="dxa"/>
            <w:vAlign w:val="bottom"/>
            <w:gridSpan w:val="9"/>
            <w:vMerge w:val="continue"/>
          </w:tcPr>
          <w:p>
            <w:pPr>
              <w:spacing w:after="0"/>
              <w:rPr>
                <w:sz w:val="12"/>
                <w:szCs w:val="12"/>
                <w:color w:val="auto"/>
              </w:rPr>
            </w:pPr>
          </w:p>
        </w:tc>
        <w:tc>
          <w:tcPr>
            <w:tcW w:w="38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80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60" w:type="dxa"/>
            <w:vAlign w:val="bottom"/>
            <w:gridSpan w:val="7"/>
            <w:vMerge w:val="restart"/>
          </w:tcPr>
          <w:p>
            <w:pPr>
              <w:ind w:left="6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w w:val="99"/>
              </w:rPr>
              <w:t>LONDON</w:t>
            </w:r>
          </w:p>
        </w:tc>
        <w:tc>
          <w:tcPr>
            <w:tcW w:w="1720" w:type="dxa"/>
            <w:vAlign w:val="bottom"/>
            <w:gridSpan w:val="2"/>
            <w:vMerge w:val="restart"/>
          </w:tcPr>
          <w:p>
            <w:pPr>
              <w:ind w:left="580"/>
              <w:spacing w:after="0"/>
              <w:rPr>
                <w:sz w:val="20"/>
                <w:szCs w:val="20"/>
                <w:color w:val="auto"/>
              </w:rPr>
            </w:pPr>
            <w:r>
              <w:rPr>
                <w:rFonts w:ascii="Arial" w:cs="Arial" w:eastAsia="Arial" w:hAnsi="Arial"/>
                <w:sz w:val="16"/>
                <w:szCs w:val="16"/>
                <w:color w:val="0000FF"/>
              </w:rPr>
              <w:t>X0</w:t>
            </w:r>
          </w:p>
        </w:tc>
        <w:tc>
          <w:tcPr>
            <w:tcW w:w="1020" w:type="dxa"/>
            <w:vAlign w:val="bottom"/>
            <w:vMerge w:val="restart"/>
          </w:tcPr>
          <w:p>
            <w:pPr>
              <w:ind w:left="140"/>
              <w:spacing w:after="0"/>
              <w:rPr>
                <w:sz w:val="20"/>
                <w:szCs w:val="20"/>
                <w:color w:val="auto"/>
              </w:rPr>
            </w:pPr>
            <w:r>
              <w:rPr>
                <w:rFonts w:ascii="Arial" w:cs="Arial" w:eastAsia="Arial" w:hAnsi="Arial"/>
                <w:sz w:val="16"/>
                <w:szCs w:val="16"/>
                <w:color w:val="0000FF"/>
              </w:rPr>
              <w:t>SW1Y 4LB</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8"/>
            <w:vMerge w:val="restart"/>
          </w:tcPr>
          <w:p>
            <w:pPr>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720" w:type="dxa"/>
            <w:vAlign w:val="bottom"/>
            <w:tcBorders>
              <w:bottom w:val="single" w:sz="8" w:color="9A9A9A"/>
            </w:tcBorders>
            <w:gridSpan w:val="2"/>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(City)</w:t>
            </w:r>
          </w:p>
        </w:tc>
        <w:tc>
          <w:tcPr>
            <w:tcW w:w="1720" w:type="dxa"/>
            <w:vAlign w:val="bottom"/>
            <w:gridSpan w:val="2"/>
          </w:tcPr>
          <w:p>
            <w:pPr>
              <w:ind w:left="580"/>
              <w:spacing w:after="0"/>
              <w:rPr>
                <w:sz w:val="20"/>
                <w:szCs w:val="20"/>
                <w:color w:val="auto"/>
              </w:rPr>
            </w:pPr>
            <w:r>
              <w:rPr>
                <w:rFonts w:ascii="Arial" w:cs="Arial" w:eastAsia="Arial" w:hAnsi="Arial"/>
                <w:sz w:val="12"/>
                <w:szCs w:val="12"/>
                <w:color w:val="auto"/>
              </w:rPr>
              <w:t>(State)</w:t>
            </w:r>
          </w:p>
        </w:tc>
        <w:tc>
          <w:tcPr>
            <w:tcW w:w="1020" w:type="dxa"/>
            <w:vAlign w:val="bottom"/>
          </w:tcPr>
          <w:p>
            <w:pPr>
              <w:ind w:left="14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5"/>
          </w:tcPr>
          <w:p>
            <w:pPr>
              <w:jc w:val="center"/>
              <w:ind w:right="324"/>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5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5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320" w:type="dxa"/>
            <w:vAlign w:val="bottom"/>
          </w:tcPr>
          <w:p>
            <w:pPr>
              <w:spacing w:after="0"/>
              <w:rPr>
                <w:sz w:val="10"/>
                <w:szCs w:val="10"/>
                <w:color w:val="auto"/>
              </w:rPr>
            </w:pPr>
          </w:p>
        </w:tc>
        <w:tc>
          <w:tcPr>
            <w:tcW w:w="9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5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Following Reported</w:t>
            </w: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540" w:type="dxa"/>
            <w:vAlign w:val="bottom"/>
          </w:tcPr>
          <w:p>
            <w:pPr>
              <w:spacing w:after="0"/>
              <w:rPr>
                <w:sz w:val="10"/>
                <w:szCs w:val="10"/>
                <w:color w:val="auto"/>
              </w:rPr>
            </w:pP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97"/>
              </w:rPr>
              <w:t>Transaction(s)</w:t>
            </w: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2" w:lineRule="exact"/>
              <w:rPr>
                <w:sz w:val="20"/>
                <w:szCs w:val="20"/>
                <w:color w:val="auto"/>
              </w:rPr>
            </w:pPr>
            <w:r>
              <w:rPr>
                <w:rFonts w:ascii="Arial" w:cs="Arial" w:eastAsia="Arial" w:hAnsi="Arial"/>
                <w:sz w:val="11"/>
                <w:szCs w:val="11"/>
                <w:b w:val="1"/>
                <w:bCs w:val="1"/>
                <w:color w:val="auto"/>
                <w:w w:val="95"/>
              </w:rPr>
              <w:t>(A) or</w:t>
            </w:r>
          </w:p>
        </w:tc>
        <w:tc>
          <w:tcPr>
            <w:tcW w:w="8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8"/>
              </w:rPr>
              <w:t>(Instr. 3 and 4)</w:t>
            </w: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7"/>
          </w:tcPr>
          <w:p>
            <w:pPr>
              <w:spacing w:after="0"/>
              <w:rPr>
                <w:sz w:val="7"/>
                <w:szCs w:val="7"/>
                <w:color w:val="auto"/>
              </w:rPr>
            </w:pPr>
          </w:p>
        </w:tc>
        <w:tc>
          <w:tcPr>
            <w:tcW w:w="282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760" w:type="dxa"/>
            <w:vAlign w:val="bottom"/>
            <w:gridSpan w:val="15"/>
          </w:tcPr>
          <w:p>
            <w:pPr>
              <w:ind w:left="4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960" w:type="dxa"/>
            <w:vAlign w:val="bottom"/>
            <w:gridSpan w:val="12"/>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64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1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0"/>
                <w:szCs w:val="10"/>
                <w:color w:val="auto"/>
              </w:rPr>
            </w:pPr>
          </w:p>
        </w:tc>
        <w:tc>
          <w:tcPr>
            <w:tcW w:w="15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10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10"/>
                <w:szCs w:val="10"/>
                <w:color w:val="auto"/>
              </w:rPr>
            </w:pPr>
          </w:p>
        </w:tc>
        <w:tc>
          <w:tcPr>
            <w:tcW w:w="15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Derivative Security (Instr. 3</w:t>
            </w:r>
          </w:p>
        </w:tc>
        <w:tc>
          <w:tcPr>
            <w:tcW w:w="10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0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Acquired (A) or</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and 4)</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5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Disposed of (D)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460" w:type="dxa"/>
            <w:vAlign w:val="bottom"/>
          </w:tcPr>
          <w:p>
            <w:pPr>
              <w:spacing w:after="0"/>
              <w:rPr>
                <w:sz w:val="10"/>
                <w:szCs w:val="10"/>
                <w:color w:val="auto"/>
              </w:rPr>
            </w:pP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 4 and 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740" w:type="dxa"/>
            <w:vAlign w:val="bottom"/>
          </w:tcPr>
          <w:p>
            <w:pPr>
              <w:ind w:left="5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800" w:type="dxa"/>
            <w:vAlign w:val="bottom"/>
            <w:gridSpan w:val="2"/>
          </w:tcPr>
          <w:p>
            <w:pPr>
              <w:ind w:left="80"/>
              <w:spacing w:after="0"/>
              <w:rPr>
                <w:sz w:val="20"/>
                <w:szCs w:val="20"/>
                <w:color w:val="auto"/>
              </w:rPr>
            </w:pPr>
            <w:r>
              <w:rPr>
                <w:rFonts w:ascii="Arial" w:cs="Arial" w:eastAsia="Arial" w:hAnsi="Arial"/>
                <w:sz w:val="12"/>
                <w:szCs w:val="12"/>
                <w:color w:val="0000FF"/>
              </w:rPr>
              <w:t>Series A</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color w:val="0000FF"/>
              </w:rPr>
              <w:t>Common</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Participating</w:t>
            </w: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0" w:type="dxa"/>
            <w:vAlign w:val="bottom"/>
            <w:gridSpan w:val="2"/>
            <w:vMerge w:val="continue"/>
          </w:tcPr>
          <w:p>
            <w:pPr>
              <w:spacing w:after="0"/>
              <w:rPr>
                <w:sz w:val="6"/>
                <w:szCs w:val="6"/>
                <w:color w:val="auto"/>
              </w:rPr>
            </w:pPr>
          </w:p>
        </w:tc>
        <w:tc>
          <w:tcPr>
            <w:tcW w:w="700" w:type="dxa"/>
            <w:vAlign w:val="bottom"/>
            <w:vMerge w:val="restart"/>
          </w:tcPr>
          <w:p>
            <w:pPr>
              <w:ind w:left="80"/>
              <w:spacing w:after="0" w:line="204" w:lineRule="exact"/>
              <w:rPr>
                <w:sz w:val="20"/>
                <w:szCs w:val="20"/>
                <w:color w:val="auto"/>
              </w:rPr>
            </w:pPr>
            <w:r>
              <w:rPr>
                <w:rFonts w:ascii="Arial" w:cs="Arial" w:eastAsia="Arial" w:hAnsi="Arial"/>
                <w:sz w:val="20"/>
                <w:szCs w:val="20"/>
                <w:color w:val="000000"/>
                <w:w w:val="97"/>
                <w:vertAlign w:val="subscript"/>
              </w:rPr>
              <w:t>$</w:t>
            </w:r>
            <w:r>
              <w:rPr>
                <w:rFonts w:ascii="Arial" w:cs="Arial" w:eastAsia="Arial" w:hAnsi="Arial"/>
                <w:sz w:val="23"/>
                <w:szCs w:val="23"/>
                <w:color w:val="0000FF"/>
                <w:w w:val="97"/>
                <w:vertAlign w:val="subscript"/>
              </w:rPr>
              <w:t>7.13</w:t>
            </w:r>
            <w:r>
              <w:rPr>
                <w:rFonts w:ascii="Arial" w:cs="Arial" w:eastAsia="Arial" w:hAnsi="Arial"/>
                <w:sz w:val="10"/>
                <w:szCs w:val="10"/>
                <w:color w:val="008000"/>
                <w:w w:val="97"/>
              </w:rPr>
              <w:t>(1)(2)</w:t>
            </w: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gridSpan w:val="2"/>
            <w:vMerge w:val="restart"/>
          </w:tcPr>
          <w:p>
            <w:pPr>
              <w:ind w:left="80"/>
              <w:spacing w:after="0" w:line="204" w:lineRule="exact"/>
              <w:rPr>
                <w:sz w:val="20"/>
                <w:szCs w:val="20"/>
                <w:color w:val="auto"/>
              </w:rPr>
            </w:pPr>
            <w:r>
              <w:rPr>
                <w:rFonts w:ascii="Arial" w:cs="Arial" w:eastAsia="Arial" w:hAnsi="Arial"/>
                <w:sz w:val="12"/>
                <w:szCs w:val="12"/>
                <w:color w:val="0000FF"/>
              </w:rPr>
              <w:t>500,000</w:t>
            </w:r>
            <w:r>
              <w:rPr>
                <w:rFonts w:ascii="Arial" w:cs="Arial" w:eastAsia="Arial" w:hAnsi="Arial"/>
                <w:sz w:val="20"/>
                <w:szCs w:val="20"/>
                <w:color w:val="008000"/>
                <w:vertAlign w:val="superscript"/>
              </w:rPr>
              <w:t>(1)(2)</w:t>
            </w:r>
          </w:p>
        </w:tc>
        <w:tc>
          <w:tcPr>
            <w:tcW w:w="220" w:type="dxa"/>
            <w:vAlign w:val="bottom"/>
          </w:tcPr>
          <w:p>
            <w:pPr>
              <w:spacing w:after="0"/>
              <w:rPr>
                <w:sz w:val="6"/>
                <w:szCs w:val="6"/>
                <w:color w:val="auto"/>
              </w:rPr>
            </w:pPr>
          </w:p>
        </w:tc>
        <w:tc>
          <w:tcPr>
            <w:tcW w:w="500" w:type="dxa"/>
            <w:vAlign w:val="bottom"/>
            <w:gridSpan w:val="2"/>
            <w:vMerge w:val="restart"/>
          </w:tcPr>
          <w:p>
            <w:pPr>
              <w:jc w:val="right"/>
              <w:ind w:right="185"/>
              <w:spacing w:after="0"/>
              <w:rPr>
                <w:sz w:val="20"/>
                <w:szCs w:val="20"/>
                <w:color w:val="auto"/>
              </w:rPr>
            </w:pPr>
            <w:r>
              <w:rPr>
                <w:rFonts w:ascii="Arial" w:cs="Arial" w:eastAsia="Arial" w:hAnsi="Arial"/>
                <w:sz w:val="10"/>
                <w:szCs w:val="10"/>
                <w:color w:val="008000"/>
                <w:w w:val="97"/>
              </w:rPr>
              <w:t>(1)(2)</w:t>
            </w:r>
          </w:p>
        </w:tc>
        <w:tc>
          <w:tcPr>
            <w:tcW w:w="920" w:type="dxa"/>
            <w:vAlign w:val="bottom"/>
            <w:gridSpan w:val="2"/>
            <w:vMerge w:val="restart"/>
          </w:tcPr>
          <w:p>
            <w:pPr>
              <w:ind w:left="80"/>
              <w:spacing w:after="0" w:line="204" w:lineRule="exact"/>
              <w:rPr>
                <w:sz w:val="20"/>
                <w:szCs w:val="20"/>
                <w:color w:val="auto"/>
              </w:rPr>
            </w:pPr>
            <w:r>
              <w:rPr>
                <w:rFonts w:ascii="Arial" w:cs="Arial" w:eastAsia="Arial" w:hAnsi="Arial"/>
                <w:sz w:val="12"/>
                <w:szCs w:val="12"/>
                <w:color w:val="0000FF"/>
                <w:w w:val="88"/>
              </w:rPr>
              <w:t>10/16/2021</w:t>
            </w:r>
            <w:r>
              <w:rPr>
                <w:rFonts w:ascii="Arial" w:cs="Arial" w:eastAsia="Arial" w:hAnsi="Arial"/>
                <w:sz w:val="20"/>
                <w:szCs w:val="20"/>
                <w:color w:val="008000"/>
                <w:w w:val="88"/>
                <w:vertAlign w:val="superscript"/>
              </w:rPr>
              <w:t>(1)(2)</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0000FF"/>
              </w:rPr>
              <w:t>shares,</w:t>
            </w:r>
          </w:p>
        </w:tc>
        <w:tc>
          <w:tcPr>
            <w:tcW w:w="1640" w:type="dxa"/>
            <w:vAlign w:val="bottom"/>
            <w:gridSpan w:val="4"/>
            <w:vMerge w:val="restart"/>
          </w:tcPr>
          <w:p>
            <w:pPr>
              <w:ind w:left="20"/>
              <w:spacing w:after="0" w:line="204" w:lineRule="exact"/>
              <w:rPr>
                <w:sz w:val="20"/>
                <w:szCs w:val="20"/>
                <w:color w:val="auto"/>
              </w:rPr>
            </w:pPr>
            <w:r>
              <w:rPr>
                <w:rFonts w:ascii="Arial" w:cs="Arial" w:eastAsia="Arial" w:hAnsi="Arial"/>
                <w:sz w:val="15"/>
                <w:szCs w:val="15"/>
                <w:color w:val="0000FF"/>
                <w:w w:val="99"/>
              </w:rPr>
              <w:t>9,808,386</w:t>
            </w:r>
            <w:r>
              <w:rPr>
                <w:rFonts w:ascii="Arial" w:cs="Arial" w:eastAsia="Arial" w:hAnsi="Arial"/>
                <w:sz w:val="10"/>
                <w:szCs w:val="10"/>
                <w:color w:val="008000"/>
                <w:w w:val="99"/>
              </w:rPr>
              <w:t>(1)(2)</w:t>
            </w:r>
            <w:r>
              <w:rPr>
                <w:rFonts w:ascii="Arial" w:cs="Arial" w:eastAsia="Arial" w:hAnsi="Arial"/>
                <w:sz w:val="15"/>
                <w:szCs w:val="15"/>
                <w:color w:val="0000FF"/>
                <w:w w:val="99"/>
              </w:rPr>
              <w:t xml:space="preserve">   </w:t>
            </w:r>
            <w:r>
              <w:rPr>
                <w:rFonts w:ascii="Arial" w:cs="Arial" w:eastAsia="Arial" w:hAnsi="Arial"/>
                <w:sz w:val="20"/>
                <w:szCs w:val="20"/>
                <w:color w:val="000000"/>
                <w:w w:val="99"/>
                <w:vertAlign w:val="subscript"/>
              </w:rPr>
              <w:t>$</w:t>
            </w:r>
            <w:r>
              <w:rPr>
                <w:rFonts w:ascii="Arial" w:cs="Arial" w:eastAsia="Arial" w:hAnsi="Arial"/>
                <w:sz w:val="23"/>
                <w:szCs w:val="23"/>
                <w:color w:val="0000FF"/>
                <w:w w:val="99"/>
                <w:vertAlign w:val="subscript"/>
              </w:rPr>
              <w:t>100</w:t>
            </w:r>
            <w:r>
              <w:rPr>
                <w:rFonts w:ascii="Arial" w:cs="Arial" w:eastAsia="Arial" w:hAnsi="Arial"/>
                <w:sz w:val="10"/>
                <w:szCs w:val="10"/>
                <w:color w:val="008000"/>
                <w:w w:val="99"/>
              </w:rPr>
              <w:t>(1)(2)</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800" w:type="dxa"/>
            <w:vAlign w:val="bottom"/>
            <w:gridSpan w:val="2"/>
          </w:tcPr>
          <w:p>
            <w:pPr>
              <w:ind w:left="80"/>
              <w:spacing w:after="0" w:line="131" w:lineRule="exact"/>
              <w:rPr>
                <w:sz w:val="20"/>
                <w:szCs w:val="20"/>
                <w:color w:val="auto"/>
              </w:rPr>
            </w:pPr>
            <w:r>
              <w:rPr>
                <w:rFonts w:ascii="Arial" w:cs="Arial" w:eastAsia="Arial" w:hAnsi="Arial"/>
                <w:sz w:val="12"/>
                <w:szCs w:val="12"/>
                <w:color w:val="0000FF"/>
              </w:rPr>
              <w:t>Convertible</w:t>
            </w:r>
          </w:p>
        </w:tc>
        <w:tc>
          <w:tcPr>
            <w:tcW w:w="700" w:type="dxa"/>
            <w:vAlign w:val="bottom"/>
            <w:vMerge w:val="continue"/>
          </w:tcPr>
          <w:p>
            <w:pPr>
              <w:spacing w:after="0"/>
              <w:rPr>
                <w:sz w:val="11"/>
                <w:szCs w:val="11"/>
                <w:color w:val="auto"/>
              </w:rPr>
            </w:pPr>
          </w:p>
        </w:tc>
        <w:tc>
          <w:tcPr>
            <w:tcW w:w="1020" w:type="dxa"/>
            <w:vAlign w:val="bottom"/>
          </w:tcPr>
          <w:p>
            <w:pPr>
              <w:jc w:val="right"/>
              <w:ind w:right="184"/>
              <w:spacing w:after="0" w:line="131" w:lineRule="exact"/>
              <w:rPr>
                <w:sz w:val="20"/>
                <w:szCs w:val="20"/>
                <w:color w:val="auto"/>
              </w:rPr>
            </w:pPr>
            <w:r>
              <w:rPr>
                <w:rFonts w:ascii="Arial" w:cs="Arial" w:eastAsia="Arial" w:hAnsi="Arial"/>
                <w:sz w:val="12"/>
                <w:szCs w:val="12"/>
                <w:color w:val="0000FF"/>
              </w:rPr>
              <w:t>10/16/2017</w:t>
            </w:r>
          </w:p>
        </w:tc>
        <w:tc>
          <w:tcPr>
            <w:tcW w:w="1020" w:type="dxa"/>
            <w:vAlign w:val="bottom"/>
          </w:tcPr>
          <w:p>
            <w:pPr>
              <w:spacing w:after="0"/>
              <w:rPr>
                <w:sz w:val="11"/>
                <w:szCs w:val="11"/>
                <w:color w:val="auto"/>
              </w:rPr>
            </w:pPr>
          </w:p>
        </w:tc>
        <w:tc>
          <w:tcPr>
            <w:tcW w:w="760" w:type="dxa"/>
            <w:vAlign w:val="bottom"/>
            <w:gridSpan w:val="2"/>
          </w:tcPr>
          <w:p>
            <w:pPr>
              <w:ind w:left="180"/>
              <w:spacing w:after="0" w:line="131" w:lineRule="exact"/>
              <w:rPr>
                <w:sz w:val="20"/>
                <w:szCs w:val="20"/>
                <w:color w:val="auto"/>
              </w:rPr>
            </w:pPr>
            <w:r>
              <w:rPr>
                <w:rFonts w:ascii="Arial" w:cs="Arial" w:eastAsia="Arial" w:hAnsi="Arial"/>
                <w:sz w:val="12"/>
                <w:szCs w:val="12"/>
                <w:color w:val="0000FF"/>
              </w:rPr>
              <w:t>P</w:t>
            </w: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640" w:type="dxa"/>
            <w:vAlign w:val="bottom"/>
            <w:gridSpan w:val="4"/>
            <w:vMerge w:val="continue"/>
          </w:tcPr>
          <w:p>
            <w:pPr>
              <w:spacing w:after="0"/>
              <w:rPr>
                <w:sz w:val="11"/>
                <w:szCs w:val="11"/>
                <w:color w:val="auto"/>
              </w:rPr>
            </w:pPr>
          </w:p>
        </w:tc>
        <w:tc>
          <w:tcPr>
            <w:tcW w:w="880" w:type="dxa"/>
            <w:vAlign w:val="bottom"/>
            <w:gridSpan w:val="2"/>
          </w:tcPr>
          <w:p>
            <w:pPr>
              <w:ind w:left="200"/>
              <w:spacing w:after="0" w:line="131" w:lineRule="exact"/>
              <w:rPr>
                <w:sz w:val="20"/>
                <w:szCs w:val="20"/>
                <w:color w:val="auto"/>
              </w:rPr>
            </w:pPr>
            <w:r>
              <w:rPr>
                <w:rFonts w:ascii="Arial" w:cs="Arial" w:eastAsia="Arial" w:hAnsi="Arial"/>
                <w:sz w:val="12"/>
                <w:szCs w:val="12"/>
                <w:color w:val="0000FF"/>
              </w:rPr>
              <w:t>500,000</w:t>
            </w:r>
          </w:p>
        </w:tc>
        <w:tc>
          <w:tcPr>
            <w:tcW w:w="540" w:type="dxa"/>
            <w:vAlign w:val="bottom"/>
          </w:tcPr>
          <w:p>
            <w:pPr>
              <w:ind w:left="260"/>
              <w:spacing w:after="0" w:line="131"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
        </w:trPr>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ind w:left="140"/>
              <w:spacing w:after="0"/>
              <w:rPr>
                <w:sz w:val="20"/>
                <w:szCs w:val="20"/>
                <w:color w:val="auto"/>
              </w:rPr>
            </w:pPr>
            <w:r>
              <w:rPr>
                <w:rFonts w:ascii="Arial" w:cs="Arial" w:eastAsia="Arial" w:hAnsi="Arial"/>
                <w:sz w:val="1"/>
                <w:szCs w:val="1"/>
                <w:color w:val="0000FF"/>
              </w:rPr>
              <w:t>no par</w:t>
            </w: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4"/>
        </w:trPr>
        <w:tc>
          <w:tcPr>
            <w:tcW w:w="3760" w:type="dxa"/>
            <w:vAlign w:val="bottom"/>
          </w:tcPr>
          <w:p>
            <w:pPr>
              <w:spacing w:after="0" w:line="124" w:lineRule="exact"/>
              <w:rPr>
                <w:sz w:val="20"/>
                <w:szCs w:val="20"/>
                <w:color w:val="auto"/>
              </w:rPr>
            </w:pPr>
            <w:r>
              <w:rPr>
                <w:rFonts w:ascii="Arial" w:cs="Arial" w:eastAsia="Arial" w:hAnsi="Arial"/>
                <w:sz w:val="12"/>
                <w:szCs w:val="12"/>
                <w:color w:val="0000FF"/>
              </w:rPr>
              <w:t>Preferred</w:t>
            </w:r>
          </w:p>
        </w:tc>
        <w:tc>
          <w:tcPr>
            <w:tcW w:w="3600" w:type="dxa"/>
            <w:vAlign w:val="bottom"/>
            <w:vMerge w:val="restart"/>
          </w:tcPr>
          <w:p>
            <w:pPr>
              <w:ind w:left="3320"/>
              <w:spacing w:after="0"/>
              <w:rPr>
                <w:sz w:val="20"/>
                <w:szCs w:val="20"/>
                <w:color w:val="auto"/>
              </w:rPr>
            </w:pPr>
            <w:r>
              <w:rPr>
                <w:rFonts w:ascii="Arial" w:cs="Arial" w:eastAsia="Arial" w:hAnsi="Arial"/>
                <w:sz w:val="12"/>
                <w:szCs w:val="12"/>
                <w:color w:val="0000FF"/>
                <w:w w:val="90"/>
              </w:rPr>
              <w:t>value</w:t>
            </w:r>
          </w:p>
        </w:tc>
        <w:tc>
          <w:tcPr>
            <w:tcW w:w="0" w:type="dxa"/>
            <w:vAlign w:val="bottom"/>
          </w:tcPr>
          <w:p>
            <w:pPr>
              <w:spacing w:after="0"/>
              <w:rPr>
                <w:sz w:val="1"/>
                <w:szCs w:val="1"/>
                <w:color w:val="auto"/>
              </w:rPr>
            </w:pPr>
          </w:p>
        </w:tc>
      </w:tr>
      <w:tr>
        <w:trPr>
          <w:trHeight w:val="81"/>
        </w:trPr>
        <w:tc>
          <w:tcPr>
            <w:tcW w:w="3760" w:type="dxa"/>
            <w:vAlign w:val="bottom"/>
            <w:vMerge w:val="restart"/>
          </w:tcPr>
          <w:p>
            <w:pPr>
              <w:spacing w:after="0"/>
              <w:rPr>
                <w:sz w:val="20"/>
                <w:szCs w:val="20"/>
                <w:color w:val="auto"/>
              </w:rPr>
            </w:pPr>
            <w:r>
              <w:rPr>
                <w:rFonts w:ascii="Arial" w:cs="Arial" w:eastAsia="Arial" w:hAnsi="Arial"/>
                <w:sz w:val="12"/>
                <w:szCs w:val="12"/>
                <w:color w:val="0000FF"/>
              </w:rPr>
              <w:t>Shares</w:t>
            </w: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76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right="500" w:hanging="6"/>
        <w:spacing w:after="0" w:line="262"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series A participating convertible preferred shares (the "Preferred Shares") purchased for $100.00 per Preferred Share (the "Purchase Price"), which price is subject to increase to reflect the addition of any unpaid participating cash dividends and unpaid participating in-kind dividends.</w:t>
      </w:r>
    </w:p>
    <w:p>
      <w:pPr>
        <w:spacing w:after="0" w:line="15" w:lineRule="exact"/>
        <w:rPr>
          <w:rFonts w:ascii="Arial" w:cs="Arial" w:eastAsia="Arial" w:hAnsi="Arial"/>
          <w:sz w:val="12"/>
          <w:szCs w:val="12"/>
          <w:color w:val="008000"/>
        </w:rPr>
      </w:pPr>
    </w:p>
    <w:p>
      <w:pPr>
        <w:ind w:left="40" w:right="160" w:hanging="6"/>
        <w:spacing w:after="0"/>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Subject to earlier conversion at the reporting person's option upon the occurrence of certain limited events set forth in the amendment to the Notice of Articles and the Articles of the Issuer (the "Preferred Shares Articles Amendment"), the Preferred Shares mandatorily convert on October 16, 2021, to the extent not already converted, into (i) unpaid accrued participating in-kind dividends and cash for any unpaid accrued cash dividends, as set forth in the Preferred Shares Article Amendment, and (ii) common shares of the Issuer, no par value (the "Common Shares"), which is determined by dividing (a) the Purchase Price, plus an amount equal to 8.75% of the Purchase Price per year, compounded annually, by (b) the conversion price in effect at the time of conversion. Each Preferred Share is initially convertible based on a conversion price of $7.13, subject to adjustment for certain distributions and other transactions by the Issuer on or with respect to the Common Shares.</w:t>
      </w:r>
    </w:p>
    <w:p>
      <w:pPr>
        <w:sectPr>
          <w:pgSz w:w="11900" w:h="16838" w:orient="portrait"/>
          <w:cols w:equalWidth="0" w:num="1">
            <w:col w:w="11520"/>
          </w:cols>
          <w:pgMar w:left="240" w:top="218" w:right="139" w:bottom="1440" w:gutter="0" w:footer="0" w:header="0"/>
          <w:type w:val="continuous"/>
        </w:sectPr>
      </w:pPr>
    </w:p>
    <w:p>
      <w:pPr>
        <w:spacing w:after="0" w:line="54" w:lineRule="exact"/>
        <w:rPr>
          <w:sz w:val="20"/>
          <w:szCs w:val="20"/>
          <w:color w:val="auto"/>
        </w:rPr>
      </w:pPr>
    </w:p>
    <w:p>
      <w:pPr>
        <w:ind w:left="6860"/>
        <w:spacing w:after="0"/>
        <w:rPr>
          <w:sz w:val="20"/>
          <w:szCs w:val="20"/>
          <w:color w:val="auto"/>
        </w:rPr>
      </w:pPr>
      <w:r>
        <w:rPr>
          <w:rFonts w:ascii="Arial" w:cs="Arial" w:eastAsia="Arial" w:hAnsi="Arial"/>
          <w:sz w:val="14"/>
          <w:szCs w:val="14"/>
          <w:color w:val="0000FF"/>
        </w:rPr>
        <w:t>/s/ Marianne Romeo Dinsmore,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4356100</wp:posOffset>
            </wp:positionH>
            <wp:positionV relativeFrom="paragraph">
              <wp:posOffset>3810</wp:posOffset>
            </wp:positionV>
            <wp:extent cx="13773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7620"/>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4356100</wp:posOffset>
            </wp:positionH>
            <wp:positionV relativeFrom="paragraph">
              <wp:posOffset>-13970</wp:posOffset>
            </wp:positionV>
            <wp:extent cx="8693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69315" cy="7620"/>
                    </a:xfrm>
                    <a:prstGeom prst="rect">
                      <a:avLst/>
                    </a:prstGeom>
                    <a:noFill/>
                  </pic:spPr>
                </pic:pic>
              </a:graphicData>
            </a:graphic>
          </wp:anchor>
        </w:drawing>
      </w:r>
    </w:p>
    <w:p>
      <w:pPr>
        <w:spacing w:after="0" w:line="42"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1960" w:hanging="6"/>
        <w:spacing w:after="0" w:line="316"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0000FF"/>
        </w:rPr>
        <w:t>10/17/2017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584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8470" cy="762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62" w:lineRule="exact"/>
        <w:rPr>
          <w:sz w:val="20"/>
          <w:szCs w:val="20"/>
          <w:color w:val="auto"/>
        </w:rPr>
      </w:pPr>
    </w:p>
    <w:p>
      <w:pPr>
        <w:sectPr>
          <w:pgSz w:w="11900" w:h="16838" w:orient="portrait"/>
          <w:cols w:equalWidth="0" w:num="2">
            <w:col w:w="9020" w:space="140"/>
            <w:col w:w="2360"/>
          </w:cols>
          <w:pgMar w:left="240" w:top="218"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5088" TargetMode="External"/><Relationship Id="rId13" Type="http://schemas.openxmlformats.org/officeDocument/2006/relationships/hyperlink" Target="http://www.sec.gov/cgi-bin/browse-edgar?action=getcompany&amp;CIK=0001447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2019-12-04T01:55:34Z</dcterms:created>
  <dcterms:modified xsi:type="dcterms:W3CDTF">2019-12-04T01:55:34Z</dcterms:modified>
</cp:coreProperties>
</file>