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212529"/>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12529"/>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(Mark One)</w:t>
      </w:r>
    </w:p>
    <w:p>
      <w:pPr>
        <w:spacing w:after="0" w:line="26" w:lineRule="exact"/>
        <w:rPr>
          <w:sz w:val="24"/>
          <w:szCs w:val="24"/>
          <w:color w:val="auto"/>
        </w:rPr>
      </w:pPr>
    </w:p>
    <w:p>
      <w:pPr>
        <w:ind w:left="4060" w:right="1980" w:hanging="4052"/>
        <w:spacing w:after="0" w:line="266" w:lineRule="auto"/>
        <w:tabs>
          <w:tab w:leader="none" w:pos="47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b w:val="1"/>
          <w:bCs w:val="1"/>
          <w:color w:val="212529"/>
        </w:rPr>
        <w:t>ANNUAL REPORT PURSUANT TO SECTION 13 OR 15(d) OF THE SECURITIES EXCHANGE ACT OF 1934 For the fiscal year ended March 31, 2025</w:t>
      </w:r>
    </w:p>
    <w:p>
      <w:pPr>
        <w:spacing w:after="0" w:line="17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212529"/>
        </w:rPr>
      </w:pPr>
      <w:r>
        <w:rPr>
          <w:rFonts w:ascii="Times New Roman" w:cs="Times New Roman" w:eastAsia="Times New Roman" w:hAnsi="Times New Roman"/>
          <w:sz w:val="18"/>
          <w:szCs w:val="18"/>
          <w:b w:val="1"/>
          <w:bCs w:val="1"/>
          <w:color w:val="212529"/>
        </w:rPr>
        <w:t>TRANSITION REPORT PURSUANT TO SECTION 13 OR 15(d) OF THE SECURITIES EXCHANGE ACT OF 1934</w:t>
      </w:r>
    </w:p>
    <w:p>
      <w:pPr>
        <w:spacing w:after="0" w:line="33" w:lineRule="exact"/>
        <w:rPr>
          <w:sz w:val="24"/>
          <w:szCs w:val="24"/>
          <w:color w:val="auto"/>
        </w:rPr>
      </w:pPr>
    </w:p>
    <w:p>
      <w:pPr>
        <w:ind w:left="344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212529"/>
        </w:rPr>
        <w:t>For the transition period from</w:t>
      </w:r>
      <w:r>
        <w:rPr>
          <w:sz w:val="20"/>
          <w:szCs w:val="20"/>
          <w:color w:val="auto"/>
        </w:rPr>
        <w:tab/>
      </w:r>
      <w:r>
        <w:rPr>
          <w:rFonts w:ascii="Times New Roman" w:cs="Times New Roman" w:eastAsia="Times New Roman" w:hAnsi="Times New Roman"/>
          <w:sz w:val="16"/>
          <w:szCs w:val="16"/>
          <w:b w:val="1"/>
          <w:bCs w:val="1"/>
          <w:color w:val="212529"/>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-20320</wp:posOffset>
            </wp:positionV>
            <wp:extent cx="1266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212529"/>
        </w:rPr>
        <w:t>Commission File Number: 001-40782</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12529"/>
        </w:rPr>
        <w:t>ROIVANT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-297815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212529"/>
                <w:w w:val="99"/>
              </w:rPr>
              <w:t>Bermuda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w w:val="98"/>
              </w:rPr>
              <w:t>98-1173944</w:t>
            </w:r>
          </w:p>
        </w:tc>
      </w:t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212529"/>
                <w:w w:val="99"/>
              </w:rPr>
              <w:t>(State or other jurisdiction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(I.R.S. Employer</w:t>
            </w:r>
          </w:p>
        </w:tc>
      </w:tr>
      <w:tr>
        <w:trPr>
          <w:trHeight w:val="238"/>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212529"/>
              </w:rPr>
              <w:t>incorporation or organization)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rPr>
              <w:t>Identification No.)</w:t>
            </w:r>
          </w:p>
        </w:tc>
      </w:tr>
      <w:tr>
        <w:trPr>
          <w:trHeight w:val="410"/>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212529"/>
              </w:rPr>
              <w:t>7th Floor</w:t>
            </w:r>
          </w:p>
        </w:tc>
        <w:tc>
          <w:tcPr>
            <w:tcW w:w="1480" w:type="dxa"/>
            <w:vAlign w:val="bottom"/>
          </w:tcPr>
          <w:p>
            <w:pPr>
              <w:spacing w:after="0"/>
              <w:rPr>
                <w:sz w:val="24"/>
                <w:szCs w:val="24"/>
                <w:color w:val="auto"/>
              </w:rPr>
            </w:pPr>
          </w:p>
        </w:tc>
      </w:t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212529"/>
                <w:w w:val="98"/>
              </w:rPr>
              <w:t>50 Broadway</w:t>
            </w:r>
          </w:p>
        </w:tc>
        <w:tc>
          <w:tcPr>
            <w:tcW w:w="1480" w:type="dxa"/>
            <w:vAlign w:val="bottom"/>
          </w:tcPr>
          <w:p>
            <w:pPr>
              <w:spacing w:after="0"/>
              <w:rPr>
                <w:sz w:val="18"/>
                <w:szCs w:val="18"/>
                <w:color w:val="auto"/>
              </w:rPr>
            </w:pPr>
          </w:p>
        </w:tc>
      </w:tr>
      <w:tr>
        <w:trPr>
          <w:trHeight w:val="216"/>
        </w:trPr>
        <w:tc>
          <w:tcPr>
            <w:tcW w:w="6440" w:type="dxa"/>
            <w:vAlign w:val="bottom"/>
          </w:tcPr>
          <w:p>
            <w:pPr>
              <w:jc w:val="center"/>
              <w:ind w:right="3370"/>
              <w:spacing w:after="0"/>
              <w:rPr>
                <w:sz w:val="20"/>
                <w:szCs w:val="20"/>
                <w:color w:val="auto"/>
              </w:rPr>
            </w:pPr>
            <w:r>
              <w:rPr>
                <w:rFonts w:ascii="Times New Roman" w:cs="Times New Roman" w:eastAsia="Times New Roman" w:hAnsi="Times New Roman"/>
                <w:sz w:val="18"/>
                <w:szCs w:val="18"/>
                <w:b w:val="1"/>
                <w:bCs w:val="1"/>
                <w:color w:val="212529"/>
                <w:w w:val="99"/>
              </w:rPr>
              <w:t>London SW1H 0DB</w:t>
            </w:r>
          </w:p>
        </w:tc>
        <w:tc>
          <w:tcPr>
            <w:tcW w:w="1480" w:type="dxa"/>
            <w:vAlign w:val="bottom"/>
          </w:tcPr>
          <w:p>
            <w:pPr>
              <w:spacing w:after="0"/>
              <w:rPr>
                <w:sz w:val="18"/>
                <w:szCs w:val="18"/>
                <w:color w:val="auto"/>
              </w:rPr>
            </w:pPr>
          </w:p>
        </w:tc>
      </w:t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212529"/>
                <w:w w:val="99"/>
              </w:rPr>
              <w:t>United Kingdom</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rPr>
              <w:t>Not Applicable</w:t>
            </w:r>
          </w:p>
        </w:tc>
      </w:t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212529"/>
                <w:w w:val="99"/>
              </w:rPr>
              <w:t>(Address of principal executive offices)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rPr>
              <w:t>(Zip Code)</w:t>
            </w:r>
          </w:p>
        </w:tc>
      </w:tr>
      <w:tr>
        <w:trPr>
          <w:trHeight w:val="216"/>
        </w:trPr>
        <w:tc>
          <w:tcPr>
            <w:tcW w:w="644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212529"/>
              </w:rPr>
              <w:t>+44 207 400 3347</w:t>
            </w:r>
          </w:p>
        </w:tc>
        <w:tc>
          <w:tcPr>
            <w:tcW w:w="1480" w:type="dxa"/>
            <w:vAlign w:val="bottom"/>
          </w:tcPr>
          <w:p>
            <w:pPr>
              <w:spacing w:after="0"/>
              <w:rPr>
                <w:sz w:val="18"/>
                <w:szCs w:val="18"/>
                <w:color w:val="auto"/>
              </w:rPr>
            </w:pPr>
          </w:p>
        </w:tc>
      </w:tr>
      <w:tr>
        <w:trPr>
          <w:trHeight w:val="238"/>
        </w:trPr>
        <w:tc>
          <w:tcPr>
            <w:tcW w:w="64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212529"/>
                <w:w w:val="99"/>
              </w:rPr>
              <w:t>(Registrant’s telephone number, including area code)</w:t>
            </w:r>
          </w:p>
        </w:tc>
        <w:tc>
          <w:tcPr>
            <w:tcW w:w="1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212529"/>
              </w:rPr>
              <w:t>Name of each exchange</w:t>
            </w:r>
          </w:p>
        </w:tc>
        <w:tc>
          <w:tcPr>
            <w:tcW w:w="0" w:type="dxa"/>
            <w:vAlign w:val="bottom"/>
          </w:tcPr>
          <w:p>
            <w:pPr>
              <w:spacing w:after="0"/>
              <w:rPr>
                <w:sz w:val="1"/>
                <w:szCs w:val="1"/>
                <w:color w:val="auto"/>
              </w:rPr>
            </w:pPr>
          </w:p>
        </w:tc>
      </w:tr>
      <w:tr>
        <w:trPr>
          <w:trHeight w:val="245"/>
        </w:trPr>
        <w:tc>
          <w:tcPr>
            <w:tcW w:w="400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212529"/>
              </w:rPr>
              <w:t>Title of each class</w:t>
            </w:r>
          </w:p>
        </w:tc>
        <w:tc>
          <w:tcPr>
            <w:tcW w:w="500" w:type="dxa"/>
            <w:vAlign w:val="bottom"/>
          </w:tcPr>
          <w:p>
            <w:pPr>
              <w:spacing w:after="0"/>
              <w:rPr>
                <w:sz w:val="21"/>
                <w:szCs w:val="21"/>
                <w:color w:val="auto"/>
              </w:rPr>
            </w:pPr>
          </w:p>
        </w:tc>
        <w:tc>
          <w:tcPr>
            <w:tcW w:w="360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212529"/>
                <w:w w:val="98"/>
              </w:rPr>
              <w:t>Trading Symbol(s)</w:t>
            </w:r>
          </w:p>
        </w:tc>
        <w:tc>
          <w:tcPr>
            <w:tcW w:w="520" w:type="dxa"/>
            <w:vAlign w:val="bottom"/>
          </w:tcPr>
          <w:p>
            <w:pPr>
              <w:spacing w:after="0"/>
              <w:rPr>
                <w:sz w:val="21"/>
                <w:szCs w:val="21"/>
                <w:color w:val="auto"/>
              </w:rPr>
            </w:pPr>
          </w:p>
        </w:tc>
        <w:tc>
          <w:tcPr>
            <w:tcW w:w="2620" w:type="dxa"/>
            <w:vAlign w:val="bottom"/>
            <w:gridSpan w:val="2"/>
          </w:tcPr>
          <w:p>
            <w:pPr>
              <w:jc w:val="center"/>
              <w:ind w:right="830"/>
              <w:spacing w:after="0"/>
              <w:rPr>
                <w:sz w:val="20"/>
                <w:szCs w:val="20"/>
                <w:color w:val="auto"/>
              </w:rPr>
            </w:pPr>
            <w:r>
              <w:rPr>
                <w:rFonts w:ascii="Times New Roman" w:cs="Times New Roman" w:eastAsia="Times New Roman" w:hAnsi="Times New Roman"/>
                <w:sz w:val="18"/>
                <w:szCs w:val="18"/>
                <w:b w:val="1"/>
                <w:bCs w:val="1"/>
                <w:color w:val="212529"/>
                <w:w w:val="99"/>
              </w:rPr>
              <w:t>on which registered</w:t>
            </w:r>
          </w:p>
        </w:tc>
        <w:tc>
          <w:tcPr>
            <w:tcW w:w="0" w:type="dxa"/>
            <w:vAlign w:val="bottom"/>
          </w:tcPr>
          <w:p>
            <w:pPr>
              <w:spacing w:after="0"/>
              <w:rPr>
                <w:sz w:val="1"/>
                <w:szCs w:val="1"/>
                <w:color w:val="auto"/>
              </w:rPr>
            </w:pPr>
          </w:p>
        </w:tc>
      </w:tr>
      <w:tr>
        <w:trPr>
          <w:trHeight w:val="238"/>
        </w:trPr>
        <w:tc>
          <w:tcPr>
            <w:tcW w:w="3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212529"/>
                <w:w w:val="99"/>
              </w:rPr>
              <w:t>Common Shares, $0.0000000341740141 per share</w:t>
            </w:r>
          </w:p>
        </w:tc>
        <w:tc>
          <w:tcPr>
            <w:tcW w:w="2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212529"/>
                <w:w w:val="97"/>
              </w:rPr>
              <w:t>ROIV</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212529"/>
                <w:w w:val="99"/>
              </w:rPr>
              <w:t>The Nasdaq Global Select Market</w:t>
            </w:r>
          </w:p>
        </w:tc>
        <w:tc>
          <w:tcPr>
            <w:tcW w:w="0" w:type="dxa"/>
            <w:vAlign w:val="bottom"/>
          </w:tcPr>
          <w:p>
            <w:pPr>
              <w:spacing w:after="0"/>
              <w:rPr>
                <w:sz w:val="1"/>
                <w:szCs w:val="1"/>
                <w:color w:val="auto"/>
              </w:rPr>
            </w:pPr>
          </w:p>
        </w:tc>
      </w:tr>
      <w:tr>
        <w:trPr>
          <w:trHeight w:val="410"/>
        </w:trPr>
        <w:tc>
          <w:tcPr>
            <w:tcW w:w="8100" w:type="dxa"/>
            <w:vAlign w:val="bottom"/>
            <w:gridSpan w:val="7"/>
          </w:tcPr>
          <w:p>
            <w:pPr>
              <w:ind w:left="3200"/>
              <w:spacing w:after="0"/>
              <w:rPr>
                <w:sz w:val="20"/>
                <w:szCs w:val="20"/>
                <w:color w:val="auto"/>
              </w:rPr>
            </w:pPr>
            <w:r>
              <w:rPr>
                <w:rFonts w:ascii="Times New Roman" w:cs="Times New Roman" w:eastAsia="Times New Roman" w:hAnsi="Times New Roman"/>
                <w:sz w:val="18"/>
                <w:szCs w:val="18"/>
                <w:b w:val="1"/>
                <w:bCs w:val="1"/>
                <w:color w:val="212529"/>
              </w:rPr>
              <w:t>Securities registered pursuant to Section 12(g) of the Act: None</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880" w:type="dxa"/>
            <w:vAlign w:val="bottom"/>
            <w:gridSpan w:val="4"/>
          </w:tcPr>
          <w:p>
            <w:pPr>
              <w:spacing w:after="0"/>
              <w:rPr>
                <w:sz w:val="19"/>
                <w:szCs w:val="19"/>
                <w:color w:val="auto"/>
              </w:rPr>
            </w:pPr>
          </w:p>
        </w:tc>
        <w:tc>
          <w:tcPr>
            <w:tcW w:w="66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212529"/>
              </w:rPr>
              <w:t xml:space="preserve">Yes </w:t>
            </w:r>
            <w:r>
              <w:rPr>
                <w:rFonts w:ascii="MS PGothic" w:cs="MS PGothic" w:eastAsia="MS PGothic" w:hAnsi="MS PGothic"/>
                <w:sz w:val="18"/>
                <w:szCs w:val="18"/>
                <w:color w:val="212529"/>
              </w:rPr>
              <w:t>☒</w:t>
            </w:r>
          </w:p>
        </w:tc>
        <w:tc>
          <w:tcPr>
            <w:tcW w:w="1960" w:type="dxa"/>
            <w:vAlign w:val="bottom"/>
            <w:vMerge w:val="restart"/>
          </w:tcPr>
          <w:p>
            <w:pPr>
              <w:jc w:val="center"/>
              <w:ind w:right="1450"/>
              <w:spacing w:after="0" w:line="207" w:lineRule="exact"/>
              <w:rPr>
                <w:sz w:val="20"/>
                <w:szCs w:val="20"/>
                <w:color w:val="auto"/>
              </w:rPr>
            </w:pPr>
            <w:r>
              <w:rPr>
                <w:rFonts w:ascii="Times New Roman" w:cs="Times New Roman" w:eastAsia="Times New Roman" w:hAnsi="Times New Roman"/>
                <w:sz w:val="18"/>
                <w:szCs w:val="18"/>
                <w:color w:val="212529"/>
                <w:w w:val="94"/>
              </w:rPr>
              <w:t xml:space="preserve">No </w:t>
            </w:r>
            <w:r>
              <w:rPr>
                <w:rFonts w:ascii="MS PGothic" w:cs="MS PGothic" w:eastAsia="MS PGothic" w:hAnsi="MS PGothic"/>
                <w:sz w:val="18"/>
                <w:szCs w:val="18"/>
                <w:color w:val="212529"/>
                <w:w w:val="94"/>
              </w:rPr>
              <w:t>☐</w:t>
            </w:r>
          </w:p>
        </w:tc>
        <w:tc>
          <w:tcPr>
            <w:tcW w:w="0" w:type="dxa"/>
            <w:vAlign w:val="bottom"/>
          </w:tcPr>
          <w:p>
            <w:pPr>
              <w:spacing w:after="0"/>
              <w:rPr>
                <w:sz w:val="1"/>
                <w:szCs w:val="1"/>
                <w:color w:val="auto"/>
              </w:rPr>
            </w:pPr>
          </w:p>
        </w:tc>
      </w:tr>
      <w:tr>
        <w:trPr>
          <w:trHeight w:val="244"/>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212529"/>
              </w:rPr>
              <w:t>Indicate by check mark if the registrant is a well-known seasoned issuer, as defined in Rule 405 of the Securities Act.</w:t>
            </w:r>
          </w:p>
        </w:tc>
        <w:tc>
          <w:tcPr>
            <w:tcW w:w="660" w:type="dxa"/>
            <w:vAlign w:val="bottom"/>
            <w:vMerge w:val="continue"/>
          </w:tcPr>
          <w:p>
            <w:pPr>
              <w:spacing w:after="0"/>
              <w:rPr>
                <w:sz w:val="21"/>
                <w:szCs w:val="21"/>
                <w:color w:val="auto"/>
              </w:rPr>
            </w:pPr>
          </w:p>
        </w:tc>
        <w:tc>
          <w:tcPr>
            <w:tcW w:w="1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212529"/>
                <w:w w:val="99"/>
              </w:rPr>
              <w:t>Indicate by check mark if the registrant is not required to file reports pursuant to Section 13 or Section 15(d) of the Act.</w:t>
            </w: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212529"/>
                <w:w w:val="91"/>
              </w:rPr>
              <w:t xml:space="preserve">Yes </w:t>
            </w:r>
            <w:r>
              <w:rPr>
                <w:rFonts w:ascii="MS PGothic" w:cs="MS PGothic" w:eastAsia="MS PGothic" w:hAnsi="MS PGothic"/>
                <w:sz w:val="18"/>
                <w:szCs w:val="18"/>
                <w:color w:val="212529"/>
                <w:w w:val="91"/>
              </w:rPr>
              <w:t>☐</w:t>
            </w:r>
          </w:p>
        </w:tc>
        <w:tc>
          <w:tcPr>
            <w:tcW w:w="1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212529"/>
              </w:rPr>
              <w:t xml:space="preserve">No </w:t>
            </w:r>
            <w:r>
              <w:rPr>
                <w:rFonts w:ascii="MS PGothic" w:cs="MS PGothic" w:eastAsia="MS PGothic" w:hAnsi="MS PGothic"/>
                <w:sz w:val="18"/>
                <w:szCs w:val="18"/>
                <w:color w:val="212529"/>
              </w:rPr>
              <w:t>☒</w:t>
            </w:r>
          </w:p>
        </w:tc>
        <w:tc>
          <w:tcPr>
            <w:tcW w:w="0" w:type="dxa"/>
            <w:vAlign w:val="bottom"/>
          </w:tcPr>
          <w:p>
            <w:pPr>
              <w:spacing w:after="0"/>
              <w:rPr>
                <w:sz w:val="1"/>
                <w:szCs w:val="1"/>
                <w:color w:val="auto"/>
              </w:rPr>
            </w:pPr>
          </w:p>
        </w:tc>
      </w:tr>
    </w:tbl>
    <w:p>
      <w:pPr>
        <w:spacing w:after="0" w:line="170" w:lineRule="exact"/>
        <w:rPr>
          <w:sz w:val="24"/>
          <w:szCs w:val="24"/>
          <w:color w:val="auto"/>
        </w:rPr>
      </w:pPr>
    </w:p>
    <w:p>
      <w:pPr>
        <w:jc w:val="both"/>
        <w:ind w:right="60"/>
        <w:spacing w:after="0" w:line="232" w:lineRule="exact"/>
        <w:rPr>
          <w:sz w:val="20"/>
          <w:szCs w:val="20"/>
          <w:color w:val="auto"/>
        </w:rPr>
      </w:pPr>
      <w:r>
        <w:rPr>
          <w:rFonts w:ascii="Times New Roman" w:cs="Times New Roman" w:eastAsia="Times New Roman" w:hAnsi="Times New Roman"/>
          <w:sz w:val="18"/>
          <w:szCs w:val="18"/>
          <w:color w:val="212529"/>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 xml:space="preserve"> No </w:t>
      </w:r>
      <w:r>
        <w:rPr>
          <w:rFonts w:ascii="MS PGothic" w:cs="MS PGothic" w:eastAsia="MS PGothic" w:hAnsi="MS PGothic"/>
          <w:sz w:val="18"/>
          <w:szCs w:val="18"/>
          <w:color w:val="212529"/>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212529"/>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 xml:space="preserve"> No </w:t>
      </w:r>
      <w:r>
        <w:rPr>
          <w:rFonts w:ascii="MS PGothic" w:cs="MS PGothic" w:eastAsia="MS PGothic" w:hAnsi="MS PGothic"/>
          <w:sz w:val="18"/>
          <w:szCs w:val="18"/>
          <w:color w:val="212529"/>
        </w:rPr>
        <w:t>☐</w:t>
      </w:r>
    </w:p>
    <w:p>
      <w:pPr>
        <w:spacing w:after="0" w:line="171" w:lineRule="exact"/>
        <w:rPr>
          <w:sz w:val="24"/>
          <w:szCs w:val="24"/>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21252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69"/>
        </w:trPr>
        <w:tc>
          <w:tcPr>
            <w:tcW w:w="19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212529"/>
              </w:rPr>
              <w:t>Large accelerated filer</w:t>
            </w:r>
          </w:p>
        </w:tc>
        <w:tc>
          <w:tcPr>
            <w:tcW w:w="3500" w:type="dxa"/>
            <w:vAlign w:val="bottom"/>
          </w:tcPr>
          <w:p>
            <w:pPr>
              <w:ind w:left="320"/>
              <w:spacing w:after="0" w:line="168" w:lineRule="exact"/>
              <w:rPr>
                <w:sz w:val="20"/>
                <w:szCs w:val="20"/>
                <w:color w:val="auto"/>
              </w:rPr>
            </w:pPr>
            <w:r>
              <w:rPr>
                <w:rFonts w:ascii="MS PGothic" w:cs="MS PGothic" w:eastAsia="MS PGothic" w:hAnsi="MS PGothic"/>
                <w:sz w:val="18"/>
                <w:szCs w:val="18"/>
                <w:color w:val="212529"/>
              </w:rPr>
              <w:t>☒</w:t>
            </w:r>
          </w:p>
        </w:tc>
        <w:tc>
          <w:tcPr>
            <w:tcW w:w="5120" w:type="dxa"/>
            <w:vAlign w:val="bottom"/>
          </w:tcPr>
          <w:p>
            <w:pPr>
              <w:ind w:left="3000"/>
              <w:spacing w:after="0" w:line="169" w:lineRule="exact"/>
              <w:rPr>
                <w:sz w:val="20"/>
                <w:szCs w:val="20"/>
                <w:color w:val="auto"/>
              </w:rPr>
            </w:pPr>
            <w:r>
              <w:rPr>
                <w:rFonts w:ascii="Times New Roman" w:cs="Times New Roman" w:eastAsia="Times New Roman" w:hAnsi="Times New Roman"/>
                <w:sz w:val="18"/>
                <w:szCs w:val="18"/>
                <w:color w:val="212529"/>
              </w:rPr>
              <w:t>Accelerated filer</w:t>
            </w:r>
          </w:p>
        </w:tc>
        <w:tc>
          <w:tcPr>
            <w:tcW w:w="280" w:type="dxa"/>
            <w:vAlign w:val="bottom"/>
          </w:tcPr>
          <w:p>
            <w:pPr>
              <w:ind w:left="120"/>
              <w:spacing w:after="0" w:line="168" w:lineRule="exact"/>
              <w:rPr>
                <w:sz w:val="20"/>
                <w:szCs w:val="20"/>
                <w:color w:val="auto"/>
              </w:rPr>
            </w:pPr>
            <w:r>
              <w:rPr>
                <w:rFonts w:ascii="MS PGothic" w:cs="MS PGothic" w:eastAsia="MS PGothic" w:hAnsi="MS PGothic"/>
                <w:sz w:val="18"/>
                <w:szCs w:val="18"/>
                <w:color w:val="212529"/>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212529"/>
              </w:rPr>
              <w:t>Non-accelerated filer</w:t>
            </w:r>
          </w:p>
        </w:tc>
        <w:tc>
          <w:tcPr>
            <w:tcW w:w="3500" w:type="dxa"/>
            <w:vAlign w:val="bottom"/>
          </w:tcPr>
          <w:p>
            <w:pPr>
              <w:ind w:left="320"/>
              <w:spacing w:after="0" w:line="181" w:lineRule="exact"/>
              <w:rPr>
                <w:sz w:val="20"/>
                <w:szCs w:val="20"/>
                <w:color w:val="auto"/>
              </w:rPr>
            </w:pPr>
            <w:r>
              <w:rPr>
                <w:rFonts w:ascii="MS PGothic" w:cs="MS PGothic" w:eastAsia="MS PGothic" w:hAnsi="MS PGothic"/>
                <w:sz w:val="18"/>
                <w:szCs w:val="18"/>
                <w:color w:val="212529"/>
              </w:rPr>
              <w:t>☐</w:t>
            </w:r>
          </w:p>
        </w:tc>
        <w:tc>
          <w:tcPr>
            <w:tcW w:w="5120" w:type="dxa"/>
            <w:vAlign w:val="bottom"/>
          </w:tcPr>
          <w:p>
            <w:pPr>
              <w:ind w:left="3000"/>
              <w:spacing w:after="0"/>
              <w:rPr>
                <w:sz w:val="20"/>
                <w:szCs w:val="20"/>
                <w:color w:val="auto"/>
              </w:rPr>
            </w:pPr>
            <w:r>
              <w:rPr>
                <w:rFonts w:ascii="Times New Roman" w:cs="Times New Roman" w:eastAsia="Times New Roman" w:hAnsi="Times New Roman"/>
                <w:sz w:val="18"/>
                <w:szCs w:val="18"/>
                <w:color w:val="212529"/>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212529"/>
                <w:w w:val="77"/>
              </w:rPr>
              <w:t>☐</w:t>
            </w:r>
          </w:p>
        </w:tc>
      </w:tr>
      <w:tr>
        <w:trPr>
          <w:trHeight w:val="303"/>
        </w:trPr>
        <w:tc>
          <w:tcPr>
            <w:tcW w:w="1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120" w:type="dxa"/>
            <w:vAlign w:val="bottom"/>
          </w:tcPr>
          <w:p>
            <w:pPr>
              <w:ind w:left="3000"/>
              <w:spacing w:after="0"/>
              <w:rPr>
                <w:sz w:val="20"/>
                <w:szCs w:val="20"/>
                <w:color w:val="auto"/>
              </w:rPr>
            </w:pPr>
            <w:r>
              <w:rPr>
                <w:rFonts w:ascii="Times New Roman" w:cs="Times New Roman" w:eastAsia="Times New Roman" w:hAnsi="Times New Roman"/>
                <w:sz w:val="18"/>
                <w:szCs w:val="18"/>
                <w:color w:val="212529"/>
              </w:rPr>
              <w:t>Emerging growth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212529"/>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21252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212529"/>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21252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212529"/>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21252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212529"/>
        </w:rPr>
        <w:t>☐</w:t>
      </w:r>
    </w:p>
    <w:p>
      <w:pPr>
        <w:sectPr>
          <w:pgSz w:w="11900" w:h="16878" w:orient="portrait"/>
          <w:cols w:equalWidth="0" w:num="1">
            <w:col w:w="11240"/>
          </w:cols>
          <w:pgMar w:left="320" w:top="516" w:right="339" w:bottom="0" w:gutter="0" w:footer="0" w:header="0"/>
        </w:sectPr>
      </w:pPr>
    </w:p>
    <w:bookmarkStart w:id="1" w:name="page2"/>
    <w:bookmarkEnd w:id="1"/>
    <w:p>
      <w:pPr>
        <w:spacing w:after="0" w:line="207" w:lineRule="exact"/>
        <w:tabs>
          <w:tab w:leader="none" w:pos="7580" w:val="left"/>
          <w:tab w:leader="none" w:pos="8280" w:val="left"/>
        </w:tabs>
        <w:rPr>
          <w:sz w:val="20"/>
          <w:szCs w:val="20"/>
          <w:color w:val="auto"/>
        </w:rPr>
      </w:pPr>
      <w:r>
        <w:rPr>
          <w:rFonts w:ascii="Times New Roman" w:cs="Times New Roman" w:eastAsia="Times New Roman" w:hAnsi="Times New Roman"/>
          <w:sz w:val="18"/>
          <w:szCs w:val="18"/>
          <w:color w:val="212529"/>
        </w:rPr>
        <w:t>Indicate by check mark whether the registrant is a shell company (as defined in Rule 12b-2 of the Act).</w:t>
        <w:tab/>
        <w:t xml:space="preserve">Yes </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ab/>
        <w:t xml:space="preserve">No </w:t>
      </w:r>
      <w:r>
        <w:rPr>
          <w:rFonts w:ascii="MS PGothic" w:cs="MS PGothic" w:eastAsia="MS PGothic" w:hAnsi="MS PGothic"/>
          <w:sz w:val="18"/>
          <w:szCs w:val="18"/>
          <w:color w:val="212529"/>
        </w:rPr>
        <w:t>☒</w:t>
      </w:r>
    </w:p>
    <w:p>
      <w:pPr>
        <w:spacing w:after="0" w:line="26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212529"/>
        </w:rPr>
        <w:t>As of September 30, 2024 (the last business day of the registrant’s most recently completed second fiscal quarter), the aggregate market value of the registrant’s common shares, par value $0.0000000341740141 per share (the “common shares”), held by non-affiliates of the registrant was approximately $8.1 billion, based on the closing price of the common shares on The Nasdaq Global Select Market on September 30, 2024 of $11.54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As of May 21, 2025 there were 679,806,070 common shares outstanding.</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12529"/>
        </w:rPr>
        <w:t>DOCUMENTS INCORPORATED BY REFERENCE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12529"/>
        </w:rPr>
        <w:t>Specified portions of the registrant’s proxy statement to be issued in conjunction with the registrant’s 2025 Annual Meeting of Shareholders, which is expected to be filed not later than 120 days after the registrant’s fiscal year ended March 31, 2025, are incorporated by reference into Part III of this Annual Report on Form 10-K. Except as expressly incorporated by reference, the registrant’s proxy statement shall not be deemed to be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60" w:type="dxa"/>
            <w:vAlign w:val="bottom"/>
            <w:gridSpan w:val="11"/>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3"/>
        </w:trPr>
        <w:tc>
          <w:tcPr>
            <w:tcW w:w="11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rPr>
                <w:sz w:val="15"/>
                <w:szCs w:val="15"/>
                <w:color w:val="auto"/>
              </w:rPr>
            </w:pPr>
          </w:p>
        </w:tc>
        <w:tc>
          <w:tcPr>
            <w:tcW w:w="89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consider carefully the risks described under “Risk Factors” in Part I, Item 1A. of this Annual Report on Form 10-K. Unless the context otherwise requires, references in this section to “we,” “us,” “our,” “Roivant” and the “Company” refer to Roivant Sciences Ltd. and its subsidiaries and affiliates, as the context requires. A summary of the risks that could materially and adversely affect our business, financial condition, operating results and prospects include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840" w:hanging="48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limited operating history and the inherent uncertainties and risks involved in biopharmaceutical product development and commercialization may make it difficult for us to execute on our business model and for you to assess our future prospects.</w:t>
      </w:r>
    </w:p>
    <w:p>
      <w:pPr>
        <w:spacing w:after="0" w:line="161"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acquire or in-license new product candidates, and newly acquired or in-licensed product candidates may not perform as expected in clinical trials or be successful in eventually achieving marketing approvals.</w:t>
      </w:r>
    </w:p>
    <w:p>
      <w:pPr>
        <w:spacing w:after="0" w:line="161"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likely incur significant operating losses for the foreseeable future and may never achieve sustained profitability.</w:t>
      </w:r>
    </w:p>
    <w:p>
      <w:pPr>
        <w:spacing w:after="0" w:line="225"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allocation of capital and personnel across our businesses.</w:t>
      </w:r>
    </w:p>
    <w:p>
      <w:pPr>
        <w:spacing w:after="0" w:line="225"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Vant structure.</w:t>
      </w:r>
    </w:p>
    <w:p>
      <w:pPr>
        <w:spacing w:after="0" w:line="225"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potential future payments related to our product candidates.</w:t>
      </w:r>
    </w:p>
    <w:p>
      <w:pPr>
        <w:spacing w:after="0" w:line="225"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acquisitions, divestitures and other strategic transactions.</w:t>
      </w:r>
    </w:p>
    <w:p>
      <w:pPr>
        <w:spacing w:after="0" w:line="225"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use of our cash, cash equivalents and marketable securities.</w:t>
      </w:r>
    </w:p>
    <w:p>
      <w:pPr>
        <w:spacing w:after="0" w:line="225"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our significant holdings of cash, cash equivalents and marketable securities.</w:t>
      </w:r>
    </w:p>
    <w:p>
      <w:pPr>
        <w:spacing w:after="0" w:line="225" w:lineRule="exact"/>
        <w:rPr>
          <w:rFonts w:ascii="Times New Roman" w:cs="Times New Roman" w:eastAsia="Times New Roman" w:hAnsi="Times New Roman"/>
          <w:sz w:val="18"/>
          <w:szCs w:val="18"/>
          <w:color w:val="auto"/>
        </w:rPr>
      </w:pPr>
    </w:p>
    <w:p>
      <w:pPr>
        <w:jc w:val="both"/>
        <w:ind w:left="840" w:hanging="481"/>
        <w:spacing w:after="0" w:line="261"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not have a need for additional capital under our current operating plans as a result of our current cash position, we may in the future require additional capital to fund our operations. In that case, if we fail to obtain necessary financing when needed, we may not be able to successfully acquire or in-license new product candidates, complete the development and commercialization of our product candidates following regulatory approval and continue to pursue our drug discovery efforts.</w:t>
      </w:r>
    </w:p>
    <w:p>
      <w:pPr>
        <w:spacing w:after="0" w:line="179"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potential for future growth relies on a number of assumptions, some or all of which may not be realized.</w:t>
      </w:r>
    </w:p>
    <w:p>
      <w:pPr>
        <w:spacing w:after="0" w:line="225"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discovery efforts may not be successful in identifying new product candidates.</w:t>
      </w:r>
    </w:p>
    <w:p>
      <w:pPr>
        <w:spacing w:after="0" w:line="225" w:lineRule="exact"/>
        <w:rPr>
          <w:rFonts w:ascii="Times New Roman" w:cs="Times New Roman" w:eastAsia="Times New Roman" w:hAnsi="Times New Roman"/>
          <w:sz w:val="18"/>
          <w:szCs w:val="18"/>
          <w:color w:val="auto"/>
        </w:rPr>
      </w:pPr>
    </w:p>
    <w:p>
      <w:pPr>
        <w:ind w:left="840" w:right="20" w:hanging="48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uncertain and rapidly changing global and regional economic, political and public health conditions could adversely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FDA, U.S. Patent and Trademark Office (“USPTO”), SEC or other government agencies could hinder, delay or result in the suspension of, those agencies’ operations, which could harm our business.</w:t>
      </w:r>
    </w:p>
    <w:p>
      <w:pPr>
        <w:spacing w:after="0" w:line="161" w:lineRule="exact"/>
        <w:rPr>
          <w:rFonts w:ascii="Times New Roman" w:cs="Times New Roman" w:eastAsia="Times New Roman" w:hAnsi="Times New Roman"/>
          <w:sz w:val="18"/>
          <w:szCs w:val="18"/>
          <w:color w:val="auto"/>
        </w:rPr>
      </w:pPr>
    </w:p>
    <w:p>
      <w:pPr>
        <w:jc w:val="both"/>
        <w:ind w:left="840" w:hanging="481"/>
        <w:spacing w:after="0" w:line="266"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175"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enrolling and retaining patients in clinical trials, and clinical development activities could thereby be delayed or otherwise adversely affected.</w:t>
      </w:r>
    </w:p>
    <w:p>
      <w:pPr>
        <w:spacing w:after="0" w:line="161" w:lineRule="exact"/>
        <w:rPr>
          <w:rFonts w:ascii="Times New Roman" w:cs="Times New Roman" w:eastAsia="Times New Roman" w:hAnsi="Times New Roman"/>
          <w:sz w:val="18"/>
          <w:szCs w:val="18"/>
          <w:color w:val="auto"/>
        </w:rPr>
      </w:pPr>
    </w:p>
    <w:p>
      <w:pPr>
        <w:ind w:left="840" w:right="20" w:hanging="48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support our proposed claims for our product candidates or regulatory approvals on a timely basis or at all, and the results of earlier studies and trials may not be predictive of future trial results.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840" w:hanging="481"/>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preliminary or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61"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methods of product manufacturing or formulation may result in additional costs or delays.</w:t>
      </w:r>
    </w:p>
    <w:p>
      <w:pPr>
        <w:spacing w:after="0" w:line="225" w:lineRule="exact"/>
        <w:rPr>
          <w:rFonts w:ascii="Times New Roman" w:cs="Times New Roman" w:eastAsia="Times New Roman" w:hAnsi="Times New Roman"/>
          <w:sz w:val="18"/>
          <w:szCs w:val="18"/>
          <w:color w:val="auto"/>
        </w:rPr>
      </w:pPr>
    </w:p>
    <w:p>
      <w:pPr>
        <w:jc w:val="both"/>
        <w:ind w:left="840" w:hanging="48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of a new drug is an extensive, lengthy, expensive and inherently uncertain process, and the FDA or another regulatory authority may delay, limit or deny approval. We cannot give any assurance that any of our product candidates will receive regulatory approval, which is necessary before they can be commercialized. If we are unable to obtain regulatory approval in one or more jurisdictions for any product candidate, our business will be substantially harmed.</w:t>
      </w:r>
    </w:p>
    <w:p>
      <w:pPr>
        <w:spacing w:after="0" w:line="179"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161" w:lineRule="exact"/>
        <w:rPr>
          <w:rFonts w:ascii="Times New Roman" w:cs="Times New Roman" w:eastAsia="Times New Roman" w:hAnsi="Times New Roman"/>
          <w:sz w:val="18"/>
          <w:szCs w:val="18"/>
          <w:color w:val="auto"/>
        </w:rPr>
      </w:pPr>
    </w:p>
    <w:p>
      <w:pPr>
        <w:jc w:val="both"/>
        <w:ind w:left="840" w:hanging="481"/>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halt their clinical development, delay or prevent their regulatory approval, limit the scope of any approved label or market acceptance following regulatory approval or result in significant negative consequences.</w:t>
      </w:r>
    </w:p>
    <w:p>
      <w:pPr>
        <w:spacing w:after="0" w:line="175" w:lineRule="exact"/>
        <w:rPr>
          <w:rFonts w:ascii="Times New Roman" w:cs="Times New Roman" w:eastAsia="Times New Roman" w:hAnsi="Times New Roman"/>
          <w:sz w:val="18"/>
          <w:szCs w:val="18"/>
          <w:color w:val="auto"/>
        </w:rPr>
      </w:pPr>
    </w:p>
    <w:p>
      <w:pPr>
        <w:jc w:val="both"/>
        <w:ind w:left="840" w:hanging="481"/>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non-U.S. regulatory authorities are lengthy, time consuming and inherently unpredictable, and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175"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supervise and monitor our clinical trials, and if those third parties perform in an unsatisfactory manner or fail to comply with applicable requirements, it may harm our business.</w:t>
      </w:r>
    </w:p>
    <w:p>
      <w:pPr>
        <w:spacing w:after="0" w:line="161"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our own manufacturing capabilities and rely on third parties to produce clinical and commercial supplies of our product candidates. Any failure by these third parties to perform as expected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61"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(“AI”) could expose us to liability or adversely affect our business.</w:t>
      </w:r>
    </w:p>
    <w:p>
      <w:pPr>
        <w:spacing w:after="0" w:line="225"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we may not be able to compete effectively in our markets.</w:t>
      </w:r>
    </w:p>
    <w:p>
      <w:pPr>
        <w:spacing w:after="0" w:line="161" w:lineRule="exact"/>
        <w:rPr>
          <w:rFonts w:ascii="Times New Roman" w:cs="Times New Roman" w:eastAsia="Times New Roman" w:hAnsi="Times New Roman"/>
          <w:sz w:val="18"/>
          <w:szCs w:val="18"/>
          <w:color w:val="auto"/>
        </w:rPr>
      </w:pPr>
    </w:p>
    <w:p>
      <w:pPr>
        <w:jc w:val="both"/>
        <w:ind w:left="840" w:hanging="48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patent applications we own or have in-licensed with respect to our product candidates fail to issue, if their validity, patentability, enforceability, breadth or strength of protection is threatened, or if they fail to provide meaningful exclusivity for our product candidates, it could dissuade companies from collaborating with us to develop product candidates, and threaten our ability to commercialize our product candidates following regulatory approval. Any such outcome could have a materially adverse effect on our business.</w:t>
      </w:r>
    </w:p>
    <w:p>
      <w:pPr>
        <w:spacing w:after="0" w:line="179" w:lineRule="exact"/>
        <w:rPr>
          <w:rFonts w:ascii="Times New Roman" w:cs="Times New Roman" w:eastAsia="Times New Roman" w:hAnsi="Times New Roman"/>
          <w:sz w:val="18"/>
          <w:szCs w:val="18"/>
          <w:color w:val="auto"/>
        </w:rPr>
      </w:pPr>
    </w:p>
    <w:p>
      <w:pPr>
        <w:ind w:left="840" w:hanging="4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patent terms may be inadequate to protect the competitive position of our product candidates for an adequate amount of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Our Jurisdiction of Incorporation and Certain Tax Matters</w:t>
      </w:r>
    </w:p>
    <w:p>
      <w:pPr>
        <w:spacing w:after="0" w:line="229" w:lineRule="exact"/>
        <w:rPr>
          <w:sz w:val="20"/>
          <w:szCs w:val="20"/>
          <w:color w:val="auto"/>
        </w:rPr>
      </w:pPr>
    </w:p>
    <w:p>
      <w:pPr>
        <w:ind w:left="840" w:hanging="481"/>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225" w:lineRule="exact"/>
        <w:rPr>
          <w:rFonts w:ascii="Times New Roman" w:cs="Times New Roman" w:eastAsia="Times New Roman" w:hAnsi="Times New Roman"/>
          <w:sz w:val="18"/>
          <w:szCs w:val="18"/>
          <w:color w:val="auto"/>
        </w:rPr>
      </w:pPr>
    </w:p>
    <w:p>
      <w:pPr>
        <w:ind w:left="840" w:right="20" w:hanging="481"/>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as a result of operating as a public company and our management has devoted and will continue to devote a substantial amount of time to new compliance initiatives.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840" w:hanging="481"/>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shares may decline.</w:t>
      </w:r>
    </w:p>
    <w:p>
      <w:pPr>
        <w:spacing w:after="0" w:line="161" w:lineRule="exact"/>
        <w:rPr>
          <w:rFonts w:ascii="Times New Roman" w:cs="Times New Roman" w:eastAsia="Times New Roman" w:hAnsi="Times New Roman"/>
          <w:sz w:val="18"/>
          <w:szCs w:val="18"/>
          <w:color w:val="auto"/>
        </w:rPr>
      </w:pPr>
    </w:p>
    <w:p>
      <w:pPr>
        <w:ind w:left="840" w:right="20" w:hanging="481"/>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memorandum of association and bye-laws, as well as provisions of Bermuda law, could delay or prevent a change in control, limit the price investors may be willing to pay in the future for our common shares and could entrench management.</w:t>
      </w:r>
    </w:p>
    <w:p>
      <w:pPr>
        <w:spacing w:after="0" w:line="161"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shareholders own a significant percentage of our common shares and are able to exert significant control over matters subject to shareholder approval.</w:t>
      </w:r>
    </w:p>
    <w:p>
      <w:pPr>
        <w:spacing w:after="0" w:line="161" w:lineRule="exact"/>
        <w:rPr>
          <w:rFonts w:ascii="Times New Roman" w:cs="Times New Roman" w:eastAsia="Times New Roman" w:hAnsi="Times New Roman"/>
          <w:sz w:val="18"/>
          <w:szCs w:val="18"/>
          <w:color w:val="auto"/>
        </w:rPr>
      </w:pPr>
    </w:p>
    <w:p>
      <w:pPr>
        <w:jc w:val="both"/>
        <w:ind w:left="840" w:hanging="481"/>
        <w:spacing w:after="0" w:line="266"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spacing w:after="0" w:line="175" w:lineRule="exact"/>
        <w:rPr>
          <w:rFonts w:ascii="Times New Roman" w:cs="Times New Roman" w:eastAsia="Times New Roman" w:hAnsi="Times New Roman"/>
          <w:sz w:val="18"/>
          <w:szCs w:val="18"/>
          <w:color w:val="auto"/>
        </w:rPr>
      </w:pPr>
    </w:p>
    <w:p>
      <w:pPr>
        <w:ind w:left="840" w:hanging="481"/>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perception of future sales, of our common shares by us or our existing shareholders could cause the market price for our common shares to decline and impact our ability to raise capital in the future.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statements, including matters discussed under Part I, Item 1A. “Risk Factors,” Part I, Item 3. “Legal Proceedings” and Part II, Item 7. “Management’s Discussion and Analysis of Financial Condition and Results of Operations” and in other sections of this report, that are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183"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limited operating history and the inherent uncertainties and risks involved in biopharmaceutical product development and commercialization;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new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capital and personnel across our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Vant 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payments we may owe in connection wth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divestitures and other strategic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cash, cash equivalents and marketable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future need for additional capital to fund our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which are very expensive, time-consuming, difficult to design and implement and involve uncertain outcomes;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uncertain and rapidly changing global and regional economic, political and public health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designing and implement clinical trials and preclinical studies is very expensive, time-consuming and difficult;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we may encounter enrolling and retaining patients in clinical trials, which could adversely affect or otherwise delay clinical development activities;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not supporting our proposed claims for a product candidate or regulatory approval;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preliminary or top-line data from our clinical trials changing as more data become available or data being delayed due to audit or verification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candidate manufacturing or formulation that could result in additional costs or delays;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obtaining approval of a new drug is an extensive, lengthy, expensive and inherently uncertain process and the FDA or another regulatory authority may delay, limit or deny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clinical trials to demonstrate substantial evidence of the safety and efficacy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side effects caused by our product candidates that halt their clinical development, delay or prevent their regulatory approval, limit the scope of any approved label or market acceptance or result in negative consequences;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 for a product candidate in certain jurisdictions, even if we are able to obtain approval in certain other jurisdictions;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third-party we rely upon to conduct, supervise and monitor our clinical trials to perform in a satisfactory manner or to comply with applicable legal, regulatory or other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produce clinical and commercial supplies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personnel and our ability to attract, motivate and retain highly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our use of AI could expose us to liability;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other intellectual property protection for our technology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issue (or the threatening of their validity, patentability, enforceability, breadth or strength of protection) or provide meaningful exclusivity for our product candidates of our patent applications that we own or have in-licensed;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inadequacy of patent terms and their scope to protect our competitive position;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own a significant percentage of our stock and will be able to exert significant control over matters subject to shareholder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ownership caused by future sales and issuances of our or the Vant’s equity securities or rights to purchase equity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perception of future sales, of our common shares by us or our existing shareholders, and the impact thereof on the price of our common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potential litigation, including but not limited to our expectations regarding the outcome of any such litigation and costs and expenses associated with such litigation;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and uncertainties, including those described under Part I, Item 1A. “Risk Factors.”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ectPr>
          <w:pgSz w:w="11900" w:h="16838" w:orient="portrait"/>
          <w:cols w:equalWidth="0" w:num="1">
            <w:col w:w="11240"/>
          </w:cols>
          <w:pgMar w:left="320" w:top="115" w:right="3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(https://investor.roivant.com/), SEC filings, webcasts, press releases and conference calls. We use these mediums, including our website, to communicate with our shareholders and the public about our company, our product candidates and other matters. It is possible that the information that we make available may be deemed to be material information. We therefore encourage investors and others interested in our company to review the information that we make available on our website. Information contained on, or that can be accessed through, our website is not incorporated by reference into this Annual Report on Form 10-K, and you should not consider information on our website to be part of this Annual Report on Form 10-K.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obtained the industry and market data included in this Annual Report on Form 10-K from our own research as well as from industry and general publications, surveys and studies conducted by third parties. Industry and general publications, studies and surveys generally state that the information contained therein has been obtained from sources believed to be reliable, but the accuracy and completeness of such information is not guaranteed. These third parties may, in the future, alter the manner in which they conduct surveys and studies regarding the markets in which we operate our business. As a result, you should carefully consider the inherent risks and uncertainties associated with the industry and market data contained in this Annual Report on Form 10-K, including those discussed in Part I, Item 1A. “Risk Factors.”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jc w:val="both"/>
        <w:ind w:firstLine="655"/>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“Roivant,” the “Company,” “we,” “us” or “our” in the following section refer to Roivant Sciences Ltd. and its consolidated subsidiaries, unless the context otherwise requires.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Roivant is a biopharmaceutical company that aims to improve the lives of patients by accelerating the development and commercialization of medicines that matter. Roivant’s pipeline includes brepocitinib, a potent small molecule inhibitor of TYK2 and JAK1 in development for the treatment of dermatomyositis, non-infectious uveitis and cutaneous sarcoidosis; IMVT-1402 and batoclimab, fully human monoclonal antibodies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selected product candidates from our pipeline.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Candidate</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Vant</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Modality</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Phase</w:t>
            </w:r>
          </w:p>
        </w:tc>
      </w:tr>
      <w:tr>
        <w:trPr>
          <w:trHeight w:val="216"/>
        </w:trPr>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6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Dermatomyositis</w:t>
            </w:r>
          </w:p>
        </w:tc>
        <w:tc>
          <w:tcPr>
            <w:tcW w:w="1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w:t>
            </w:r>
          </w:p>
        </w:tc>
        <w:tc>
          <w:tcPr>
            <w:tcW w:w="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Molecule</w:t>
            </w:r>
          </w:p>
        </w:tc>
        <w:tc>
          <w:tcPr>
            <w:tcW w:w="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Non-Infectious Uveitis</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Priovant</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Small Molecule</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Cutaneous Sarcoidosis</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Molecule</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IMVT-1402</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Graves’ Disease</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Biologic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Phase 2/3*</w:t>
            </w:r>
          </w:p>
        </w:tc>
      </w:tr>
      <w:tr>
        <w:trPr>
          <w:trHeight w:val="198"/>
        </w:trPr>
        <w:tc>
          <w:tcPr>
            <w:tcW w:w="2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IMVT-1402</w:t>
            </w:r>
          </w:p>
        </w:tc>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Difficult-to-Treat</w:t>
            </w:r>
          </w:p>
        </w:tc>
        <w:tc>
          <w:tcPr>
            <w:tcW w:w="2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Immunovant</w:t>
            </w:r>
          </w:p>
        </w:tc>
        <w:tc>
          <w:tcPr>
            <w:tcW w:w="2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Biologic</w:t>
            </w:r>
          </w:p>
        </w:tc>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Phase 2/3*</w:t>
            </w:r>
          </w:p>
        </w:tc>
      </w:tr>
      <w:tr>
        <w:trPr>
          <w:trHeight w:val="234"/>
        </w:trPr>
        <w:tc>
          <w:tcPr>
            <w:tcW w:w="2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Rheumatoid Arthritis</w:t>
            </w:r>
          </w:p>
        </w:tc>
        <w:tc>
          <w:tcPr>
            <w:tcW w:w="2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IMVT-1402</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Myasthenia Gravis</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Biologic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Phase 2/3*</w:t>
            </w: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IMVT-1402</w:t>
            </w: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Sjögren’s Disease</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Immunovant</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Biologic</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2/3*</w:t>
            </w:r>
          </w:p>
        </w:tc>
      </w:tr>
      <w:tr>
        <w:trPr>
          <w:trHeight w:val="198"/>
        </w:trPr>
        <w:tc>
          <w:tcPr>
            <w:tcW w:w="2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IMVT-1402</w:t>
            </w:r>
          </w:p>
        </w:tc>
        <w:tc>
          <w:tcPr>
            <w:tcW w:w="2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Chronic Inflammatory</w:t>
            </w:r>
          </w:p>
        </w:tc>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Immunovant</w:t>
            </w:r>
          </w:p>
        </w:tc>
        <w:tc>
          <w:tcPr>
            <w:tcW w:w="2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Biologic</w:t>
            </w:r>
          </w:p>
        </w:tc>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Phase 2/3*</w:t>
            </w:r>
          </w:p>
        </w:tc>
      </w:tr>
      <w:tr>
        <w:trPr>
          <w:trHeight w:val="234"/>
        </w:trPr>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Demyelinating Polyneuropathy</w:t>
            </w:r>
          </w:p>
        </w:tc>
        <w:tc>
          <w:tcPr>
            <w:tcW w:w="2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IMVT-1402</w:t>
            </w: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Cutaneous Lupus Erythmatosus</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Immunovant</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Biologic</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Batoclimab</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Thyroid Eye Disease</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Biologic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198"/>
        </w:trPr>
        <w:tc>
          <w:tcPr>
            <w:tcW w:w="2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Mosliciguat</w:t>
            </w:r>
          </w:p>
        </w:tc>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Pulmonary Hypertension</w:t>
            </w:r>
          </w:p>
        </w:tc>
        <w:tc>
          <w:tcPr>
            <w:tcW w:w="2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Pulmovant</w:t>
            </w:r>
          </w:p>
        </w:tc>
        <w:tc>
          <w:tcPr>
            <w:tcW w:w="2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Inhaled</w:t>
            </w:r>
          </w:p>
        </w:tc>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associated with Interstitial Lung</w:t>
            </w:r>
          </w:p>
        </w:tc>
        <w:tc>
          <w:tcPr>
            <w:tcW w:w="2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4"/>
        </w:trPr>
        <w:tc>
          <w:tcPr>
            <w:tcW w:w="2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Disease</w:t>
            </w:r>
          </w:p>
        </w:tc>
        <w:tc>
          <w:tcPr>
            <w:tcW w:w="2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Note: All product candidates in our current pipeline are investigational and subject to health authority approval. The “Phase” for a specific product candidate referenced above reflects both ongoing clinical trials and expected upcoming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Indicates registrational or potentially registrational trials.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Vant model unlocks key strategic advantages for Roivant and, we believe, ultimately enables us to develop transformative medicines for diseases for which there are no approved therapies or where the current standard of care treatment has significant limitations faster than our competitors. We believe we are uniquely positioned to accomplish this by:</w:t>
      </w:r>
    </w:p>
    <w:p>
      <w:pPr>
        <w:spacing w:after="0" w:line="172" w:lineRule="exact"/>
        <w:rPr>
          <w:sz w:val="20"/>
          <w:szCs w:val="20"/>
          <w:color w:val="auto"/>
        </w:rPr>
      </w:pPr>
    </w:p>
    <w:p>
      <w:pPr>
        <w:jc w:val="both"/>
        <w:ind w:left="980" w:hanging="324"/>
        <w:spacing w:after="0" w:line="259"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business development expertise to identify and in-license promising drug candidates: </w:t>
      </w:r>
      <w:r>
        <w:rPr>
          <w:rFonts w:ascii="Times New Roman" w:cs="Times New Roman" w:eastAsia="Times New Roman" w:hAnsi="Times New Roman"/>
          <w:sz w:val="18"/>
          <w:szCs w:val="18"/>
          <w:color w:val="auto"/>
        </w:rPr>
        <w:t>We assembled our product candidate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pipeline by leveraging our business development expertise and vast network of industry relationships to relentlessly pursue opportunities to in-license or acquire programs where we believe we can deliver successful outcomes on accelerated timelines. Our pipeline expansion has been enabled by our strong track record of rapid and high-quality execution, as well as our ability to maintain a robust balance sheet to fund programs through development.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Creating nimble, entrepreneurial Vants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Vants operate similarly to independent biotechnology companies where each management team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focused on its respective mission and is economically incentivized to maximize value through Vant-specific equity grants. Each of our Vant teams is built with deep relevant expertise to ensure successful execution of its particular development strategy. The Vant model is designed to facilitate rapid decision making and calculated risk taking, by empowering, aligning and incentivizing Vant teams around the outcomes of their specific product candidates.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left="980" w:hanging="324"/>
        <w:spacing w:after="0" w:line="259"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Allocating capital to maximize R&amp;D efficiency: </w:t>
      </w:r>
      <w:r>
        <w:rPr>
          <w:rFonts w:ascii="Times New Roman" w:cs="Times New Roman" w:eastAsia="Times New Roman" w:hAnsi="Times New Roman"/>
          <w:sz w:val="18"/>
          <w:szCs w:val="18"/>
          <w:color w:val="auto"/>
        </w:rPr>
        <w:t>We apply an objective, rigorous decision-making framework across the drug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 designed to ensure resources and capital are continuously directed towards programs we believe have the highest probability of success and away from those that fail to meet our rigorous internal hurdles. We centralize capital allocation decisions at the Roivant level, while distributing operational decisions to the Vants, allowing us to strategically deploy capital in high growth areas, regardless of potentially competing operational priorities.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Maintaining a diversified pipeline with various risk profiles: </w:t>
      </w:r>
      <w:r>
        <w:rPr>
          <w:rFonts w:ascii="Times New Roman" w:cs="Times New Roman" w:eastAsia="Times New Roman" w:hAnsi="Times New Roman"/>
          <w:sz w:val="18"/>
          <w:szCs w:val="18"/>
          <w:color w:val="auto"/>
        </w:rPr>
        <w:t>We have built a broad and differentiated pipeline that includes several drug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across different therapeutic areas, phases of development, modalities and geographies. This approach limits our exposure to concentrated scientific and biological risks and allows us to pursue multiple innovative hypotheses across our portfolio as we seek to develop therapies for patient populations with high unmet need.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Designing creative “win-win” deal structures: </w:t>
      </w:r>
      <w:r>
        <w:rPr>
          <w:rFonts w:ascii="Times New Roman" w:cs="Times New Roman" w:eastAsia="Times New Roman" w:hAnsi="Times New Roman"/>
          <w:sz w:val="18"/>
          <w:szCs w:val="18"/>
          <w:color w:val="auto"/>
        </w:rPr>
        <w:t>We structure our partnerships to balance risk and the potential for future value creation.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 a significant proportion of near-term expenses go toward development, allowing us to stage our investment and align incentives as well as limit losses in the event of a setback. Our scale and proven track record of developing successful product candidates assures partners we are uniquely capable of maximizing value for patients and investors.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and deploying proprietary technologies: </w:t>
      </w:r>
      <w:r>
        <w:rPr>
          <w:rFonts w:ascii="Times New Roman" w:cs="Times New Roman" w:eastAsia="Times New Roman" w:hAnsi="Times New Roman"/>
          <w:sz w:val="18"/>
          <w:szCs w:val="18"/>
          <w:color w:val="auto"/>
        </w:rPr>
        <w:t>We believe we are able to develop transformative medicines faster by building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applying computational tools to drug discovery, development and commercialization. We occupy a unique position at the intersection of biopharma and technology, having built our capabilities in parallel, optimizing each for synergy with the other, in contrast to big pharma who have added software tools to legacy workflows or technology startups that lack experience developing drugs. Vants have access to, and are supported by, these technologies.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Providing operating leverage through centralized support functions: </w:t>
      </w:r>
      <w:r>
        <w:rPr>
          <w:rFonts w:ascii="Times New Roman" w:cs="Times New Roman" w:eastAsia="Times New Roman" w:hAnsi="Times New Roman"/>
          <w:sz w:val="18"/>
          <w:szCs w:val="18"/>
          <w:color w:val="auto"/>
        </w:rPr>
        <w:t>Our model allows us to accelerate Vant formation and maturation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centralizing and sharing certain support functions across various Vants. Vants also benefit from access to our vast network of scientific experts, physicians and technologists to help optimize their clinical development and plans for commercialization.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structural advantages of the Vant model combined with our “force of will” culture and investor mindset have enabled us to achieve an impressive track record: Since Roivant’s founding in 2014, we have received 8 FDA approvals and completed 12 large registrational Phase 3 studies – the last 11 of which have yielded positive data (inclusive of approvals and Phase 3 studies from Vants transferred to Sumitomo Pharma and at Dermavant, which was acquired by Organon in October 2024 (the “Dermavant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Highlights for the Fiscal Year Ended March 31, 2025</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Roivant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completion of the sale of Dermavant to Organon for aggregate consideration of up to approximately $1.2 billion, including an upfront payment of $175 million received at closing in October 2024, a $75 million milestone payment for FDA approval of VTAMA for the treatment of atopic dermatitis, received by Roivant in January 2025, and up to $950 million payable upon the achievement of certain commercial milestones. In addition, Organon will pay tiered royalties on net sales of VTAMA. Roivant did not retain any Dermavant liabilities or obligations post-closing.</w:t>
      </w:r>
    </w:p>
    <w:p>
      <w:pPr>
        <w:spacing w:after="0" w:line="18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fiscal year ended March 31, 2025, Roivant repurchased a total of 128 million common shares for $1.3 billion. Common shares outstanding at March 31, 2025 were reduced by 14% from March 31, 2024.</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Brepocitinib</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results in the Phase 2 NEPTUNE study of once-daily oral brepocitinib in non-infectious uveitis (“NIU”). Brepocitinib demonstrated potential best-in-indication results on median time to treatment failure, the registrational endpoint, showing greater than 12 months for the 45 mg dose arm (not measurable because there was only a 35% treatment failure rate at the end of the 12 month treatment period) and 9.3 months for the 15 mg dose arm. Meaningful improvements in other important measurements including retinal vascular leakage and prevention and treatment of macular edema were also observed.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Phase 3 program in NIU; topline data expected in the first half of calendar year 2027.</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Phase 2 study in cutaneous sarcoidosis (“CS”) as the third indication for brepocitinib; topline data expected in the second half of calendar year 2026.</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ongoing Phase 3 study in dermatomyositis; topline data expected in the second half of calendar year 2025.</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Anti-FcRn Franchise</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top-line results of our Phase 3 study of batoclimab in myasthenia gravis (“MG”), which met its primary endpoint of change in MG-ADL from baseline in AChR+ patients. The 680 mg weekly by SC injection dose set a new benchmark for magnitude of benefit with a 5.6 point mean improvement and 93% MG-ADL Response Rate. Batoclimab demonstrated strong durability of Minimal Symptom Expression (MG-ADL = 0 or 1) (“MSE”) with 75% of patients who achieved MSE on 680 mg dose by week 6 maintaining MSE status for ≥6 weeks. On the same day, we also announced the initial results from period 1 of the Phase 2b study of batoclimab in chronic inflammatory demyelinating polyneuropathy (“CIDP”) following standard of care washout, which demonstrated a mean improvement in the adjusted INCAT disability score of 1.8 across batoclimab arms and an 84% responder rate in those patients who achieved an IgG lowering greater than 70%. In both batoclimab studies, deeper IgG reductions correlated with better clinical outcomes across a range of assessments and timepoints. Batoclimab was well tolerated with no new safety signals identified.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additional positive results from the Phase 2a trial of batoclimab in Graves’ disease. Participants in the trial received 12 weeks of high dose batoclimab, 680 mg weekly by SC injection followed by 12 weeks of lower dose batoclimab, 340 mg weekly SC. At the end of the first 12 weeks, participants experienced a mean IgG reduction of 77% leading to a 76% Response Rate (defined as T3 and T4 falling below the upper limit of normal without increasing the antithyroid drug (“ATD”) dose). In addition, by the end of 12 weeks of higher dose batoclimab, 56% achieved an ATD-Free Response. During Weeks 13 to 24, the lower 340 mg dose of batoclimab resulted in a mean IgG reduction of 65% (vs. 77% on 680mg dose) with a correspondingly lower responder rate of 68%. In addition, a lower ATD-Free Response Rate of 36% was also observed in the second 12 weeks. Patients who achieved at least a 70% IgG reduction at the end of the trial had nearly a threefold higher ATD-Free Response Rate than those who did not (60% vs. 23%). Batoclimab was well tolerated with no new safety signals identified.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total INDs cleared for IMVT-1402, with studies initiated in five indications: potentially registrational trials in Graves’ disease (“GD”), difficult-to-treat rheumatoid arthritis, MG and CIDP, and a proof-of-concept trial in cutaneous lupus erythematosus. We also plan to initiate a potentially registrational trial evaluating IMVT-1402 in Sjögren’s disease and a second potentially registrational trial in GD in the summer of calendar year 2025. Results from Phase 3 trials of batoclimab in thyroid eye disease are expected in the second half of calendar year 2025.</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Mosliciguat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new pipeline program mosliciguat, a potential first-in-class and best-in-category inhaled soluble guanylate cyclase (“sGC”) activator with targeted delivery to the lungs and once-daily administration. Inhaled mosliciguat is initially being developed for the treatment of pulmonary hypertension associated with interstitial lung disease (“PH-ILD”), with potential to expand to other cardiopulmonary indications including additional pulmonary hypertension groups.</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1b ATMOS study (N=38) of mosliciguat following single dose inhaled administration in pulmonary hypertension (“PH”) patients, clinically meaningful mean-max reductions in pulmonary vascular resistance (“PVR”) of up to approximately 38% were observed and were sustained over the study period. These reductions represent some of the highest reductions seen in PH trials to date.</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Phase 2 “PHocus” study of mosliciguat in approximately 120 patients with PH-ILD; topline data expected in the second half of calendar year 2026.</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 Infringement Litigation</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progress patent infringement litigation against Moderna and Pfizer/BioNTech in the United States.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five patent infringement enforcement actions against Moderna outside of the United States, targeting alleged infringing activities in 30 countries.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in the U.S. Moderna case has informed the parties that it plans to update the timing for the summary judgment phase and jury trial, previously scheduled for the second or third quarter of calendar year 2025 and September 2025,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Markman hearing held in the Pfizer/BioNTech case in December 2024, with ruling potentially to come in calendar year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Vant Milestone &amp; Royalty Payments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select potential future payment obligations from in-licensings for select product candidates.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Vant / Licensor</w:t>
            </w:r>
          </w:p>
        </w:tc>
        <w:tc>
          <w:tcPr>
            <w:tcW w:w="100" w:type="dxa"/>
            <w:vAlign w:val="bottom"/>
            <w:tcBorders>
              <w:bottom w:val="single" w:sz="8" w:color="CCEEFF"/>
            </w:tcBorders>
          </w:tcPr>
          <w:p>
            <w:pPr>
              <w:spacing w:after="0"/>
              <w:rPr>
                <w:sz w:val="21"/>
                <w:szCs w:val="21"/>
                <w:color w:val="auto"/>
              </w:rPr>
            </w:pP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Product or Product Candidate</w:t>
            </w:r>
          </w:p>
        </w:tc>
        <w:tc>
          <w:tcPr>
            <w:tcW w:w="100" w:type="dxa"/>
            <w:vAlign w:val="bottom"/>
            <w:tcBorders>
              <w:bottom w:val="single" w:sz="8" w:color="CCEEFF"/>
            </w:tcBorders>
          </w:tcPr>
          <w:p>
            <w:pPr>
              <w:spacing w:after="0"/>
              <w:rPr>
                <w:sz w:val="21"/>
                <w:szCs w:val="21"/>
                <w:color w:val="auto"/>
              </w:rPr>
            </w:pPr>
          </w:p>
        </w:tc>
        <w:tc>
          <w:tcPr>
            <w:tcW w:w="36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Royalties</w:t>
            </w:r>
          </w:p>
        </w:tc>
      </w:tr>
      <w:tr>
        <w:trPr>
          <w:trHeight w:val="225"/>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 / Pfizer</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Mid-tens-of-millions sales milestone payment</w:t>
            </w:r>
          </w:p>
        </w:tc>
        <w:tc>
          <w:tcPr>
            <w:tcW w:w="2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Tiered sub-teens royalty on</w:t>
            </w:r>
          </w:p>
        </w:tc>
      </w:tr>
      <w:tr>
        <w:trPr>
          <w:trHeight w:val="216"/>
        </w:trPr>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if aggregate net sales in a given year exceed 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r>
      <w:tr>
        <w:trPr>
          <w:trHeight w:val="254"/>
        </w:trPr>
        <w:tc>
          <w:tcPr>
            <w:tcW w:w="2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mid-hundreds-of-millions amount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spacing w:after="0"/>
              <w:rPr>
                <w:sz w:val="22"/>
                <w:szCs w:val="22"/>
                <w:color w:val="auto"/>
              </w:rPr>
            </w:pPr>
          </w:p>
        </w:tc>
      </w:tr>
      <w:tr>
        <w:trPr>
          <w:trHeight w:val="185"/>
        </w:trPr>
        <w:tc>
          <w:tcPr>
            <w:tcW w:w="2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Immunovant / HanAll</w:t>
            </w:r>
          </w:p>
        </w:tc>
        <w:tc>
          <w:tcPr>
            <w:tcW w:w="100" w:type="dxa"/>
            <w:vAlign w:val="bottom"/>
          </w:tcPr>
          <w:p>
            <w:pPr>
              <w:spacing w:after="0"/>
              <w:rPr>
                <w:sz w:val="16"/>
                <w:szCs w:val="16"/>
                <w:color w:val="auto"/>
              </w:rPr>
            </w:pPr>
          </w:p>
        </w:tc>
        <w:tc>
          <w:tcPr>
            <w:tcW w:w="2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Anti-FcRn Franchise</w:t>
            </w:r>
          </w:p>
        </w:tc>
        <w:tc>
          <w:tcPr>
            <w:tcW w:w="100" w:type="dxa"/>
            <w:vAlign w:val="bottom"/>
          </w:tcPr>
          <w:p>
            <w:pPr>
              <w:spacing w:after="0"/>
              <w:rPr>
                <w:sz w:val="16"/>
                <w:szCs w:val="16"/>
                <w:color w:val="auto"/>
              </w:rPr>
            </w:pPr>
          </w:p>
        </w:tc>
        <w:tc>
          <w:tcPr>
            <w:tcW w:w="36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   Up to a maximum of $420M upon the</w:t>
            </w:r>
          </w:p>
        </w:tc>
        <w:tc>
          <w:tcPr>
            <w:tcW w:w="120" w:type="dxa"/>
            <w:vAlign w:val="bottom"/>
          </w:tcPr>
          <w:p>
            <w:pPr>
              <w:spacing w:after="0"/>
              <w:rPr>
                <w:sz w:val="16"/>
                <w:szCs w:val="16"/>
                <w:color w:val="auto"/>
              </w:rPr>
            </w:pPr>
          </w:p>
        </w:tc>
        <w:tc>
          <w:tcPr>
            <w:tcW w:w="1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140"/>
              <w:spacing w:after="0" w:line="185" w:lineRule="exact"/>
              <w:rPr>
                <w:sz w:val="20"/>
                <w:szCs w:val="20"/>
                <w:color w:val="auto"/>
              </w:rPr>
            </w:pPr>
            <w:r>
              <w:rPr>
                <w:rFonts w:ascii="Times New Roman" w:cs="Times New Roman" w:eastAsia="Times New Roman" w:hAnsi="Times New Roman"/>
                <w:sz w:val="18"/>
                <w:szCs w:val="18"/>
                <w:color w:val="auto"/>
              </w:rPr>
              <w:t>Tiered mid-single-digits to</w:t>
            </w: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achievement of certain regulatory and sales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mid-teens royalty on net sales</w:t>
            </w:r>
          </w:p>
        </w:tc>
      </w:tr>
      <w:tr>
        <w:trPr>
          <w:trHeight w:val="241"/>
        </w:trPr>
        <w:tc>
          <w:tcPr>
            <w:tcW w:w="2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milestone events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Pulmovant / Bayer</w:t>
            </w:r>
          </w:p>
        </w:tc>
        <w:tc>
          <w:tcPr>
            <w:tcW w:w="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Mosliciguat</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Up to a maximum of $280M in development,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Tiered high-single-digits</w:t>
            </w:r>
          </w:p>
        </w:tc>
      </w:tr>
      <w:tr>
        <w:trPr>
          <w:trHeight w:val="254"/>
        </w:trPr>
        <w:tc>
          <w:tcPr>
            <w:tcW w:w="2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regulatory and sales milestone events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royalty on net sales</w:t>
            </w:r>
          </w:p>
        </w:tc>
      </w:tr>
      <w:tr>
        <w:trPr>
          <w:trHeight w:val="185"/>
        </w:trPr>
        <w:tc>
          <w:tcPr>
            <w:tcW w:w="2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Genevant / Arbutus</w:t>
            </w:r>
          </w:p>
        </w:tc>
        <w:tc>
          <w:tcPr>
            <w:tcW w:w="100" w:type="dxa"/>
            <w:vAlign w:val="bottom"/>
          </w:tcPr>
          <w:p>
            <w:pPr>
              <w:spacing w:after="0"/>
              <w:rPr>
                <w:sz w:val="16"/>
                <w:szCs w:val="16"/>
                <w:color w:val="auto"/>
              </w:rPr>
            </w:pPr>
          </w:p>
        </w:tc>
        <w:tc>
          <w:tcPr>
            <w:tcW w:w="2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LNP Technology</w:t>
            </w:r>
          </w:p>
        </w:tc>
        <w:tc>
          <w:tcPr>
            <w:tcW w:w="100" w:type="dxa"/>
            <w:vAlign w:val="bottom"/>
          </w:tcPr>
          <w:p>
            <w:pPr>
              <w:spacing w:after="0"/>
              <w:rPr>
                <w:sz w:val="16"/>
                <w:szCs w:val="16"/>
                <w:color w:val="auto"/>
              </w:rPr>
            </w:pPr>
          </w:p>
        </w:tc>
        <w:tc>
          <w:tcPr>
            <w:tcW w:w="3680" w:type="dxa"/>
            <w:vAlign w:val="bottom"/>
          </w:tcPr>
          <w:p>
            <w:pPr>
              <w:ind w:left="1760"/>
              <w:spacing w:after="0" w:line="18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5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   Up to 20% of Royalty-</w:t>
            </w: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Receipts (as defined</w:t>
            </w:r>
          </w:p>
        </w:tc>
      </w:tr>
      <w:tr>
        <w:trPr>
          <w:trHeight w:val="234"/>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below)</w:t>
            </w:r>
          </w:p>
        </w:tc>
      </w:tr>
    </w:tbl>
    <w:p>
      <w:pPr>
        <w:spacing w:after="0" w:line="196"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Note: The summaries above do not purport to be complete. Please refer to “—Vant License Agreements &amp; Other Vant Agreements” and the agreements themselves, filed as exhibits to this Annual Report on Form 10-K, for more information on the terms of these agreements.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Vant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ownership of certain of our subsidiary companies and affiliates as of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Roivant Ownership</w:t>
            </w:r>
          </w:p>
        </w:tc>
      </w:tr>
      <w:tr>
        <w:trPr>
          <w:trHeight w:val="223"/>
        </w:trPr>
        <w:tc>
          <w:tcPr>
            <w:tcW w:w="8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Vant / Milestones &amp; Royalties</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20"/>
              <w:spacing w:after="0" w:line="216" w:lineRule="exact"/>
              <w:rPr>
                <w:sz w:val="20"/>
                <w:szCs w:val="20"/>
                <w:color w:val="auto"/>
              </w:rPr>
            </w:pPr>
            <w:r>
              <w:rPr>
                <w:rFonts w:ascii="Times New Roman" w:cs="Times New Roman" w:eastAsia="Times New Roman" w:hAnsi="Times New Roman"/>
                <w:sz w:val="16"/>
                <w:szCs w:val="16"/>
                <w:b w:val="1"/>
                <w:bCs w:val="1"/>
                <w:color w:val="auto"/>
              </w:rPr>
              <w:t>Basic</w:t>
            </w:r>
            <w:r>
              <w:rPr>
                <w:rFonts w:ascii="Times New Roman" w:cs="Times New Roman" w:eastAsia="Times New Roman" w:hAnsi="Times New Roman"/>
                <w:sz w:val="25"/>
                <w:szCs w:val="25"/>
                <w:b w:val="1"/>
                <w:bCs w:val="1"/>
                <w:color w:val="auto"/>
                <w:vertAlign w:val="superscript"/>
              </w:rPr>
              <w:t>1</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Fully Diluted</w:t>
            </w:r>
            <w:r>
              <w:rPr>
                <w:rFonts w:ascii="Times New Roman" w:cs="Times New Roman" w:eastAsia="Times New Roman" w:hAnsi="Times New Roman"/>
                <w:sz w:val="25"/>
                <w:szCs w:val="25"/>
                <w:b w:val="1"/>
                <w:bCs w:val="1"/>
                <w:color w:val="auto"/>
                <w:vertAlign w:val="superscript"/>
              </w:rPr>
              <w:t>2</w:t>
            </w:r>
          </w:p>
        </w:tc>
        <w:tc>
          <w:tcPr>
            <w:tcW w:w="22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75%</w:t>
            </w:r>
            <w:r>
              <w:rPr>
                <w:rFonts w:ascii="Times New Roman" w:cs="Times New Roman" w:eastAsia="Times New Roman" w:hAnsi="Times New Roman"/>
                <w:sz w:val="25"/>
                <w:szCs w:val="25"/>
                <w:color w:val="auto"/>
                <w:vertAlign w:val="superscript"/>
              </w:rPr>
              <w:t>3</w:t>
            </w:r>
          </w:p>
        </w:tc>
        <w:tc>
          <w:tcPr>
            <w:tcW w:w="13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67%</w:t>
            </w:r>
            <w:r>
              <w:rPr>
                <w:rFonts w:ascii="Times New Roman" w:cs="Times New Roman" w:eastAsia="Times New Roman" w:hAnsi="Times New Roman"/>
                <w:sz w:val="25"/>
                <w:szCs w:val="25"/>
                <w:color w:val="auto"/>
                <w:vertAlign w:val="superscript"/>
              </w:rPr>
              <w:t>3</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144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57%</w:t>
            </w:r>
            <w:r>
              <w:rPr>
                <w:rFonts w:ascii="Times New Roman" w:cs="Times New Roman" w:eastAsia="Times New Roman" w:hAnsi="Times New Roman"/>
                <w:sz w:val="25"/>
                <w:szCs w:val="25"/>
                <w:color w:val="auto"/>
                <w:vertAlign w:val="superscript"/>
              </w:rPr>
              <w:t>4</w:t>
            </w:r>
          </w:p>
        </w:tc>
        <w:tc>
          <w:tcPr>
            <w:tcW w:w="1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52%</w:t>
            </w:r>
            <w:r>
              <w:rPr>
                <w:rFonts w:ascii="Times New Roman" w:cs="Times New Roman" w:eastAsia="Times New Roman" w:hAnsi="Times New Roman"/>
                <w:sz w:val="25"/>
                <w:szCs w:val="25"/>
                <w:color w:val="auto"/>
                <w:vertAlign w:val="superscript"/>
              </w:rPr>
              <w:t>4</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Pulmovant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Genevant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Covant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Psivant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Arbutus</w:t>
            </w:r>
          </w:p>
        </w:tc>
        <w:tc>
          <w:tcPr>
            <w:tcW w:w="144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20%</w:t>
            </w:r>
            <w:r>
              <w:rPr>
                <w:rFonts w:ascii="Times New Roman" w:cs="Times New Roman" w:eastAsia="Times New Roman" w:hAnsi="Times New Roman"/>
                <w:sz w:val="25"/>
                <w:szCs w:val="25"/>
                <w:color w:val="auto"/>
                <w:vertAlign w:val="superscript"/>
              </w:rPr>
              <w:t>4</w:t>
            </w:r>
          </w:p>
        </w:tc>
        <w:tc>
          <w:tcPr>
            <w:tcW w:w="13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25"/>
                <w:szCs w:val="25"/>
                <w:color w:val="auto"/>
                <w:vertAlign w:val="superscript"/>
              </w:rPr>
              <w:t>4</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Lokavant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VantAI</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Datavant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VTAMA Milestones &amp; Royalty</w:t>
            </w:r>
            <w:r>
              <w:rPr>
                <w:rFonts w:ascii="Times New Roman" w:cs="Times New Roman" w:eastAsia="Times New Roman" w:hAnsi="Times New Roman"/>
                <w:sz w:val="25"/>
                <w:szCs w:val="25"/>
                <w:color w:val="auto"/>
                <w:vertAlign w:val="superscript"/>
              </w:rPr>
              <w:t>4</w:t>
            </w:r>
          </w:p>
        </w:tc>
        <w:tc>
          <w:tcPr>
            <w:tcW w:w="144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86%</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81%</w:t>
            </w:r>
            <w:r>
              <w:rPr>
                <w:rFonts w:ascii="Times New Roman" w:cs="Times New Roman" w:eastAsia="Times New Roman" w:hAnsi="Times New Roman"/>
                <w:sz w:val="25"/>
                <w:szCs w:val="25"/>
                <w:color w:val="auto"/>
                <w:vertAlign w:val="superscript"/>
              </w:rPr>
              <w:t>5</w:t>
            </w:r>
          </w:p>
        </w:tc>
      </w:tr>
    </w:tbl>
    <w:p>
      <w:pPr>
        <w:spacing w:after="0" w:line="19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Basic ownership refers to Roivant’s percentage ownership of the issued and outstanding common and preferred shares (if applicable) of the entity.</w:t>
      </w:r>
    </w:p>
    <w:p>
      <w:pPr>
        <w:spacing w:after="0" w:line="225" w:lineRule="exact"/>
        <w:rPr>
          <w:rFonts w:ascii="Times New Roman" w:cs="Times New Roman" w:eastAsia="Times New Roman" w:hAnsi="Times New Roman"/>
          <w:sz w:val="18"/>
          <w:szCs w:val="18"/>
          <w:i w:val="1"/>
          <w:iCs w:val="1"/>
          <w:color w:val="auto"/>
        </w:rPr>
      </w:pPr>
    </w:p>
    <w:p>
      <w:pPr>
        <w:ind w:left="340" w:right="40" w:hanging="332"/>
        <w:spacing w:after="0" w:line="284" w:lineRule="auto"/>
        <w:tabs>
          <w:tab w:leader="none" w:pos="3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Fully diluted ownership refers to Roivant’s percentage ownership of all outstanding equity interests of the entity, including unvested RSUs, options and warrants, in each case whether vested or unvested.</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March 31, 2025, the anti-dilution protection for Pfizer’s minority ownership interest in Priovant has terminated.</w:t>
      </w:r>
    </w:p>
    <w:p>
      <w:pPr>
        <w:spacing w:after="0" w:line="22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Denotes entities that are publicly traded.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340" w:right="20" w:hanging="332"/>
        <w:spacing w:after="0" w:line="254" w:lineRule="auto"/>
        <w:tabs>
          <w:tab w:leader="none" w:pos="3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Amounts shown as of the closing of the Dermavant Transaction on October 28, 2024. At closing of the Dermavant Transaction, we received cash consideration of $183.6 million. In January 2025, we received an additional cash payment of $75.0 million upon FDA approval of VTAMA for the treatment of atopic dermatitis (the “AD Approval Milestone”). In addition to the foregoing, at closing, all former Dermavant equity holders, including Roivant, received the right to receive their pro rata portion of (i) milestone payments of up to $950 million for the achievements of certain tiered net sales amounts with respect to VTAMA, each less than or equal to $1 billion and (ii) tiered royalties of (x) low-to-mid single digit percentages with respect to annual net sales of VTAMA up to $1 billion and (y) 30% with respect to annual net sales of VTAMA above $1 billion. Roivant’s ownership interest in these potential future milestones and royalties consists of (i) 100% of the first $270 million in upfront, milestone and royalty payments (inclusive of the upfront payment made at closing and the AD Approval Milestone) and (ii) between 86% and 81% of subsequent milestone and royalty payments. For more information on the Dermavant Transaction, please refer to Note 6, “Discontinued Operations” to Roivant’s consolidated financial statements included in this Annual Report on Form 10-K.</w:t>
      </w:r>
    </w:p>
    <w:p>
      <w:pPr>
        <w:spacing w:after="0" w:line="185" w:lineRule="exact"/>
        <w:rPr>
          <w:sz w:val="20"/>
          <w:szCs w:val="20"/>
          <w:color w:val="auto"/>
        </w:rPr>
      </w:pPr>
    </w:p>
    <w:p>
      <w:pPr>
        <w:ind w:left="340" w:right="140" w:hanging="332"/>
        <w:spacing w:after="0" w:line="258"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March 31, 2025, the Company’s minority equity interest in Datavant represented approximately 9% of the outstanding Class A units. Datavant’s capital structure includes several classes of preferred units that, among other features, have liquidation preferences and conversion features. Upon conversion of such preferred units into Class A units, the Company’s ownership interest would be diluted. For more information on Roivant’s ownership interest in Datavant, please refer to Note 4, “Equity Method Investments” to Roivant’s consolidated financial statements included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Upcoming Catalysts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the upcoming year, we have a robust set of expected near-term catalysts, including the items set forth in the table below. In addition, we plan to in-license multiple potentially category-leading drugs per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5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Vant</w:t>
            </w:r>
          </w:p>
        </w:tc>
        <w:tc>
          <w:tcPr>
            <w:tcW w:w="532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Catalyst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Expected Timing</w:t>
            </w: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Roivant pipeline growth</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Roivant</w:t>
            </w:r>
          </w:p>
        </w:tc>
        <w:tc>
          <w:tcPr>
            <w:tcW w:w="120" w:type="dxa"/>
            <w:vAlign w:val="bottom"/>
            <w:tcBorders>
              <w:top w:val="single" w:sz="8" w:color="CCEEFF"/>
            </w:tcBorders>
            <w:shd w:val="clear" w:color="auto" w:fill="CCEEFF"/>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mid/late-stage in-licensing announcements</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Ongoing</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Batoclimab</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data in Graves’ disease including 6-month remission data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Summer 2025</w:t>
            </w: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LNP platform</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Genevant</w:t>
            </w: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Markman hearing decision in Pfizer/BioNTech case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LNP platform</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Genevant</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judgment phase and jury trial in U.S. Moderna case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Pending*</w:t>
            </w: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w:t>
            </w: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Phase 3 trial in dermatomyositis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2H 2025</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Batoclimab</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from Phase 3 trials in thyroid eye disease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2H 2025</w:t>
            </w:r>
          </w:p>
        </w:tc>
      </w:tr>
      <w:tr>
        <w:trPr>
          <w:trHeight w:val="198"/>
        </w:trPr>
        <w:tc>
          <w:tcPr>
            <w:tcW w:w="2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Mosliciguat</w:t>
            </w:r>
          </w:p>
        </w:tc>
        <w:tc>
          <w:tcPr>
            <w:tcW w:w="1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Pulmovant</w:t>
            </w:r>
          </w:p>
        </w:tc>
        <w:tc>
          <w:tcPr>
            <w:tcW w:w="5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Topline data from Phase 2 trial in pulmonary hypertension associated</w:t>
            </w:r>
          </w:p>
        </w:tc>
        <w:tc>
          <w:tcPr>
            <w:tcW w:w="18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2H 2026</w:t>
            </w:r>
          </w:p>
        </w:tc>
      </w:tr>
      <w:tr>
        <w:trPr>
          <w:trHeight w:val="234"/>
        </w:trPr>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interstitial lung disease</w:t>
            </w:r>
          </w:p>
        </w:tc>
        <w:tc>
          <w:tcPr>
            <w:tcW w:w="1860" w:type="dxa"/>
            <w:vAlign w:val="bottom"/>
            <w:shd w:val="clear" w:color="auto" w:fill="CCEEFF"/>
          </w:tcPr>
          <w:p>
            <w:pPr>
              <w:spacing w:after="0"/>
              <w:rPr>
                <w:sz w:val="20"/>
                <w:szCs w:val="20"/>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Priovant</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from Phase 2 trial in cutaneous sarcoidosis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2H 2026</w:t>
            </w:r>
          </w:p>
        </w:tc>
      </w:tr>
      <w:tr>
        <w:trPr>
          <w:trHeight w:val="198"/>
        </w:trPr>
        <w:tc>
          <w:tcPr>
            <w:tcW w:w="2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IMVT-1402</w:t>
            </w:r>
          </w:p>
        </w:tc>
        <w:tc>
          <w:tcPr>
            <w:tcW w:w="1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Immunovant</w:t>
            </w:r>
          </w:p>
        </w:tc>
        <w:tc>
          <w:tcPr>
            <w:tcW w:w="5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results from open label period 1 of potentially registrational trial</w:t>
            </w:r>
          </w:p>
        </w:tc>
        <w:tc>
          <w:tcPr>
            <w:tcW w:w="18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2026</w:t>
            </w:r>
          </w:p>
        </w:tc>
      </w:tr>
      <w:tr>
        <w:trPr>
          <w:trHeight w:val="234"/>
        </w:trPr>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ACPA+ difficult-to-treat rheumatoid arthritis</w:t>
            </w:r>
          </w:p>
        </w:tc>
        <w:tc>
          <w:tcPr>
            <w:tcW w:w="1860" w:type="dxa"/>
            <w:vAlign w:val="bottom"/>
            <w:shd w:val="clear" w:color="auto" w:fill="CCEEFF"/>
          </w:tcPr>
          <w:p>
            <w:pPr>
              <w:spacing w:after="0"/>
              <w:rPr>
                <w:sz w:val="20"/>
                <w:szCs w:val="20"/>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IMVT-1402</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from Phase 2 trial in cutaneous lupus erythematosus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w:t>
            </w: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Phase 3 trials in non-infectious uveitis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1H 2027</w:t>
            </w:r>
          </w:p>
        </w:tc>
      </w:tr>
      <w:tr>
        <w:trPr>
          <w:trHeight w:val="198"/>
        </w:trPr>
        <w:tc>
          <w:tcPr>
            <w:tcW w:w="2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IMVT-1402</w:t>
            </w:r>
          </w:p>
        </w:tc>
        <w:tc>
          <w:tcPr>
            <w:tcW w:w="1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Immunovant</w:t>
            </w:r>
          </w:p>
        </w:tc>
        <w:tc>
          <w:tcPr>
            <w:tcW w:w="5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Topline data from potentially registrational trial in ACPA+ difficult-to-</w:t>
            </w:r>
          </w:p>
        </w:tc>
        <w:tc>
          <w:tcPr>
            <w:tcW w:w="1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2027</w:t>
            </w:r>
          </w:p>
        </w:tc>
      </w:tr>
      <w:tr>
        <w:trPr>
          <w:trHeight w:val="234"/>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treat rheumatoid arthritis</w:t>
            </w:r>
          </w:p>
        </w:tc>
        <w:tc>
          <w:tcPr>
            <w:tcW w:w="1860" w:type="dxa"/>
            <w:vAlign w:val="bottom"/>
          </w:tcPr>
          <w:p>
            <w:pPr>
              <w:spacing w:after="0"/>
              <w:rPr>
                <w:sz w:val="20"/>
                <w:szCs w:val="20"/>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IMVT-1402</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Immunovant</w:t>
            </w: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potentially registrational trial in Graves’ disease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IMVT-1402</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from potentially registrational trial in myasthenia gravis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IMVT-1402</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Immunovant</w:t>
            </w: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potentially registrational trial in Sjögren’s disease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198"/>
        </w:trPr>
        <w:tc>
          <w:tcPr>
            <w:tcW w:w="2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IMVT-1402</w:t>
            </w:r>
          </w:p>
        </w:tc>
        <w:tc>
          <w:tcPr>
            <w:tcW w:w="1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Immunovant</w:t>
            </w:r>
          </w:p>
        </w:tc>
        <w:tc>
          <w:tcPr>
            <w:tcW w:w="5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Topline data from potentially registrational trial in chronic</w:t>
            </w:r>
          </w:p>
        </w:tc>
        <w:tc>
          <w:tcPr>
            <w:tcW w:w="1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2028</w:t>
            </w:r>
          </w:p>
        </w:tc>
      </w:tr>
      <w:tr>
        <w:trPr>
          <w:trHeight w:val="234"/>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inflammatory demyelinating polyneuropathy</w:t>
            </w:r>
          </w:p>
        </w:tc>
        <w:tc>
          <w:tcPr>
            <w:tcW w:w="1860" w:type="dxa"/>
            <w:vAlign w:val="bottom"/>
          </w:tcPr>
          <w:p>
            <w:pPr>
              <w:spacing w:after="0"/>
              <w:rPr>
                <w:sz w:val="20"/>
                <w:szCs w:val="20"/>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Note: References under “Expected Timing” are to calendar years. All catalyst timings are based on current expectations and, where applicable, contingent on FDA feedback, and may be subject to change. The timing of the litigation-related events noted above is subject to change, including at the discretion of the court.</w:t>
      </w:r>
    </w:p>
    <w:p>
      <w:pPr>
        <w:spacing w:after="0" w:line="173" w:lineRule="exact"/>
        <w:rPr>
          <w:sz w:val="20"/>
          <w:szCs w:val="20"/>
          <w:color w:val="auto"/>
        </w:rPr>
      </w:pPr>
    </w:p>
    <w:p>
      <w:pPr>
        <w:jc w:val="both"/>
        <w:ind w:left="160" w:hanging="152"/>
        <w:spacing w:after="0" w:line="267" w:lineRule="auto"/>
        <w:tabs>
          <w:tab w:leader="none" w:pos="151"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court in the Pfizer/BioNTech case has not provided guidance for the timing of its ruling for the Markman hearing, which could potentially be in 2025. The court in the U.S. Moderna case has informed the parties that it plans to update the timing for the summary judgment phase and jury trial, previously scheduled for the second or third quarter of calendar year 2025 and September 2025,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Priovant Overview</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is developing brepocitinib, a potent small molecule inhibitor of TYK2 and JAK1, for the treatment of dermatomyositis (“DM”), non-infectious uveitis (“NIU”), cutaneous sarcoidosis (“CS”) and other immune-mediated diseases.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is a potentially first-in-class, orally administered, small molecule inhibitor of TYK2 and JAK1 that suppresses signaling of TYK2- and JAK1-dependent cytokines linked to autoimmune disease, including type I and type II interferon, IL-6, IL-12 and IL-23.</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 is a chronic, immune-mediated disease of the skin and muscles. Patients with DM usually present with a characteristic skin rash and proximal muscle weakness, which may lead to significant functional impairment or disfigurement. Patients with DM are at a substantially increased risk of interstitial lung disease, malignancy and heart failure, contributing to an estimated 5-year mortality rate of 10-40%.</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NIU is an immune-mediated disease of the eye. Patients with NIU usually present with eye inflammation, which can manifest as eye pain, eye redness, light sensitivity, blurred vision, reduced vision and floaters. Patients with NIU are at a substantially increased risk of blindness, contributing to approximately 10% of cases of blindness in the U.S.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 is an immune-mediated disease of the skin. CS is the second-most common organ manifestation among sarcoidosis patients and can be disfiguring in cases with significant facial or body surface area involvement. Patients with CS usually present with macules, papules, plaques or nodules. Uncontrolled disease often progresses to cartilage and bone destruction and permanent deformity.</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there are approximately 37,000 adult DM patients, approximately 400,000 adult NIU patients, including 70,000 to 100,000 adult non-anterior NIU patients, and approximately 30,000 to 50,000 adult CS patients in the U.S.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Corticosteroids, disease-modifying antirheumatic drugs (“DMARDs”) and immunosuppressants, administered alone or in combination, are traditional therapies for patients with DM, NIU and CS. Many of these therapies are associated with significant toxicities and limited efficacy.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with DM who do not respond adequately to traditional therapies, IVIg (OCTAGAM 10%) is an important FDA-approved treatment. However, clinical trial data from the Phase 3 ProDERM study of IVIg in patients with DM and case reports from years of prior off-label use confirm that even with IVIg, many patients with DM continue to suffer from residual disease activity. Moreover, IVIg administration is burdensome, typically requiring several hours of infusion therapy for multiple days each month. IVIg also has a black box warning for serious risks, including thrombosis and kidney failure.</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with NIU who do not respond adequately to traditional therapies, adalimumab (HUMIRA) administered subcutaneously, is the only FDA-approved modern treatment. NIU patients treated with HUMIRA have failure/relapse rates of approximately 50%, indicating a large unmet need for more efficacious treatment options.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for patients with CS follows a step-up paradigm that mirrors other inflammatory skin disease, including intralesional or high-potency topical steroids, systemic corticosteroids and TNF inhibitors, thalidomide and other off-label agents. There are currently no approved modern therapies for patients with CS.</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been evaluated in seven positive completed Phase 2 studies in immune-mediated diseases (alopecia areata, psoriatic arthritis, ulcerative colitis, plaque psoriasis, hidradenitis suppurativa, Crohn’s disease and non-infectious uveitis). In the six placebo-controlled studies, treatment with brepocitinib was associated with statistically significant and clinically meaningful efficacy. In the Phase 2 NEPTUNE proof-of-concept study, brepocitinib demonstrated the best time to treatment failure observed to date among active NIU studies measuring this registrational endpoint.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29"/>
                <w:szCs w:val="29"/>
                <w:b w:val="1"/>
                <w:bCs w:val="1"/>
                <w:color w:val="auto"/>
                <w:vertAlign w:val="superscript"/>
              </w:rPr>
              <w:t>1</w:t>
            </w: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Statistical</w:t>
            </w:r>
          </w:p>
        </w:tc>
        <w:tc>
          <w:tcPr>
            <w:tcW w:w="0" w:type="dxa"/>
            <w:vAlign w:val="bottom"/>
          </w:tcPr>
          <w:p>
            <w:pPr>
              <w:spacing w:after="0"/>
              <w:rPr>
                <w:sz w:val="1"/>
                <w:szCs w:val="1"/>
                <w:color w:val="auto"/>
              </w:rPr>
            </w:pPr>
          </w:p>
        </w:tc>
      </w:tr>
      <w:tr>
        <w:trPr>
          <w:trHeight w:val="24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Study Population</w:t>
            </w:r>
          </w:p>
        </w:tc>
        <w:tc>
          <w:tcPr>
            <w:tcW w:w="400" w:type="dxa"/>
            <w:vAlign w:val="bottom"/>
            <w:gridSpan w:val="2"/>
            <w:vMerge w:val="continue"/>
          </w:tcPr>
          <w:p>
            <w:pPr>
              <w:spacing w:after="0"/>
              <w:rPr>
                <w:sz w:val="21"/>
                <w:szCs w:val="21"/>
                <w:color w:val="auto"/>
              </w:rPr>
            </w:pPr>
          </w:p>
        </w:tc>
        <w:tc>
          <w:tcPr>
            <w:tcW w:w="2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Brepocitinib Dose</w:t>
            </w:r>
          </w:p>
        </w:tc>
        <w:tc>
          <w:tcPr>
            <w:tcW w:w="5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Primary Endpoint Result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Significance</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Alopecia Areata</w:t>
            </w:r>
          </w:p>
        </w:tc>
        <w:tc>
          <w:tcPr>
            <w:tcW w:w="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8"/>
              </w:rPr>
              <w:t>94</w:t>
            </w:r>
            <w:r>
              <w:rPr>
                <w:rFonts w:ascii="Times New Roman" w:cs="Times New Roman" w:eastAsia="Times New Roman" w:hAnsi="Times New Roman"/>
                <w:sz w:val="25"/>
                <w:szCs w:val="25"/>
                <w:color w:val="auto"/>
                <w:w w:val="98"/>
                <w:vertAlign w:val="superscript"/>
              </w:rPr>
              <w:t>2</w:t>
            </w:r>
          </w:p>
        </w:tc>
        <w:tc>
          <w:tcPr>
            <w:tcW w:w="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40"/>
              <w:spacing w:after="0" w:line="216" w:lineRule="exact"/>
              <w:rPr>
                <w:sz w:val="20"/>
                <w:szCs w:val="20"/>
                <w:color w:val="auto"/>
              </w:rPr>
            </w:pPr>
            <w:r>
              <w:rPr>
                <w:rFonts w:ascii="Times New Roman" w:cs="Times New Roman" w:eastAsia="Times New Roman" w:hAnsi="Times New Roman"/>
                <w:sz w:val="16"/>
                <w:szCs w:val="16"/>
                <w:color w:val="auto"/>
              </w:rPr>
              <w:t>30 mg once daily</w:t>
            </w:r>
            <w:r>
              <w:rPr>
                <w:rFonts w:ascii="Times New Roman" w:cs="Times New Roman" w:eastAsia="Times New Roman" w:hAnsi="Times New Roman"/>
                <w:sz w:val="25"/>
                <w:szCs w:val="25"/>
                <w:color w:val="auto"/>
                <w:vertAlign w:val="superscript"/>
              </w:rPr>
              <w:t>3</w:t>
            </w:r>
          </w:p>
        </w:tc>
        <w:tc>
          <w:tcPr>
            <w:tcW w:w="5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49.18 placebo-adjusted CFB in SALT Score at week 24</w:t>
            </w:r>
          </w:p>
        </w:tc>
        <w:tc>
          <w:tcPr>
            <w:tcW w:w="12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P &lt; 0.0001</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Psoriatic Arthritis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5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23.4% placebo-adjusted ACR20 RR at week 16</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 = 0.0197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Ulcerative Colitis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5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-2.28 placebo-adjusted CFB in Mayo Score at week 8</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 = 0.0005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Plaque Psoriasis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5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 placebo-adjusted CFB in PASI score at week 12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 &lt; 0.0001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Hidradenitis Suppurativa</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40"/>
              <w:spacing w:after="0" w:line="216" w:lineRule="exact"/>
              <w:rPr>
                <w:sz w:val="20"/>
                <w:szCs w:val="20"/>
                <w:color w:val="auto"/>
              </w:rPr>
            </w:pPr>
            <w:r>
              <w:rPr>
                <w:rFonts w:ascii="Times New Roman" w:cs="Times New Roman" w:eastAsia="Times New Roman" w:hAnsi="Times New Roman"/>
                <w:sz w:val="16"/>
                <w:szCs w:val="16"/>
                <w:color w:val="auto"/>
              </w:rPr>
              <w:t>45 mg once daily</w:t>
            </w:r>
            <w:r>
              <w:rPr>
                <w:rFonts w:ascii="Times New Roman" w:cs="Times New Roman" w:eastAsia="Times New Roman" w:hAnsi="Times New Roman"/>
                <w:sz w:val="25"/>
                <w:szCs w:val="25"/>
                <w:color w:val="auto"/>
                <w:vertAlign w:val="superscript"/>
              </w:rPr>
              <w:t>5</w:t>
            </w:r>
          </w:p>
        </w:tc>
        <w:tc>
          <w:tcPr>
            <w:tcW w:w="5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18.7% placebo-adjusted HiSCR Rate at week 16</w:t>
            </w:r>
          </w:p>
        </w:tc>
        <w:tc>
          <w:tcPr>
            <w:tcW w:w="12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P = 0.0298</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7"/>
              </w:rPr>
              <w:t>Crohn’s Disease</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40"/>
              <w:spacing w:after="0" w:line="216" w:lineRule="exact"/>
              <w:rPr>
                <w:sz w:val="20"/>
                <w:szCs w:val="20"/>
                <w:color w:val="auto"/>
              </w:rPr>
            </w:pPr>
            <w:r>
              <w:rPr>
                <w:rFonts w:ascii="Times New Roman" w:cs="Times New Roman" w:eastAsia="Times New Roman" w:hAnsi="Times New Roman"/>
                <w:sz w:val="16"/>
                <w:szCs w:val="16"/>
                <w:color w:val="auto"/>
              </w:rPr>
              <w:t>60 mg once daily</w:t>
            </w:r>
            <w:r>
              <w:rPr>
                <w:rFonts w:ascii="Times New Roman" w:cs="Times New Roman" w:eastAsia="Times New Roman" w:hAnsi="Times New Roman"/>
                <w:sz w:val="25"/>
                <w:szCs w:val="25"/>
                <w:color w:val="auto"/>
                <w:vertAlign w:val="superscript"/>
              </w:rPr>
              <w:t>6</w:t>
            </w:r>
          </w:p>
        </w:tc>
        <w:tc>
          <w:tcPr>
            <w:tcW w:w="5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21.4% placebo-adjusted SES-CD 50 Rate at week 12</w:t>
            </w:r>
          </w:p>
        </w:tc>
        <w:tc>
          <w:tcPr>
            <w:tcW w:w="12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P = 0.0012</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Non-infectious Uveitis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45 mg once daily</w:t>
            </w:r>
          </w:p>
        </w:tc>
        <w:tc>
          <w:tcPr>
            <w:tcW w:w="5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29.4% Treatment Failure Rate at week 24</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Overall study N represents patients randomized to all brepocitinib dose levels or placebo and excludes patients randomized to other agents.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patients from initial 24-week study period only.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60 mg once daily for 4 weeks followed by 30 mg once daily for 20 weeks.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One-sided p-value (pre-specified statistical analysis).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Brepocitinib 45 mg once daily was the only brepocitinib dose evaluated in this study.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Brepocitinib 60 mg once daily was the only brepocitinib dose evaluated in the induction period of this study.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non-infectious uveitis study was conducted by Priovant; all other brepocitinib studies shown here were conducted by Pfizer.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ACR20: American College of Rheumatology 20% Improvement; RR: Response Rate; CFB: Change From Baseline; PASI: Psoriasis Area and Severity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Index; SALT: Severity of Alopecia Tool; HiSCR: Hidradenitis Suppurativa Clinical Response; SES-CD: Simple Endoscopic Score for Crohn’s Disease.</w:t>
      </w:r>
    </w:p>
    <w:p>
      <w:pPr>
        <w:spacing w:after="0" w:line="207" w:lineRule="exact"/>
        <w:rPr>
          <w:sz w:val="20"/>
          <w:szCs w:val="20"/>
          <w:color w:val="auto"/>
        </w:rPr>
      </w:pPr>
    </w:p>
    <w:p>
      <w:pPr>
        <w:jc w:val="both"/>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Brepocitinib’s safety database includes over 1,500 exposed participants evaluated in completed and ongoing clinical studies. In these studies, brepocitinib was generally safe and well tolerated, and rates of JAK class treatment-emergent adverse events (“TEAEs”) of interest were comparable to those observed in the development programs of approved JAK inhibitors. Collectively, these data suggest a safety profile that is similar to those of approved JAK inhibitors.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2 NEPTUNE study of once-daily oral brepocitinib in NIU, the 45 mg results represented the best Treatment Failure rates observed to date among active NIU studies measuring this endpoint. On the pre-specified primary efficacy endpoint of Treatment Failure at week 24, a composite endpoint comprising multiple measures of ocular inflammation and visual acuity, as well as discontinuation due to intercurrent events or initiation of rescue therapy, 29% of subjects receiving brepocitinib 45 mg and 44% of subjects receiving brepocitinib 15 mg met Treatment Failure criteria (lower failure rates reflect greater treatment benefit). The Treatment Failure rate from disease activity (discontinuations censored) was 18% in the brepocitinib 45 mg arm. All secondary efficacy endpoints were also positive and dose responsive, including measurements of potential benefit on prevention and treatment of uveitic macular edema. 52-Week data from the same study confirmed sustained treatment effect and tolerability. Brepocitinib was generally safe and well tolerated in the study, with no new safety and tolerability signals identified.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not been evaluated in DM to date. However, several FDA-approved JAK inhibitors have been clinically validated in DM patients refractory to standard-of-care therapies, as reported in more than 600 off-label case reports and in several open-label clinical trials. In addition, since DM pathobiology is driven by dysregulations in cytokines whose signaling is mediated by both TYK2 and JAK1, we believe that, with its unique dual inhibition of both TYK2 and JAK1, brepocitinib, as compared to inhibitors selective to either TYK2 or JAK1, has the potential to demonstrate superior clinical efficacy in DM.</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324"/>
        <w:spacing w:after="0" w:line="258"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not been evaluated in CS to date. However, proof-of-concept data from approximately 20 JAK-treated patients with CS have shown clinically meaningful responses. In addition, since CS pathobiology is driven by dysregulations in cytokines whose signalling is mediated by both TYK2 and JAK1, we believe brepocitinib, as compared to inhibitors selective to either TYK2 or JAK1, has the potential to demonstrate superior clinical efficacy in CS. Brepocitinib has also been observed to outperform other JAK inhibitors (cross-trial) in inflammatory skin disease, such as alopecia areata, plaque psoriasis and hidradenitis suppurativa.</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right="20" w:hanging="324"/>
        <w:spacing w:after="0" w:line="261"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has completed enrollment for a large randomized, controlled Phase 3 study of brepocitinib in patients with refractory dermatomyositis. This study has enrolled 241 subjects in total and will evaluate 15 mg and 30 mg of brepocitinib once-daily compared to placebo. The primary endpoint of this study is the mean Total Improvement Score, a validated myositis improvement index, at Week 52. Topline data are expected in the second half of calendar year 2025.</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has initiated a Phase 3 program in non-infectious uveitis; topline data are expected in the first half of calendar year 2027.</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has initiated a Phase 2 study in cutaneous sarcoidosis; topline data are expected in the second half of calendar year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below schematics show the trial designs for the ongoing brepocitinib trials: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DM Phase 3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156845</wp:posOffset>
            </wp:positionV>
            <wp:extent cx="4303395" cy="1714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0339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Phase 3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156845</wp:posOffset>
            </wp:positionV>
            <wp:extent cx="4423410" cy="1697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2341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 Phase 2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156845</wp:posOffset>
            </wp:positionV>
            <wp:extent cx="3591560" cy="1826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9156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we owned 75% of the issued and outstanding shares of Priovant (or 67% on a fully diluted basis).</w:t>
      </w:r>
    </w:p>
    <w:p>
      <w:pPr>
        <w:spacing w:after="0" w:line="221" w:lineRule="exact"/>
        <w:rPr>
          <w:rFonts w:ascii="Times New Roman" w:cs="Times New Roman" w:eastAsia="Times New Roman" w:hAnsi="Times New Roman"/>
          <w:sz w:val="18"/>
          <w:szCs w:val="18"/>
          <w:color w:val="auto"/>
        </w:rPr>
      </w:pPr>
    </w:p>
    <w:p>
      <w:pPr>
        <w:ind w:left="4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Immunovant Overview</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 is developing IMVT-1402, a potentially best-in-class inhibitor of the neonatal fragment crystallizable receptor (“FcRn”), for the treatment of IgG-mediated autoimmune diseases, including Graves’ disease (“GD”), difficult-to-treat rheumatoid arthritis (“D2T RA”), Sjögren’s disease (“SjD”), myasthenia gravis (“MG”), chronic inflammatory demyelinating polyneuropathy (“CIDP”) and cutaneous lupus erythematosus (“CLE”).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IMVT-1402 is a fully human monoclonal antibody that inhibits FcRn and has shown deep, dose-dependent IgG reductions in a Phase 1 clinical trial in healthy adults. We expect to be able to reach approximately 80% IgG reductions with continued weekly dosing of 600 mg of IMVT-1402, offering deeper IgG reductions than observed with other competitor anti-FcRn programs. There has been consistent evidence observed across the class in over eight indications in Phase 2 and 3 trials with FcRn inhibitors that deeper IgG reductions correlate with meaningful improvements in clinical outcomes, further validated by data generated with our first-generation anti-FcRn, batoclimab, in our own Phase 2 and 3 studies. IMVT-1402 offers a potentially best-in-class profile, with potentially best-in-class efficacy given its potential to achieve best-in-class IgG reductions, a favorable route of administration with a simple subcutaneous auto-injector, and potentially favorable safety profile.</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IMVT-1402 is being developed in several indications representing potential first-in-class and best-in-class opportunities, including GD, D2T RA and CLE, and we plan to leverage the potentially best-in-class profile of IMVT-1402 in indications where the anti-FcRn mechanism already has established a commercial presence, such as MG and CIDP. We plan to be laser-focused on clinical execution to maintain our head start in the indications listed above and to be nearly-first and best-in-class for indications such as SjD where we are close from a timing perspective to in-class competition and expect a differentiated clinical profile.</w:t>
      </w:r>
    </w:p>
    <w:p>
      <w:pPr>
        <w:spacing w:after="0" w:line="179" w:lineRule="exact"/>
        <w:rPr>
          <w:rFonts w:ascii="Times New Roman" w:cs="Times New Roman" w:eastAsia="Times New Roman" w:hAnsi="Times New Roman"/>
          <w:sz w:val="18"/>
          <w:szCs w:val="18"/>
          <w:color w:val="auto"/>
        </w:rPr>
      </w:pPr>
    </w:p>
    <w:p>
      <w:pPr>
        <w:ind w:left="340" w:right="9480" w:hanging="332"/>
        <w:spacing w:after="0" w:line="532" w:lineRule="auto"/>
        <w:tabs>
          <w:tab w:leader="none" w:pos="3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Disease overview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u w:val="single" w:color="auto"/>
          <w:color w:val="auto"/>
        </w:rPr>
        <w:t>Endocrine Diseases</w:t>
      </w:r>
    </w:p>
    <w:p>
      <w:pPr>
        <w:spacing w:after="0" w:line="1" w:lineRule="exact"/>
        <w:rPr>
          <w:rFonts w:ascii="Times New Roman" w:cs="Times New Roman" w:eastAsia="Times New Roman" w:hAnsi="Times New Roman"/>
          <w:sz w:val="17"/>
          <w:szCs w:val="17"/>
          <w:color w:val="auto"/>
        </w:rPr>
      </w:pPr>
    </w:p>
    <w:p>
      <w:pPr>
        <w:jc w:val="both"/>
        <w:ind w:left="980" w:hanging="324"/>
        <w:spacing w:after="0" w:line="255"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Graves’ disease is an autoimmune disease that affects the thyroid gland. Patients with Graves’ disease develop IgG autoantibodies that bind to the thyroid-stimulating hormone receptor (“TSHR-Ab”) present on the thyroid gland, which induces increased and uncontrolled secretion of thyroid hormones, resulting in hyperthyroidism. The presence of TSHR-Ab is also involved in the pathogenesis of Graves’ ophthalmopathy (“GO”), also known as TED, which is more likely to occur in patients with Graves’ disease who have a more severe degree of hyperthyroidism, larger goiter, history of smoking, or have been treated with radioiodine (“RAI”). A conservative analysis of Inovalon claims data estimates that the prevalence of Graves’ patients is approximately 880,000 in the U.S., and further analysis suggests that there are approximately 330,000 patients who have relapsed on ATDs and who have opted not to pursue ablation.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Neurological Diseases</w:t>
      </w:r>
    </w:p>
    <w:p>
      <w:pPr>
        <w:spacing w:after="0" w:line="227" w:lineRule="exact"/>
        <w:rPr>
          <w:sz w:val="20"/>
          <w:szCs w:val="20"/>
          <w:color w:val="auto"/>
        </w:rPr>
      </w:pPr>
    </w:p>
    <w:p>
      <w:pPr>
        <w:jc w:val="both"/>
        <w:ind w:left="980" w:hanging="324"/>
        <w:spacing w:after="0" w:line="258"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is a rare, chronic autoimmune disorder characterized by weakness and fatigue of voluntary muscles. MG patients develop autoantibodies that lead to an immunological attack on critical signaling receptor proteins at the junction between nerve and muscle cells, thereby inhibiting the ability of nerves to communicate properly with muscles. The prevalence of MG is estimated to be approximately 59,000 to 116,000 cases in the U.S. with 35% of patients not well-controlled on the current standard of care, representing approximately 20,000 to 35,000 patients with significant unmet medical need in the U.S.</w:t>
      </w:r>
    </w:p>
    <w:p>
      <w:pPr>
        <w:sectPr>
          <w:pgSz w:w="11900" w:h="16838" w:orient="portrait"/>
          <w:cols w:equalWidth="0" w:num="1">
            <w:col w:w="11240"/>
          </w:cols>
          <w:pgMar w:left="320" w:top="116" w:right="339" w:bottom="1159"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159"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CIDP is believed to be an immune-mediated neuropathy characterized by demyelination of peripheral nerves and nerve roots that is driven by pathologic, autoreactive IgG antibodies. The estimated prevalence of CIDP is approximately 58,000 patients in the U.S., with approximately 30% inadequately controlled on treatment, representing approximately 16,000 patients with significant unmet medical need in the U.S.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Rheumatology Diseases</w:t>
      </w:r>
    </w:p>
    <w:p>
      <w:pPr>
        <w:spacing w:after="0" w:line="227" w:lineRule="exact"/>
        <w:rPr>
          <w:sz w:val="20"/>
          <w:szCs w:val="20"/>
          <w:color w:val="auto"/>
        </w:rPr>
      </w:pPr>
    </w:p>
    <w:p>
      <w:pPr>
        <w:jc w:val="both"/>
        <w:ind w:left="980" w:hanging="324"/>
        <w:spacing w:after="0" w:line="25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 is a chronic progressive autoimmune disease that causes inflammation in the joints and surrounding tissues. D2T RA is a subgroup of RA patients that have failed at least 3 classes of therapy. Inadequate control of the joint inflammation associated with RA may result in irreversible joint erosions. Several autoantibodies have been identified in RA, including rheumatoid factor (“RF”) and anti-citrullinated protein antibodies (“ACPA”). The estimated prevalence of severe RA in the U.S. is approximately 490,000, approximately 15% of whom are autoantibody positive with inadequate response to prior biologic or targeted synthetic disease modifying anti-rheumatic drugs (“DMARDs”), representing approximately 70,000 patients with significant unmet medical need in the U.S.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SjD is a chronic autoimmune disease characterized by lymphocytic infiltration of the salivary and lacrimal glands. Autoantibodies including anti-Ro/SSA and anti-La/SSB have been detected in approximately 50-70% of patients with primary SjD and play crucial roles in both the diagnosis and prognosis of the disease. The estimated prevalence of primary SjD is approximately 290,000 in the United States. It is estimated that up to 30% of primary SjD patients have moderate-to-severe disease with anti-Ro/SSA antibodies, representing approximately 90,000 SjD patients with significant unmet medical need in the U.S.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Dermatological Diseases</w:t>
      </w:r>
    </w:p>
    <w:p>
      <w:pPr>
        <w:spacing w:after="0" w:line="227" w:lineRule="exact"/>
        <w:rPr>
          <w:sz w:val="20"/>
          <w:szCs w:val="20"/>
          <w:color w:val="auto"/>
        </w:rPr>
      </w:pPr>
    </w:p>
    <w:p>
      <w:pPr>
        <w:jc w:val="both"/>
        <w:ind w:left="980" w:hanging="324"/>
        <w:spacing w:after="0" w:line="258"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 is a rare, chronic skin disease characterized by skin-specific disease activity, inflammation and eventually damage. IgG autoantibodies and immune complexes are observed to play a critical role in CLE disease pathophysiology. Subacute Cutaneous LE (“SCLE”) and Chronic Cutaneous LE (“CCLE”) are subtypes of CLE with distinct skin presentation and clinical course and high unmet medical need. The estimated prevalence of SCLE and CCLE is approximately 153,000 in the U.S. Approximately 50% of these SCLE and CCLE patients do not adequately respond to first-line therapies representing approximately 75,000 patients with significant unmet medical need in the U.S.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many IgG-mediated autoimmune diseases, early-stage disease control involves corticosteroids and immunosuppressants, later progressing to intravenous immunoglobulin (“IVIg”) or plasma exchange (“PLEX”). Immunomodulatory therapies are frequently associated with significant potential risks, including the possibility of malignancy and infection. These approaches are generally limited by delayed onset of action, waning therapeutic benefit over time, and unfavorable safety profiles.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Endocrine Diseases</w:t>
      </w:r>
    </w:p>
    <w:p>
      <w:pPr>
        <w:spacing w:after="0" w:line="227" w:lineRule="exact"/>
        <w:rPr>
          <w:sz w:val="20"/>
          <w:szCs w:val="20"/>
          <w:color w:val="auto"/>
        </w:rPr>
      </w:pPr>
    </w:p>
    <w:p>
      <w:pPr>
        <w:jc w:val="both"/>
        <w:ind w:left="98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 There are three options available for GD: surgery, RAI and oral antithyroid drugs (“ATDs”). Rates of surgery and RAI have declined significantly in the U.S. in recent years due to associated severe potential complications. While ATDs are considered generally safe, their chronic use can be associated with hepatotoxicity, pancreatitis and bone marrow toxicity, and up to 25-30% of GD patients remain uncontrolled on ATDs.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Neurological Diseases</w:t>
      </w:r>
    </w:p>
    <w:p>
      <w:pPr>
        <w:spacing w:after="0" w:line="227" w:lineRule="exact"/>
        <w:rPr>
          <w:sz w:val="20"/>
          <w:szCs w:val="20"/>
          <w:color w:val="auto"/>
        </w:rPr>
      </w:pPr>
    </w:p>
    <w:p>
      <w:pPr>
        <w:jc w:val="both"/>
        <w:ind w:left="980" w:hanging="324"/>
        <w:spacing w:after="0" w:line="258"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Early-stage MG is symptomatically treated with acetylcholinesterase inhibitors. As the disease progresses, patients are typically treated with immunosuppressive agents such as glucocorticoids, azathioprine, mycophenolate mofetil and cyclosporine. Recently approved novel mechanism of action therapies for MG include FcRn inhibitors, which generally reduced IgG by 60-70% in their Phase 3 trials at approved doses, and complement inhibitors. We believe there is unmet need for a higher efficacy benefit and a more durable clinical responses for patients with MG.</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CIDP: IVIg, corticosteroids and PLEX are first-line therapies in the treatment of CIDP. An anti-FcRn inhibitor has also been approved for the treatment of CIDP; however, we believe there is still meaningful room to improve on efficacy.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Rheumatology Diseases</w:t>
      </w:r>
    </w:p>
    <w:p>
      <w:pPr>
        <w:spacing w:after="0" w:line="227" w:lineRule="exact"/>
        <w:rPr>
          <w:sz w:val="20"/>
          <w:szCs w:val="20"/>
          <w:color w:val="auto"/>
        </w:rPr>
      </w:pPr>
    </w:p>
    <w:p>
      <w:pPr>
        <w:jc w:val="both"/>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D2T RA: Currently available treatments used to help control joint inflammation, damage and other manifestations of RA include a variety of conventional oral, targeted synthetic and biologic DMARDs. D2T RA patients continue to experience active disease despite undergoing multiple lines of therapy with different mechanisms of action. For these patients, therapeutic options remain very limited, highlighting a persistent and critical unmet medical need.</w:t>
      </w:r>
    </w:p>
    <w:p>
      <w:pPr>
        <w:sectPr>
          <w:pgSz w:w="11900" w:h="16838" w:orient="portrait"/>
          <w:cols w:equalWidth="0" w:num="1">
            <w:col w:w="11240"/>
          </w:cols>
          <w:pgMar w:left="320" w:top="116"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right="2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SjD: No therapies have been approved specifically for the treatment of SjD. Therapeutic approaches for SjD include local agents for oral and ocular dryness as well as systemic treatments to address organ manifestations. There is a significant need for the development of novel treatments that target the underlying pathophysiological mechanism of this disease.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Dermatological Diseases</w:t>
      </w:r>
    </w:p>
    <w:p>
      <w:pPr>
        <w:spacing w:after="0" w:line="227" w:lineRule="exact"/>
        <w:rPr>
          <w:sz w:val="20"/>
          <w:szCs w:val="20"/>
          <w:color w:val="auto"/>
        </w:rPr>
      </w:pPr>
    </w:p>
    <w:p>
      <w:pPr>
        <w:jc w:val="both"/>
        <w:ind w:left="98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 First-line therapies for CLE include photoprotection, topical steroids and broad-spectrum therapies (i.e. DMARDs, antimalarials and corticosteroids) followed by IVIG or off-label biologics. It is estimated that approximately 50% of patients are not optimally managed with or without topical steroids due to insufficient response, relapse, or risk of retinopathy following first-line antimalarials.</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and November 2023, we announced results from a Phase 1 clinical trial in healthy adults dosed with IMVT-1402. In the study’s</w:t>
      </w:r>
    </w:p>
    <w:p>
      <w:pPr>
        <w:spacing w:after="0" w:line="27" w:lineRule="exact"/>
        <w:rPr>
          <w:rFonts w:ascii="Times New Roman" w:cs="Times New Roman" w:eastAsia="Times New Roman" w:hAnsi="Times New Roman"/>
          <w:sz w:val="18"/>
          <w:szCs w:val="18"/>
          <w:color w:val="auto"/>
        </w:rPr>
      </w:pPr>
    </w:p>
    <w:p>
      <w:pPr>
        <w:jc w:val="both"/>
        <w:ind w:left="980"/>
        <w:spacing w:after="0" w:line="252" w:lineRule="auto"/>
        <w:tabs>
          <w:tab w:leader="none" w:pos="131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multiple-ascending dose (“MAD”) cohort, a statistically significant reduction of 63% from baseline in mean total IgG levels was observed after four weekly 300 mg subcutaneous doses of IMVT-1402. In the 600 mg MAD cohort, we observed a statistically significant reduction of 74% from baseline in mean total IgG levels after four weekly 600 mg subcutaneous doses of IMVT-1402. No or minimal reductions in albumin and no or minimal increases in LDL cholesterol levels were observed in healthy adults administered IMVT-1402 in either dose cohort; the changes in albumin and LDL cholesterol were similar to those observed with placebo administration. Across all doses evaluated, treatment with IMVT-1402 was generally well tolerated, with only mild or moderate treatment-emergent adverse events observed.</w:t>
      </w:r>
    </w:p>
    <w:p>
      <w:pPr>
        <w:spacing w:after="0" w:line="18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reported additional positive results from the Phase 2a trial of batoclimab in Graves’ disease. Participants in the trial received 12 weeks of high dose batoclimab, 680 mg weekly by SC injection followed by 12 weeks of lower dose batoclimab, 340 mg weekly SC. At the end of the first 12 weeks, participants experienced a mean IgG reduction of 77% leading to a 76% Response Rate. In addition, by the end of 12 weeks of higher dose batoclimab, 56% achieved an ATD-Free Response. During Weeks 13 to 24, the lower 340 mg dose of batoclimab resulted in mean IgG reduction of 65% (vs. 77% on 680mg dose) with a correspondingly lower responder rate of 68%. In addition, a lower ATD-Free Response Rate of 36% was also observed in the second 12 weeks. Patients who achieved at least a 70% IgG reduction at the end of the trial had nearly a threefold higher ATD-Free Response Rate than those who did not (60% vs. 23%). Batoclimab was well tolerated with no new safety signals identified.</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announced top-line results of our Phase 3 study of batoclimab in MG, which met its primary endpoint of change in the Myasthenia Gravis Activities of Daily Living (“MG-ADL”) score from baseline in acetylcholine receptor antibody positive (“AChR+”) patients. The 680 mg weekly by SC injection dose set a new benchmark for magnitude of benefit with a 5.6 point mean improvement in MG-ADL and a 93% Response Rate (defined as a ≥ 2-point reduction in MG-ADL from baseline). Batoclimab demonstrated strong durability of Minimal Symptom Expression (MG-ADL = 0 or 1) (“MSE”) with 75% of patients who achieved MSE on 680 mg dose by week 6 maintaining MSE status for ≥ 6 weeks. On the same day, we also announced the initial results from period 1 of the Phase 2b study of batoclimab in CIDP following standard of care washout, which demonstrated a mean improvement in the adjusted inflammatory neuropathy cause and treatment (“aINCAT”) disability score of 1.8 across batoclimab arms and an 84% responder rate in those patients who achieved an IgG lowering greater than 70%. In both batoclimab studies, deeper IgG reductions correlated with better clinical outcomes across a range of assessments and timepoints. Batoclimab was well tolerated with no new safety signals identified.</w:t>
      </w:r>
    </w:p>
    <w:p>
      <w:pPr>
        <w:spacing w:after="0" w:line="194"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presented observations from a proof-of-principle case study evaluating IMVT-1402 in an SCLE patient over a period of 12 weeks. The participant in the case study had a baseline Cutaneous Lupus Erythematosus Disease area and Severity Index activity (“CLASI-A”) score at screening of 36, which falls into the severe range of the clinical scale. The participant received open-label weekly treatment with</w:t>
      </w:r>
    </w:p>
    <w:p>
      <w:pPr>
        <w:spacing w:after="0" w:line="1" w:lineRule="exact"/>
        <w:rPr>
          <w:rFonts w:ascii="Times New Roman" w:cs="Times New Roman" w:eastAsia="Times New Roman" w:hAnsi="Times New Roman"/>
          <w:sz w:val="18"/>
          <w:szCs w:val="18"/>
          <w:color w:val="auto"/>
        </w:rPr>
      </w:pPr>
    </w:p>
    <w:p>
      <w:pPr>
        <w:jc w:val="both"/>
        <w:ind w:left="980"/>
        <w:spacing w:after="0" w:line="250" w:lineRule="auto"/>
        <w:tabs>
          <w:tab w:leader="none" w:pos="1295"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of IMVT-1402 for 12 weeks and saw significant clinical improvement in both skin lesions and alopecia. By week 12, the participant had a greater than 60% reduction in CLASI-A score to 13. A 5-point reduction in CLASI-A is considered clinically meaningful and this participant improved by 23 points by week 12. The participant also achieved approximately 78% total IgG reduction from baseline by week</w:t>
      </w:r>
    </w:p>
    <w:p>
      <w:pPr>
        <w:spacing w:after="0" w:line="1" w:lineRule="exact"/>
        <w:rPr>
          <w:rFonts w:ascii="Times New Roman" w:cs="Times New Roman" w:eastAsia="Times New Roman" w:hAnsi="Times New Roman"/>
          <w:sz w:val="18"/>
          <w:szCs w:val="18"/>
          <w:color w:val="auto"/>
        </w:rPr>
      </w:pPr>
    </w:p>
    <w:p>
      <w:pPr>
        <w:ind w:left="980"/>
        <w:spacing w:after="0" w:line="260" w:lineRule="auto"/>
        <w:tabs>
          <w:tab w:leader="none" w:pos="125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patient dosed in this study also showed significant clinical improvement, with a CLASI-A score of 18 at screening reduced to 8 by week 12 of QW dosing, a &gt;50% improvement.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progressing a broad set of programs for IMVT-1402. Over the last fiscal year, we announced the clearance of six investigational new drug (“IND”) applications to support clinical trials to evaluate IMVT-1402. We have now initiated studies in five indications: potentially registrational trials in GD, difficult-to-treat rheumatoid arthritis (“D2T RA”), MG and CIDP, and a proof-of-concept trial in cutaneous lupus erythematosus (“CLE”). We also plan to initiate a potentially registrational trial evaluating IMVT-1402 in Sjögren’s disease (“SjD”) and a second potentially registrational trial in GD in the summer of 2025. All studies evaluating IMVT-1402 are being conducted using the intended commercial drug formulation and delivery device, the YpsoMate® autoinjector developed by Ypsomed AG, which is utilized by multiple approved products.</w:t>
      </w:r>
    </w:p>
    <w:p>
      <w:pPr>
        <w:spacing w:after="0" w:line="188"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report additional remission data from the Phase 2 trial of batoclimab in GD in summer 2025 and top-line data from the Phase 3 program of batoclimab in TED in the second half of calendar year 2025. As previously disclosed, we will make a final decision about future development and regulatory submissions for batoclimab in the future based on the aggregate information available at the time.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below schematics show the trial designs for the select IMVT-1402 and batoclimab trials: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IMVT-1402 GD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46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5181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IMVT-1402 GD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62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5181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IMVT-1402 D2T RA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71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5181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IMVT-1402 MG Potentially Registrational Trial Design</w:t>
      </w:r>
    </w:p>
    <w:p>
      <w:pPr>
        <w:sectPr>
          <w:pgSz w:w="11900" w:h="16838" w:orient="portrait"/>
          <w:cols w:equalWidth="0" w:num="1">
            <w:col w:w="11240"/>
          </w:cols>
          <w:pgMar w:left="320" w:top="115" w:right="339" w:bottom="964"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2231390</wp:posOffset>
            </wp:positionH>
            <wp:positionV relativeFrom="page">
              <wp:posOffset>88900</wp:posOffset>
            </wp:positionV>
            <wp:extent cx="3051810" cy="1945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0518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First IMVT-1402 SjD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164465</wp:posOffset>
            </wp:positionV>
            <wp:extent cx="3051810" cy="1946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51810" cy="1946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IMVT-1402 CIDP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45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518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IMVT-1402 CLE Proof-of-Concept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45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518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Batoclimab TED Phase 3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45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518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2025, we owned 57% of the issued and outstanding shares of Immunovant (or 52% on a fully diluted basis).</w:t>
      </w:r>
    </w:p>
    <w:p>
      <w:pPr>
        <w:spacing w:after="0" w:line="200" w:lineRule="exact"/>
        <w:rPr>
          <w:sz w:val="20"/>
          <w:szCs w:val="20"/>
          <w:color w:val="auto"/>
        </w:rPr>
      </w:pPr>
    </w:p>
    <w:p>
      <w:pPr>
        <w:spacing w:after="0" w:line="2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Pulmovant Overview</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Pulmovant is developing mosliciguat for the treatment of pulmonary hypertension associated with interstitial lung disease (“PH-ILD”) and potentially other cardiopulmonary diseases.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Mosliciguat is a potentially first-in-class and potentially best-in-category once daily, inhaled sGC activator. Mosliciguat is currently being developed in PH-ILD, which is a large, well-validated market with only two approved treatments (both inhaled treprostnil), which are limited to the U.S. and a small number of other countries. In a dose escalation, proof-of-concept Phase 1b trial that assessed the efficacy, safety, tolerability, and pharmacokinetics of mosliciguat following single dose inhaled administration in pulmonary hypertension (“PH”) patients, clinically meaningful mean-max reductions in pulmonary vascular resistance (“PVR”) of up to approximately 38% were observed and were sustained over the study period. These reductions represent some of the highest reductions seen in PH trials to date.</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Pulmonary hypertension is a heterogeneous and highly morbid disease that can occur clinically as an isolated disorder or as a complication associated with other diseases and conditions. PH leads to increased blood pressure in the arteries of the lung and right side of the heart. WHO Group 3 PH is comprised of patients with various types of concomitant, chronic lung diseases and represent approximately 40% of all PH patients, including PH-ILD and PH-COPD. Features of PH-ILD include progressive fibrosis and hypoxemia, lung function decline resulting in respiratory failure, pulmonary hypertension, right ventricular failure with progressive symptom worsening and early mortality.</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PH-ILD is estimated to affect up to 200,000 patients in the U.S. and E.U.</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PH-ILD has been historically underdiagnosed given the diverse nature of the underlying diseases and the lack of approved treatment strategies based on a definitive diagnosis. The use of right heart catheterization (“RHC”) and other diagnostic modalities to confirm definitive diagnosis is expected to grow with the availability of approved PH-ILD treatments, thus expanding the market for mosliciguat. Among the ILD patients under the care of 25 physicians surveyed in 2021, 29% had a diagnosis of PH-ILD that was confirmed by RHC, while another 30% had suspected PH-ILD but had not received a confirmed diagnosis via RHC. These physicians also indicated they would increase the percent of PH-ILD patients on whom they perform RHC by a factor of approximately 1.5x with the availability of other PH therapies.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PH-ILD patients is based on an individualized and holistic approach. Patients with mildly elevated PVR or mean pulmonary arterial pressure (“mPAP”) can mainly be treated for their underlying lung disease which includes antifibrotic medications and immunosuppressants. Patients whose PVR and mPAP are significantly elevated in the context of their fibrotic lung disease should be treated with PH-specific treatments. However, Tyvaso and Yutrepia (inhaled treprostinils) are the only approved treatments for PH-ILD patients in the U.S., with Tyvaso also available in a small number of other countries. Most patients outside of these geographies, including in the E.U., have no approved options. They can potentially be considered on a case-by-case basis for off-label treatment with pulmonary arterial hypertension (“PAH”)-specific drugs not approved for PH-ILD.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with Tyvaso’s and Yutrepia’s availability, there is still substantial unmet need for new drugs for PH-ILD with improved efficacy, tolerability and delivery. Patients on Tyvaso have been observed to have side effects impeding them from realizing optimal benefit at the maximum dose level. On-target adverse events such as cough, headache, throat pain, nausea and flushing may cause tolerability issues for patients on Tyvaso and have also been observed less frequently in patients on Yutrepia. The same tolerability concerns have largely relegated prostacyclin usage in PAH to high-risk and advanced disease patients. We believe there is a significant opportunity for an agent like mosliciguat, given its inhaled, once a day administration and potentially improved efficacy and tolerability compared to Tyvaso and Yutrepia, to be used as initial therapy in place of inhaled treprostinil or as an add-on treatment to inhaled treprostinil.</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data from the non-randomized, open-label ATMOS study with a single inhaled dose of mosliciguat showed dose-dependent mean-max reductions in PVR of up to 38% in Group 1 (PAH) and Group 4 (CTEPH) PH patients, and demonstrated a favorable safety profile with no clinically relevant systemic side effects, such as heart rate and blood pressure changes. Trials of other agents in PAH have shown that reductions in PVR are potential predictors of success on clinical outcomes such as 6-minute walk distance.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and are actively enrolling a global Phase 2 trial to evaluate the safety and efficacy of mosliciguat in PH-ILD, with data expected in the second half of calendar year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schematic shows the trial design for the Phase 2 trial in PH-ILD: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154305</wp:posOffset>
            </wp:positionV>
            <wp:extent cx="4654550" cy="1671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5455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we owned 100% of the issued and outstanding common shares of Pulmovant (or 92% on a fully diluted basis).</w:t>
      </w:r>
    </w:p>
    <w:p>
      <w:pPr>
        <w:spacing w:after="0" w:line="221" w:lineRule="exact"/>
        <w:rPr>
          <w:rFonts w:ascii="Times New Roman" w:cs="Times New Roman" w:eastAsia="Times New Roman" w:hAnsi="Times New Roman"/>
          <w:sz w:val="18"/>
          <w:szCs w:val="18"/>
          <w:color w:val="auto"/>
        </w:rPr>
      </w:pPr>
    </w:p>
    <w:p>
      <w:pPr>
        <w:ind w:left="4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Genevant Overview</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a technology-focused nucleic acid delivery and development company with two delivery platforms—a lipid nanoparticle (“LNP”) platform and a ligand conjugate platform—an expansive intellectual property portfolio and deep scientific expertise, currently focused on partnering with other pharmaceutical or biotechnology companies to enable the development of nucleic acid therapeutics for unmet medical needs.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platforms and patent portfolio</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has two delivery platforms: LNP and ligand conjugate.</w:t>
      </w:r>
    </w:p>
    <w:p>
      <w:pPr>
        <w:spacing w:after="0" w:line="22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LNP platform</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left="1620" w:hanging="316"/>
        <w:spacing w:after="0" w:line="261" w:lineRule="auto"/>
        <w:tabs>
          <w:tab w:leader="none" w:pos="1620"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used in the first systemic RNA-LNP product to receive FDA-approval, Alnylam’s Onpattro (patisiran) for the treatment of polyneuropathy caused by hereditary ATTR amyloidosis.</w:t>
      </w:r>
    </w:p>
    <w:p>
      <w:pPr>
        <w:ind w:left="1620" w:right="20" w:hanging="316"/>
        <w:spacing w:after="0" w:line="250" w:lineRule="auto"/>
        <w:tabs>
          <w:tab w:leader="none" w:pos="1620"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Outperformed all third-party formulations tested in a head-to-head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ionizable lipid study assessing LNP potency and immune stimulation.</w:t>
      </w:r>
    </w:p>
    <w:p>
      <w:pPr>
        <w:ind w:left="1620" w:hanging="316"/>
        <w:spacing w:after="0" w:line="250" w:lineRule="auto"/>
        <w:tabs>
          <w:tab w:leader="none" w:pos="1620"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Clinically validated for hepatocyte and vaccine applications and in various stages of development for other traditionally hard-to-reach tissues and cell types, including T-cells, immune cells, stellate cells, lung, eye, and central nervous system.</w:t>
      </w:r>
    </w:p>
    <w:p>
      <w:pPr>
        <w:ind w:left="1620" w:hanging="316"/>
        <w:spacing w:after="0"/>
        <w:tabs>
          <w:tab w:leader="none" w:pos="1620"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550 issued patents and pending patent applications worldwide as of March 31, 2025, including patents directed to:</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4"/>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lipid structures, including cationic and PEG-lipids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4"/>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particle compositions, including ranges of lipid ratios for nucleic acid-containing particles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4"/>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nucleic acid-containing particles with certain structural characteristics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4"/>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mRNA-containing LNP formulations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4"/>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manufacturing process aspects</w:t>
      </w:r>
    </w:p>
    <w:p>
      <w:pPr>
        <w:spacing w:after="0" w:line="20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Ligand conjugate platform</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left="1620" w:right="20" w:hanging="316"/>
        <w:spacing w:after="0" w:line="261" w:lineRule="auto"/>
        <w:tabs>
          <w:tab w:leader="none" w:pos="1620"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GalNAc ligands with clinical validation from imdusiran, an siRNA currently in Phase 2 clinical development by Arbutus Biopharma for the treatment of chronic hepatitis B (cHBV).</w:t>
      </w:r>
    </w:p>
    <w:p>
      <w:pPr>
        <w:ind w:left="1620" w:hanging="316"/>
        <w:spacing w:after="0" w:line="250" w:lineRule="auto"/>
        <w:tabs>
          <w:tab w:leader="none" w:pos="1620"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preclinical head-to-head testing, Genevant’s GalNAc ligands demonstrated equal or better preclinical potency, assessed by duration and magnitude of knockdown, compared to a current industry benchmark.</w:t>
      </w:r>
    </w:p>
    <w:p>
      <w:pPr>
        <w:ind w:left="1620" w:hanging="316"/>
        <w:spacing w:after="0"/>
        <w:tabs>
          <w:tab w:leader="none" w:pos="1620"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delivery expertise to design novel extrahepatic ligands to expand therapeutic reach.</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Collaboration-based business model</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seeks to partner with other pharmaceutical or biotechnology companies in the development of RNA therapeutics, crafting mutually beneficial collaborations that allow collaboration partners to access its innovative technologies while providing Genevant the opportunity to leverage its expertise to expand the technology and its therapeutic application.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uses its expertise in the delivery of nucleic acid therapeutics to develop optimal delivery systems for its collaborators’ identified payloads.</w:t>
      </w:r>
    </w:p>
    <w:p>
      <w:pPr>
        <w:sectPr>
          <w:pgSz w:w="11900" w:h="16838" w:orient="portrait"/>
          <w:cols w:equalWidth="0" w:num="1">
            <w:col w:w="11240"/>
          </w:cols>
          <w:pgMar w:left="320" w:top="115" w:right="339" w:bottom="484"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484"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Genevant’s collaboration-based business model is to seek upfront payments, R&amp;D reimbursements, milestones and royalties or profit sharing upon success, while also retaining certain rights in the delivery-related intellectual property developed in the context of the collaboration for potential use or out-licensing.</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current collaboration partners include Novo Nordisk, BioNTech, Takeda, Korro Bio, Repair Biotechnologies, Editas Medicine, Epitopea and Mammoth Biotechnologies.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Clinical and preclinical data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LNP technology has been in clinical trials of over a dozen distinct product candidates, representing hundreds of subjects of clinical experience.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head-to-head study in mice comparing multiple LNP formulations which varied only the key ionizable lipid, Genevant’s formulation outperformed all third-party formulations tested. Genevant’s formulation showed superior potency and tolerability (based on an assessment of immune stimulation) relative to others.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LNP technology is included in the first systemic RNA-LNP product to receive FDA-approval, Alnylam’s Onpattro (patisiran) for the treatment of polyneuropathy caused by hereditary ATTR amyloidosis.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IP litigation:</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Genevant and Arbutus jointly filed a complaint against Moderna in the U.S. District Court for the District of Delaware asserting infringement of six patents. In April 2024, the court in the Moderna case issued its claim construction (Markman) ruling, in which it agreed with Genevant and Arbutus’ proposed constructions for three of the four disputed terms. In March 2025, Genevant and Arbutus initiated patent infringement enforcement actions against Moderna in Canada, Japan, Switzerland and the Unified Patent Court. Together, the enforcement actions target alleged infringing activities in 30 countries. The court in the U.S. Moderna case has informed the parties that it plans to update the timing for the summary judgment phase and jury trial, previously scheduled for the second or third quarter of calendar year 2025 and September 2025, respectively.</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Genevant and Arbutus Biopharma jointly filed a complaint against Pfizer and BioNTech in the U.S. District Court for the District of New Jersey asserting infringement of five patents. In December 2024, the Court in the Pfizer case held a Markman hearing to construe disputed terms within the claims of the asserted patents. The Court has not provided guidance for the timing of its ruling, which could potentially be in calendar year 2025.</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we owned 83% of the issued and outstanding common shares of Genevant (or 64% on a fully diluted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Vant License Agreements &amp; Other Vant Agreements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Priovant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and Collaboration Agreement with Pfizer, Inc.</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2021, our subsidiary Priovant Therapeutics, Inc. (“Priovant”) entered into a license and collaboration agreement with Pfizer (the “Pfizer-Priovant License Agreement”). Pursuant to the Pfizer-Priovant License Agreement, Pfizer granted Priovant (i) an exclusive, worldwide, sublicensable, royalty-bearing license under certain patents and (ii) a non-exclusive, worldwide, sublicensable, royalty-bearing license under certain know-how, in each case, to develop, manufacture and commercialize brepocitinib and TYK2 compounds and products incorporating such compounds for all human and animal uses. In exchange for Pfizer’s inventory of these compounds, Priovant paid Pfizer $10.0 million. Priovant also granted back to Pfizer (i) an exclusive, sublicensable, royalty-bearing license under certain patents and (ii) a non-exclusive, sublicensable, royalty-bearing license under certain know-how, in each case, to commercialize (x) brepocitinib and products incorporating such compound outside of the U.S. and Japan, and (y) TYK2 compounds and products incorporating such compounds outside of the U.S., in each case for all human and animal uses.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Priovant is obligated to pay Pfizer a mid tens-of-millions sales milestone payment if aggregate net sales of its licensed products in Priovant’s territory in a given year exceed a mid hundreds-of-millions amount. Pfizer is obligated to pay Priovant a low tens-of-millions milestone payment if aggregate net sales of its licensed products outside of Priovant’s territory in a given year exceed a mid hundreds-of-millions amount.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Priovant is obligated to pay Pfizer a tiered, sub-teens royalty on aggregate net sales of its licensed products in Priovant’s territory. Pfizer is obligated to pay Priovant a tiered high single-digit to sub-teens royalty on aggregate net sales of its licensed products outside of Priovant’s territory. Each of Priovant’s and Pfizer’s royalty obligations apply on a product-by-product and country-by-country basis and end upon the expiration of a customary royalty term, which is the latest of (a) a certain amount of years following the first commercial sale of the applicable product in the applicable country, (b) the date on which the regulatory exclusivity provided by the applicable government authority for the applicable product in that country expires and (c) the date upon which the use, sale, offer for sale or importation of such product in such country would no longer be covered by a valid claim of a licensed product right. Either party may terminate the Pfizer-Priovant License Agreement for the other party’s uncured breach and Priovant has the right to terminate for convenience.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 with HanAll Biopharma Co., Ltd.</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2017, our wholly owned subsidiary, Roivant Sciences GmbH (“RSG”), entered into a license agreement with HanAll Biopharma Co., Ltd. (“HanAll”) (the “HanAll Agreement”). Under the HanAll Agreement, RSG received (1) the non-exclusive right to manufacture and (2) the exclusive, royalty-bearing right to (a) develop, import and use (i) the antibody referred to as batoclimab, (ii) certain back-up and next-generation antibodies (including IMVT-1402), and (iii) products containing such antibodies, and (b) to commercialize such products, in the U.S., Canada, Mexico, the E.U., the U.K., Switzerland, the Middle East, North Africa and Latin America (the “HanAll Licensed Territory”), for all human and animal uses during the term of the agreement. With respect to these licenses, RSG also received the right to grant a sublicense, with prior written notice to HanAll of such sublicense, to:</w:t>
      </w:r>
    </w:p>
    <w:p>
      <w:pPr>
        <w:spacing w:after="0" w:line="5" w:lineRule="exact"/>
        <w:rPr>
          <w:sz w:val="20"/>
          <w:szCs w:val="20"/>
          <w:color w:val="auto"/>
        </w:rPr>
      </w:pPr>
    </w:p>
    <w:p>
      <w:pPr>
        <w:jc w:val="both"/>
        <w:ind w:firstLine="8"/>
        <w:spacing w:after="0" w:line="252"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in any country in the HanAll Licensed Territory outside of the U.S. and E.U.; (2) an affiliate of RSG in any country in the HanAll Licensed Territory; and (3) a third party in the U.S. and E.U. only after submission of a biologics license application (“BLA”) in the U.S. or a Marketing Authorization Application in the E.U. Pursuant to the HanAll Agreement, RSG granted to HanAll an exclusive, royalty-free license under certain RSG patents, know-how and other intellectual property controlled by RSG relating to such antibodies and products to develop, manufacture and commercialize such antibodies and products for use outside of the HanAll Licensed Territory. HanAll also reserves the right to conduct discovery or research activities with the batoclimab antibody, and certain back-up and next-generation antibodies (including IMVT-1402), with or through a contract research organization or service provider in the HanAll Licensed Territory.</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December 2018, Immunovant Sciences GmbH, (“ISG”) obtained and assumed all of the rights, title, interest and obligations under the HanAll Agreement from RSG, including all rights to IMVT-1402 and batoclimab in the HanAll Licensed Territory, pursuant to an assignment and assumption agreement between RSG and ISG, for an aggregate purchase price of $37.8 million.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HanAll Agreement, ISG will be responsible for future contingent payments and royalties, including up to an aggregate of $420.0 million upon the achievement of certain regulatory and sales milestone events. ISG is also obligated to pay HanAll tiered royalties ranging from the mid-single digits to mid-teens percentage of net sales of licensed products, subject to standard offsets and reductions as set forth in the HanAll Agreement. These royalty obligations apply on a product-by-product and country-by-country basis and end upon the latest of: (A) the date on which the last valid claim of the licensed patents expire, (B) the date on which the data or market exclusivity expires and (C) 11 years after the first commercial sale of the licensed product, in each case, with respect to a given product in a given country.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for cost-sharing in connection with the research program, ISG is solely responsible, at its expense, for all other activities related to the research, development and commercialization of licensed products for the HanAll Licensed Territory. ISG may use a third party for manufacturing activities necessary for the research, development and commercialization of licensed products for the HanAll Licensed Territory. In addition, under the HanAll Agreement, ISG has agreed to use commercially reasonable efforts to develop and commercialize licensed products in the HanAll Licensed Territory. Each party to the HanAll Agreement has agreed that neither it nor certain of its affiliates will clinically develop or commercialize certain competitive products in the Licensed Territory.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HanAll Agreement, ISG has the sole right, but not the obligation, to control the prosecution, defense and enforcement of the licensed patents in the HanAll Licensed Territory, and HanAll has backup rights to prosecution, defense and enforcement with respect to any licensed patents for which ISG elects not to exercise such rights.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HanAll Agreement will expire on a product-by-product basis on the expiration of the last royalty term with respect to a given licensed product, unless earlier terminated. ISG may terminate the HanAll Agreement in its entirety without cause upon 180 days’ written notice following 30 days of discussion. Either party may terminate the HanAll Agreement upon 60 days’ written notice for uncured material breach (or 30 days in the case of non-payment), or immediately upon written notice if the other party files a voluntary petition, is subject to a substantiated involuntary petition or for certain other solvency events. HanAll may terminate the HanAll Agreement if ISG or its affiliates challenge the validity or enforceability of any of the licensed patents.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Service Agreement and Master Services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17, 2021, ISG entered into a Product Service Agreement (“PSA”) with Samsung Biologics Co., Ltd. (“Samsung”), pursuant to which Samsung will manufacture and supply ISG with batoclimab drug substance for commercial sale, if approved, and perform other manufacturing-related services with respect to batoclimab. ISG previously entered in a Master Services Agreement (“MSA”) with Samsung, dated April 30, 2021, which governs certain terms of its relationship with Samsung. Upon execution of the PSA, ISG committed to purchase process performance qualification batches of batoclimab and pre-approval inspection batches of batoclimab which may be used for regulatory submissions and, pending regulatory approval, commercial sale. In addition, ISG has a minimum obligation to purchase further batches of batoclimab in the four-year period of 2026 through 2029.</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PSA will continue until the later of December 31, 2029 or the completion of the services thereunder, unless the PSA is terminated earlier. Either party may terminate the PSA on account of (i) the other party’s material breach of the PSA that is not cured within a specified period after the termination notice, (ii) the other party’s insolvency or bankruptcy or (iii) certain force majeure events. The remaining minimum purchase commitment related to this agreement was estimated to be approximately $43.6 million as of March 31,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Pulmovant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 with Bayer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2023, our subsidiary Pulmovant, Inc. (“Pulmovant”) entered into a license agreement (the “Bayer-Pulmovant License Agreement”) with Bayer Aktiengesellschaft (“Bayer”). Pursuant to the Bayer-Pulmovant License Agreement, Bayer granted Pulmovant an exclusive, worldwide, sublicensable, royalty-bearing license under certain patents and know-how to use, develop, commercialize and manufacture mosliciguat compounds and products containing or comprising such compounds for the prevention, treatment, mitigation, cure and/or diagnosis of any disease in humans or animals.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Pulmovant made an initial payment to Bayer of approximately $14 million and is obligated to pay up to an aggregate of $280 million upon the achievement of certain development, regulatory and net sales milestone events, as well as tiered, high-single-digit royalties on annual net sales of licensed products on a product-by-product and country-by-country basis, subject to certain reductions. Such royalty obligation ends upon the expiration of a customary royalty term, which is the later of (a) the expiration of the last to expire certain specified valid claim of a licensed patent right in such country,</w:t>
      </w:r>
    </w:p>
    <w:p>
      <w:pPr>
        <w:spacing w:after="0" w:line="3" w:lineRule="exact"/>
        <w:rPr>
          <w:sz w:val="20"/>
          <w:szCs w:val="20"/>
          <w:color w:val="auto"/>
        </w:rPr>
      </w:pPr>
    </w:p>
    <w:p>
      <w:pPr>
        <w:ind w:firstLine="8"/>
        <w:spacing w:after="0" w:line="260"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regulatory exclusivity for such licensed product in such country and (c) a certain amount of years following the first commercial sale of such licensed product in such country.</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Bayer-Pulmovant License Agreement will expire upon the last-to-expire royalty term unless terminated earlier. Either party may terminate for the other party’s uncured material breach or insolvency. Bayer has the right to terminate for certain specified patent challenges, and Pulmovant has the right to terminate for convenience.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Cross-License Agreement with Arbutus Biopharma Corporation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2018, our subsidiary, Genevant Sciences Ltd. (together with its subsidiaries, “Genevant”), entered into a cross-license agreement with our affiliate, Arbutus Biopharma Corporation (“Arbutus”) (as amended, the “Arbutus Cross-License Agreement”). Pursuant to the Arbutus Cross-License Agreement, Arbutus granted Genevant an exclusive, sublicensable, worldwide, transferable, irrevocable and perpetual license under certain patents and know-how relating to Arbutus’s lipid nanoparticle and GalNAc technologies for all applications other than hepatitis B virus, and certain other excluded fields. The license is subject to certain rights which had previously been licensed by Arbutus to third parties.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Genevant is obligated to pay Arbutus tiered low single-digit percentage royalties on sales of products covered by the licensed patents. If Genevant sublicenses intellectual property licensed from Arbutus or collaborates with any third-party to develop, manufacture or commercialize any products covered by the intellectual property licensed by Arbutus, it will be required to pay Arbutus the lesser of (i) a percentage (20% in the case of a mere sublicense (i.e., a naked sublicense) by Genevant without additional contribution and 14% in the case of a bona fide collaboration with Genevant) of the Royalty-Related Receipts (as defined in the Arbutus Cross-License Agreement) received by Genevant from such sublicensees or collaborators and (ii) tiered low single-digit royalties on net sales by sublicensees. Genevant’s royalty obligations apply on a product-by-product, country-by-country basis and end on the date on which the last valid claim of the licensed patents in such country that covers such licensed product expires. The patents and pending patent applications, if granted, currently licensed under the Arbutus Cross-License Agreement began to expire as early as 2023, and end as late as 2041, without giving effect to any potential patent term extensions or patent term adjustments. The Arbutus Cross-License Agreement includes customary termination rights and, unless earlier terminated, will continue until the expiration of Genevant’s royalty obligations.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Genevant receives proceeds from an action for infringement by any third parties of Arbutus’s intellectual property licensed to Genevant, Arbutus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protection for our product candidates, technologies and know-how; to operate without infringing, misappropriating or otherwise violating the proprietary rights of others; and to prevent others from infringing our proprietary rights. Our policy is to seek to protect our proprietary position by, among other methods, filing or in-licensing U.S. and foreign patents and patent applications related to our proprietary technology, inventions and improvements that are important to the development and implementation of our business. We may also rely on trade secrets, know-how, continuing technological innovation and potential in-licensing opportunities to develop and maintain our proprietary position.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fields of genetic therapy, cell therapy, biologics or pharmaceutical products generally has emerged in the U.S., Europe or the rest of the world. Changes in the patent laws and rules, either by legislation, judicial decisions, or regulatory interpretation in such territories or jurisdictions may diminish our ability to protect our product candidates and enforce our intellectual property rights, and more generally could affect the value of our intellectual property, including our product candidates.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any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product candidates and technology. Moreover, our issued patents and those that may be issued in the future may not guarantee us the right to practice our technology in relation to the commercialization of our product candidates, if approved, or technology. The area of patents and other intellectual property rights in biotechnology is an evolving one with many risks and uncertainties, which may prevent us from commercializing our product candidates and practicing our proprietary technology.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issued patents and those that may be issued in the future may be challenged, narrowed, circumvented or invalidated, which could limit our ability to stop competitors from marketing related products or technologies or limit the length of the term of patent protection that we may have for our product candidates and technologies. In addition, the rights granted under any issued patents may not provide us with complete protection or competitive advantages against competitors or other third parties with similar technology. Furthermore, our competitors may independently develop similar technologies that achieve similar outcomes but with different approaches. For these reasons, we may have competition for our product candidates. Moreover, the time required for development, testing and regulatory review of our product candidates may shorten the length of effective patent protection following commercialization. For this and other risks related to our proprietary technology, inventions, improvements, platforms and product candidates, please see the section entitled “Risk Factors—Risks Related to Roivant’s Business and Industry—Risks Related to Our Intellectual Property.”</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Priovant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March 31, 2025, Priovant Therapeutics, Inc. has (1) exclusively licensed rights to six patent families for brepocitinib containing at least 176 issued patents and 62 pending patent applications in the U.S. and other jurisdictions, including the European Union and Japan, with claims covering a composition of matter, a crystalline form, a topical formulation, a process for making brepocitinib, a treatment of hidradenitis, a dosage regimen for treatment of hidradenitis and treatment of dermatomyositis with brepocitinib. These patents and pending applications, if issued, are expected to expire as early as 2035, in each case without taking into account any possible patent term adjustments or extensions and assuming payment of all appropriate maintenance, renewal, annuity or other governmental fees, and (2) exclusively licensed rights to three patent families for ropsacitinib containing at least 138 issued patents and 31 pending patent applications in the U.S. and other jurisdictions, including the European Union and Japan, with claims covering a composition of matter, a treatment of hidradenitis and a crystalline form. These patents and pending applications, if issued, are expected to expire as early as 2037, in each case without taking into account any possible patent term adjustments or extensions and assuming payment of all appropriate maintenance, renewal, annuity or other governmental fees.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Anti-FcRn Franchise</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ISG’s assumption of all rights, title, interest and obligations under the HanAll Agreement from RSG in December 2018, by virtue of the license of patent rights under the HanAll Agreement, ISG is the exclusive licensee of certain patents, patent applications and know-how directed to batoclimab, IMVT-1402 and certain back-up and next-generation antibodies, and products containing such antibodies, in the HanAll Licensed Territory. As of May 29, 2025, the in-licensed patent portfolio includes a patent family covering batoclimab with pending patent applications and issued patent(s) in the U.S., Argentina, Brazil, Canada, European Patent Office, Egypt, Israel, Mexico and Saudi Arabia. This in-licensed patent family was filed in 2015 and discloses anti-FcRn antibodies, including batoclimab, pharmaceutical compositions thereof, methods of treating autoimmune disease using the same, polynucleotides encoding such antibodies, expression vectors including such polynucleotides, host cells transfected with such recombinant expression vectors, methods of manufacturing such antibodies and methods of detecting FcRn in vivo or in vitro using such antibodies. Notably, in this in-licensed patent family, a U.S. patent was issued on July 2, 2019, with claims directed to batoclimab as defined by its CDRs and epitope or antigen-binding fragment thereof, and a pharmaceutical composition comprising such antibody or antigen-binding fragment thereof. Furthermore, another U.S. patent was issued in this in-licensed patent family on January 28, 2020, with claims directed to batoclimab as defined by its CDRs or antigen-binding fragment thereof, a pharmaceutical composition comprising such antibody or antigen-binding fragment thereof, as well as methods of treating various autoimmune diseases using such antibody or antigen-binding fragment thereof, polynucleotides and expression vectors encoding the same, host cells transfected with such expression vectors and methods of producing such antibody or antigen-binding fragment. A further patent was issued in the U.S. on March 28, 2023 with claims to an isolated anti-FcRn antibody other than batoclimab or an antigen-binding fragment thereof, a pharmaceutical composition comprising such antibody or antigen-binding fragment thereof, as well as methods of treating various autoimmune diseases using such antibody or antigen-binding fragment thereof, polynucleotides and expression vectors encoding the same, host cells transfected with such expression vectors and methods of preparing such antibody or antigen-binding fragment. A European patent in this family was issued on May 10, 2023 with claims directed to batoclimab as defined by its heavy and light chain variable sequences. There are also issued patents in this family in Brazil, Canada, Israel, Mexico and Saudi Arabia. In this family, applications are pending in Argentina, Mexico, the U.S. and in Europe. The patents of this patent family may expire in 2035, without taking into account any possible patent term adjustment or extension and assuming payment of all appropriate maintenance, renewal, annuity or other governmental fees.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in-licensed patent portfolio includes another patent family that discloses a pharmaceutical formulation for an anti-FcRn antibody. This patent family includes pending applications in the U.S., and in Europe, Israel, Canada, Brazil, Mexico and Argentina, and any patent issued in this patent family may expire in 2041, without taking into account any possible patent term adjustment or extension and assuming payment of all appropriate maintenance, renewal, annuity or other governmental fees.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as of May 29, 2025, independent of the licensed patent portfolio, ISG owns patent families directed to methods of treating thyroid eye disease (Graves’ ophthalmopathy) and methods of treating warm autoimmune hemolytic anemia using anti-FcRn antibodies that include patent applications in the U.S. as well as foreign counterparts in certain jurisdictions. Any patent issued from these patent families may expire in 2039 and 2040, respectively, without taking into account any possible patent term adjustment or extension and assuming payment of all appropriate maintenance, renewal, annuity or other governmental fees.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ISG jointly owns rights with HanAll to a patent family covering IMVT-1402 and its uses to treat autoimmune disease, which includes patent applications in the U.S. as well as foreign counterparts in certain jurisdictions including Brazil, Canada, Chile, Colombia, Egypt, European Patent Office, Israel, Mexico, Panama, Peru and Saudi Arable. Notably, in this patent family, a U.S. patent was issued on March 12, 2024, with claims directed to IMVT-1402 as defined by its CDRs, a pharmaceutical composition comprising such antibody or antigen-binding fragment thereof, and methods of treating an autoimmune disease using such antibody or antigen-binding fragment thereof. The patents of this patent family may expire in 2043, without taking into account any possible patent term adjustment or extension and assuming payment of all appropriate maintenance, renewal, annuity or other governmental fees.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ISG also owns patent families directed to methods of treating Graves’ disease and methods of treating CIDP using anti-FcRn antibodies including IMVT-1402 and batoclimab, which include patent applications in the U.S. as well as foreign counterparts in certain jurisdictions. Any patent issued from these patent families may expire in 2043, without taking into account any possible patent term adjustment or extension and assuming payment of all appropriate maintenance, renewal, annuity or other governmental fees.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ISG also owns a PCT application directed to high concentration protein formulations with polysorbate excipients and methods of making the same. Any patent issued from this patent family may expire in 2044, without taking into account any possible patent term adjustment or extension and assuming payment of all appropriate maintenance, renewal, annuity or other governmental fees.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ISG also owns a PCT application directed to methods of improving anti-FcRn therapies, which describes specific dosing regimens for IMVT-1402. Any patent issued from this patent family may expire in 2044, without taking into account any possible patent term adjustment or extension and assuming payment of all appropriate maintenance renewal, annuity or other governmental fees. For information regarding ISG’s license agreement with HanAll, please see “—Vant License Agreements &amp; Other Vant Agreements.”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ISG also owns a U.S. provisional application directed to formulations for anti-FcRn antibodies. Any patent issued from this patent family may expire in 2045, without taking into account any possible patent term adjustment or extension and assuming payment of all appropriate maintenance, renewal, annuity or other governmental fees.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ISG also owns a U.S. provisional application directed to methods of treating skin diseases using anti-FcRn antibodies including IMVT-1402 and batoclimab. Any patent issued from this patent family may expire in 2046, without taking into account any possible patent term adjustment or extension and assuming payment of all appropriate maintenance, renewal, annuity, or other governmental fees.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ISG owns a registered trademark for IMMUNOVANT and a registered trademark for its corporate logo in conjunction with IMMUNOVANT. As of May 29, 2025, this trademark portfolio includes pending trademark applications and registered trademarks in the U.S. and foreign jurisdictions. Under the HanAll Agreement, ISG has the right to market IMVT-1402 and batoclimab in the HanAll Licensed Territory under the trademarks of ISG’s choice, subject to regulatory approval. However, upon termination of the HanAll Agreement, ISG must assign to HanAll all rights, title and interest in and to any and all trademarks ISG uses in the development, manufacture or commercialization of the licensed products.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Pulmovant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Pulmovant, Inc. has exclusively licensed rights to five patent families for mosliciguat containing at least 84 issued patents and 70 pending patent applications in the U.S. and other jurisdictions, including the European Union and Japan, with claims covering the composition of matter, a crystalline form, a formulation for inhalation, a process for making mosliciguat, a treatment of cardiopulmonary disorders, including PH Group 3, and a dosage regimen for treatment of cardiopulmonary disorders, including PH Group 3. These patents and pending applications, if issued, are expected to expire between 2033 and 2042, in each case without taking into account any possible patent term adjustments or extensions and assuming payment of all appropriate maintenance, renewal, annuity or other governmental fees.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Genevant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Genevant Sciences GmbH (“GSG”) owns or co-own 24 patent families containing 41 issued patents and 122 pending patent applications in the U.S., European Union and numerous other jurisdictions, including claims relating to lipid nanoparticle delivery technology, polymers and nucleic acid delivery constructs. These patents and pending applications, if issued, are expected to expire between 2029 and 2045, in each case without taking into account any possible patent term adjustments or extensions and assuming payment of all appropriate maintenance, renewal, annuity or other governmental fees.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GSG has licensed 28 patent families containing 463 issued patents and 108 pending patent applications in the U.S., European Union and numerous other jurisdictions, including claims relating to delivery systems. These patents and pending applications, if issued, are expected to expire between June 2025 and 2041, in each case without taking into account any possible patent term adjustments or extensions and assuming payment of all appropriate maintenance, renewal, annuity or other governmental fees.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reliance on patent protection for our inventions, product candidates and research programs, we also rely on trade secrets, know-how, continuing technological innovation and potential in-licensing opportunities to develop and maintain our competitive position. We seek to protect our proprietary information, in part, using confidentiality and invention assignment agreements with our commercial partners, collaborators, employees and consultants. These agreements are designed to protect our proprietary information and, in the case of the invention assignment agreements, to grant us ownership of technologies that are developed through a relationship with an employee or a third party. These agreements may be breached, and we may not have adequate remedies for any breach. In addition, our trade secrets may otherwise become known or be independently discovered by competitors or other third parties. As a result, we may not be able to meaningfully protect our trade secrets. For more information regarding the risks related to our intellectual property, see “Risk Factors—Risks Related to Roivant’s Business and Industry—Risks Related to Our Intellectual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regulate, among other things, the research, development, manufacture, testing, quality control, approval, labeling, packaging, storage, record-keeping, promotion, advertising, distribution, post-approval monitoring and reporting, marketing and export and import of drug and biological products, as well as diagnostics, and any future product candidates. Generally, before a new drug, biologic or diagnostic can be marketed, considerable data demonstrating its quality, safety and efficacy must be obtained, organized into a format specific for each regulatory authority, submitted for review and approved, authorized or cleared by the applicable regulatory authority.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 of Drug and Biological Products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(the “FDCA”) and its implementing regulations and biologics under the FDCA and the Public Health Service Act (the “PHSA”), and their implementing regulations. Both drugs and biologics also are subject to other federal, state and local statutes and regulations, such as those related to competition.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regulatory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debarment from producing or marketing drug products or biologics, disqualification from conducting research and civil or criminal fines or penalties. Any agency or judicial enforcement action could have a material adverse effect on our business, the market acceptance of our product candidates and our reputation.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candidates must be approved by the FDA through either an NDA or a BLA process before they may be legally marketed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generally involves the following:</w:t>
      </w:r>
    </w:p>
    <w:p>
      <w:pPr>
        <w:spacing w:after="0" w:line="207" w:lineRule="exact"/>
        <w:rPr>
          <w:sz w:val="20"/>
          <w:szCs w:val="20"/>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GLP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for each clinical trial site before each human trial may be initiated;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and requirements, GCP requirements and other clinical trial-related regulations to establish the safety and efficacy of the investigational product for each proposed indication;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accept the filing for review;</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or biologic will be produced to assess compliance with cGMP requirements to assure that the facilities, methods and controls are adequate to preserve the drug or biologic’s identity, strength, quality and purity;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inspection of the clinical trial sites that generated the data in support of the NDA or BLA and us as the sponsor;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or BLA (unless a fee waiver applies);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with FDA on the final labeling for the product and the design and implementation of any required REMS;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including consideration of the views of any FDA advisory committee, prior to any commercial marketing or sale of the drug or biologic in the 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the regulatory scheme for drugs and biologics is evolving and subject to change at any time. We cannot be certain that any approvals for our product candidates will be granted on a timely basis, or at all.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testing any drug or biological product candidate in humans, the product candidate must undergo rigorous preclinical testing. Preclinical studies include laboratory evaluation of product chemistry and formulation, as well as in vitro and animal studies to assess safety and in some cases to establish a rationale for therapeutic use. In the U.S., the conduct of preclinical studies is subject to federal and state regulations and requirements, including GLP regulations for nonclinical (e.g., safety/toxicology) studies.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U.S., an IND sponsor must submit the results of the preclinical tests, together with manufacturing information, analytical data, any available clinical data or literature and plans for clinical trials,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AEs and carcinogenicity, may continue, and additional preclinical testing may commence,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Additionally, the review of information in an IND submission may prompt FDA to, among other things, scrutinize existing INDs or marketed products and could generate requests for information or clinical holds on other product candidates or programs.</w:t>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In the U.S.,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Clinical trials generally are conducted in three sequential phases, known as Phase 1, Phase 2 and Phase 3, and may overlap or be combined.</w:t>
      </w:r>
    </w:p>
    <w:p>
      <w:pPr>
        <w:spacing w:after="0" w:line="225" w:lineRule="exact"/>
        <w:rPr>
          <w:sz w:val="20"/>
          <w:szCs w:val="20"/>
          <w:color w:val="auto"/>
        </w:rPr>
      </w:pPr>
    </w:p>
    <w:p>
      <w:pPr>
        <w:jc w:val="both"/>
        <w:ind w:left="98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product candidate.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involve studies in disease-affected patients to evaluate proof of concept and determine the dose required to produce the desired benefits. At the same time, safety and further PK and PD information is collected, possible adverse effects and safety risks are identified, and a preliminary evaluation of efficacy is conducted.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such use and to establish the overall benefit/risk relationship of the product and provide an adequate basis for product labeling.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2022, the FDA finalized a guidance entitled “Expansion Cohorts: Use in First-In-Human Clinical Trials to Expedite Development of Oncology Drugs and Biologics,” the draft of which was released in August 2018. This final guidance outlines how drug developers can utilize an adaptive trial design commonly referred to as a seamless trial design in early stages of oncology drug development, i.e., the first-in-human clinical trial, to compress early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 or post-approval.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15 days after the trial sponsor determines the information qualifies for reporting for serious and unexpected suspected AEs,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Phase 1, Phase 2, Phase 3 and other types of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an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FDA Review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(the “PDUFA”), as amended, each NDA or BLA must be accompanied by a user fee.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application also includes a non-orphan indication.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review of the NDA or BLA. Under the goals and policies agreed to by the FDA under PDUFA, the FDA targets ten months, from the filing date, in which to complete its initial review of a new molecular entity NDA or original BLA and respond to the applicant, and six months from the filing date of a new molecular entity NDA or original BLA designated for priority review. The FDA does not always meet its PDUFA goal dates for standard and priority NDAs or BLAs, and the review process is often extended by FDA requests for additional information or clarification. During the COVID-19 pandemic, because of travel and other restrictions, the FDA significantly curtailed its inspection program. The reduction in pre-approval inspections resulted in delays to some product approvals. Even with the mostly complete resumption of the FDA’s normal inspection program and continued use of alternative inspection tools, there may be delays to product approvals in the future based on a resurgence of, or new problems with respect to the FDA’s ability to conduct inspections and then, even after a complete resumption of the FDA’s normal inspection program, a possible backlog in applications under review by the agency.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 has developed the Oncology Center of Excellence RTOR pilot program to facilitate a more efficient review process for certain oncology product candidates. Although this program allows FDA to begin reviewing clinical data prior to submission of a complete NDA or BLA, the program is not intended to change the PDUFA review timelines.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Before approving an NDA or BLA, the FDA will typically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the applicant to obtain additional clinical data, including the potential requirement to conduct additional pivotal Phase 3 clinical trial(s) and to complete other significant and time-consuming requirements related to clinical trials, or to conduct additional preclinical studies or manufacturing activities. If a Complete Response Letter is issued, the applicant may either resubmit the NDA or BLA, addressing all of the deficiencies identified in the letter, or withdraw the application or request an opportunity for a hearing.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the product available in the U.S. for this type of disease or condition will be recovered from sales of the product.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U.S. or affects more than 200,000 in the U.S. and for which there is no reasonable expectation that the cost of developing and making in the U.S. a drug for such disease or condition will be received from sales in the U.S.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(a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previously extended the rare pediatric disease PRV program through December 20, 2024, with the potential for PRVs to be granted through September 30, 2026. Although legislation has been introduced, Congress has yet to reauthorize this program.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sponsor may seek to develop and obtain approval of its product candidates under programs designed to accelerate the development, FDA review and approval of new drugs and biologics that meet certain criteria. For example, the FDA has a fast-track program that is intended to expedite or facilitate the process for reviewing new drugs and biologics that are intended to treat a serious or life-threatening disease or condition and demonstrate the potential to address unmet medical needs for the disease or condition. Fast track designation applies to both the product and the specific indication for which it is being studied. For a fast track-designated product, the FDA may consider sections of the NDA or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sponsor can request the FDA to designate the product for fast-track status any time before receiving NDA or BLA approval, but ideally no later than the pre-NDA or pre-BLA meeting.</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product submitted to the FDA for marketing, including under a fast-track program, may be eligible for other types of FDA programs intended to expedite development or review, such as priority review and accelerated approval. Priority review means that, for an NDA for a new molecular entity or original BLA, the FDA sets a target date for FDA action on the marketing application at six months after accepting the application for filing as opposed to ten months. A product is eligible for priority review if it is designed to treat a serious or life-threatening disease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 If criteria are not met for priority review, the NDA for a new molecular entity or original BLA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is designed to treat a serious or life-threatening disease or condition, generally provides a meaningful advantage over other available therapies, and demonstrates an effect on either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disease or condition and the availability or lack of alternative treatments. As a condition of approval, the FDA may require that a sponsor of a drug or biologic receiving accelerated approval perform adequate and well-controlled post-marketing clinical trials. FDA may require such trials to be underway prior to, or within a specific period after, approval and will specify the conditions for such studies. Further, sponsors must provide reports on post-marketing trial progress no later than 180 days after approval and every 180 days thereafter until such trials are completed. The failure to conduct required post-approval clinical trials with due diligence and the failure to submit the required reports are prohibited acts.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is not conducted or fails to verify the predicted clinical benefit of the product. FDA can withdraw accelerated approvals on an expedited basis provided certain procedures are followed.</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fast-track designation, which means that the sponsor may file sections of the NDA or BLA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has also announced the availability of the RTOR pilot program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pilot does not guarantee or influence approvability of the application, which is subject to the usual benefit-risk evaluation by FDA reviewers, but the program allows FDA to review data earlier, before an applicant formally submits a complete application. The RTOR pilot program does not affect FDA’s PDUFA timelines.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and breakthrough therapy designation do not change the standards for approval.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(the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 other clinical development programs.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drug or biologic product can also obtain pediatric market exclusivity in the U.S. Pediatric exclusivity, if granted, adds six months to existing exclusivity periods and, for drug products,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regulatory approval of a new product, the manufacturer and the approved product are subject to continuing regulation by the FDA, including, among other things, monitoring and record-keeping activities, reporting of adverse experiences and certain problems in the manufacturing process,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any promotion that is false or misleading, and a company that is found to have improperly promoted off-label uses or in a false or misleading manner may be subject to significant liability, including investigation by federal and state authorities. Prescription drug promotional materials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a REMS, to assure the safe use of the product. If the FDA concludes a REMS is needed, the sponsor of the NDA or BLA must submit a proposed REMS. The FDA will not approve the NDA or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regulations. We rely, and expect to continue to rely, on third parties for the production of clinical quantities of our product candidates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manufacturer or holder of an approved NDA or BLA, including recall.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issue enforcement letters or withdraw the approval of the product if compliance with regulatory requirements and standards is not maintained or if problems occur after the drug or biologic reaches the market. Corrective action could delay drug or biologic distribution and require significant time and financial expenditures. Later discovery of previously unknown problems with a drug or biologic,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7" w:lineRule="exact"/>
        <w:rPr>
          <w:sz w:val="20"/>
          <w:szCs w:val="20"/>
          <w:color w:val="auto"/>
        </w:rPr>
      </w:pPr>
    </w:p>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or biologic, suspension of the approval, complete withdrawal of the drug from the market or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drug or biologic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or biologic seizure or detention, or refusal to permit the import or export of drugs;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from producing or marketing drug products or biologics.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Success of certain product candidates may depend, in part, on the development and commercialization of a companion diagnostic. A companion diagnostic is a medical device, typically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drug or biological product.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generally regulated as medical devices by the FDA.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through the premarket notification process (“510(k) clearance”) or premarket approval from the FDA prior to commercialization.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other predicate devices, for which the FDA has not yet called for the submission of a premarket approval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 The 510(k) premarket notification pathway generally takes from three to twelve months from the date the application is completed, but can take significantly longer.</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typically conduct a pre-approval inspection of the manufacturing facility or facilities to ensure compliance with the Quality System Regulation (the “QSR”), which will transition to the Quality Management System Regulation once effective and requires manufacturers to follow design, testing, control, corrective and preventative action, documentation and other quality assurance procedures. The FDA’s review of an initial PMA application is generally required by statute to take six months, although the process typically takes longer, and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 Once cleared or approved, the companion diagnostic device must adhere to post-marketing requirements including the requirements of FDA’s QSR, adverse event reporting, recalls and corrections along with product marketing requirements and limitations. Like drug and biologic makers, companion diagnostic makers are subject to unannounced FDA inspections at any time during which the FDA is able to conduct an inspection of the product(s) and the company’s facilities for compliance with its authorities.</w:t>
      </w:r>
    </w:p>
    <w:p>
      <w:pPr>
        <w:sectPr>
          <w:pgSz w:w="11900" w:h="16838" w:orient="portrait"/>
          <w:cols w:equalWidth="0" w:num="1">
            <w:col w:w="11240"/>
          </w:cols>
          <w:pgMar w:left="320" w:top="115"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FDA has taken the position that developers of companion diagnostic tests associated with novel therapeutic products should seek clearance or approval at the same time that the therapeutic developer seeks approval. FDA has recognized that contemporaneous clearance or approval of a companion diagnostic with a therapeutic is not always possible, though FDA has indicated that coordination of contemporaneous clearances/approvals is a policy goal. In October 2018, FDA issued a safety alert warning against the use of unapproved or uncleared genetic tests to predict patient response to specific medications. While FDA has historically exercised enforcement discretion against laboratory developed tests—tests which are developed and performed in a single Clinical Laboratory Improvement Amendments (“CLIA”) certified laboratory—the 2018 alert and a subsequent 2019 Warning Letter against Inova Genomics Laboratory suggested that FDA may prioritize for enforcement certain uncleared or unapproved tests marketed as companion diagnostic tests. Subsequently, FDA has attempted to encourage collaboration between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developers and therapeutic developers and to clarify FDA expectations as to companion diagnostic labeling, particularly through guidance in the oncology area. In September 2023, FDA announced a proposed rule, which was published in October 2023, to revise the regulatory definition of an in vitro diagnostic product to explicitly capture laboratory developed tests and make clear that such tests are medical devices subject to FDA regulation. The proposed rule also described a proposed policy under which FDA will gradually end its general enforcement discretion policy for laboratory developed tests in phases over a four-year period. FDA subsequently issued the final rule in May 2024, including its policy for phasing out its general enforcement discretion policy for laboratory developed tests. In March 2025, the Eastern District of Texas vacated the final rule in consolidated cases challenging the rule. It remains to be seen whether FDA under the Trump Administration will appeal the ruling.</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product candidates, including batoclimab, are regulated as biologics. An abbreviated approval pathway for biological products shown to be similar to, or interchangeable with, an FDA-licensed reference biological product was created by the Biologics Price Competition and Innovation Act of 2009 (the “BPCI Act”), as part of the Patient Protection and Affordable Care Act, as amended by the Health Care and Education Reconciliation Act of 2010 (the “Affordable Care Act” or “ACA”). This amendment to the PHSA, in part, attempts to minimize duplicative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 as well as the processes by which such products are manufactured, pose significant hurdles to implementation that are still being worked out by the FDA.</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reference biological product is granted four and twelve year exclusivity periods from the time of first licensure of the product. 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the U.S. in addition to the FDA, including the Centers for Medicare and Medicaid Services (the “CMS”), the Office of Inspector General and Office for Civil Rights, other divisions of the Department of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making clinically-appropriate decisions enabling patient access to any products for which we obtain marketing approval. Our current and future arrangements with healthcare providers and physicians and any future arrangements with third-party payors, may expose us to broadly applicable fraud and abuse and other healthcare laws and regulations that may constrain the business or financial arrangements and relationships through which we market, sell and distribute any drugs for which we obtain marketing approval. In the U.S., these laws include: the federal Anti-Kickback Statute, the False Claims Act and the Health Insurance Portability and Accountability Act (“HIPAA”).</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Anti-Kickback Statute makes it illegal for any person, including a prescription drug manufacturer (or a party acting on its behalf), to knowingly and willfully solicit, receive, offer or pay any remuneration, directly or indirectly, in cash or in kind,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a person or entity does not need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federal civil False Claims Act.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Drug manufacturers can be held liable under the federal civil False Claims Act, which imposes civil penalties, including through civil whistleblower or qui tam actions, against individuals or entities (including manufacturers) for, among other things, knowingly presenting, or causing to be presented to federal programs (including Medicare and Medicaid) claims for items or services, including drugs, that are false or fraudulent, claims for items or services not provided as claimed, or claims for medically unnecessary items or services. Penalties for a False Claims Act violation include three times the actual damages sustained by the government, plus mandatory civil penalties for each separate false claim; the potential for exclusion from participation in federal healthcare programs, which would preclude reimbursement of our products under the Medicare and Medicaid programs; and, although the federal False Claims Act is a civil statute, conduct that results in a False Claims Act violation may also implicate various federal criminal statutes. The government may deem manufacturers to have “caused” the submission of false or fraudulent claims by, for example, providing certain billing or coding information to customers or promoting a product off-label. Claims which include items or services resulting from a violation of the federal Anti-Kickback Statute are false or fraudulent claims for purposes of the False Claims Act. Our future marketing and activities relating to federal, state and commercial reimbursement for our product candidates, following regulatory approval, and the sale and marketing of our product candidates, are subject to scrutiny under this law.</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HIPAA created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data privacy and security regulations administered and enforced by the federal government as well as statutes and regulations adopted in the states in which we conduct our business. At the federal level, the FDA regulations for the protection of human research subjects require that we protect the privacy of personal information and obtain appropriate informed consent in connection with research using identifiable subject information or identifiable biological samples. In addition, the data privacy and security regulations implementing HIPAA impose strict limitations on the use and disclosure of individually identifiable health information, including for research purposes. Civil and criminal penalties may be imposed on entities subject to HIPAA, both by the HHS Office for Civil Rights and by state attorneys general, who have the authority to file civil actions for damages or injunctions in federal courts to enforce the HIPAA privacy, security and security breach notification regulations and to seek attorney’s fees and costs associated with pursuing such actions. In addition, the Federal Trade Commission has broad authority to investigate and initiate enforcement actions regarding any activity affecting the privacy or security of personal information that it deems deceptive or unfair. At the state level, a rapidly growing body of privacy and data protection laws impose requirements and restrictions, some of which are more stringent than federal law and many of which differ from each other in significant ways, thus complicating compliance efforts. Failure to comply with these laws can result in the imposition of significant civil and criminal penalties.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 federal Physician Payments Sunshine Act (the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physicians, certain other healthcare professionals and teaching hospitals and to report annually certain ownership and investment interests held by physicians, certain other healthcare professionals and their immediate family members. Effective January 1, 2022, these reporting obligations were extended to include transfers of value made to certain non-physician providers such as physician assistants and nurse practitioners.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Some state laws require pharmaceutical companies to comply with the pharmaceutical industry’s voluntary compliance guidelines and the relevant federal government compliance guidance, and require drug manufacturers to report information related to payments and other transfers of value to physicians and other healthcare providers or marketing expenditures.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Several states have enacted legislation requiring pharmaceutical and biotechnology companies to establish marketing compliance programs, file periodic reports with the state, make periodic public disclosures on sales, marketing, pricing, clinical trials and other activities, and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of drugs from government funded healthcare programs, such as Medicare and Medicaid, and the curtailment or restructuring of our operations, any of which could adversely affect our ability to operate our business and our financial results.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Ensuring business arrangements comply with applicable healthcare laws, as well as responding to possible investigations by government authorities, can be time- and resource-consuming and can divert a company’s attention from the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example, in March 2010, the ACA was enacted in the U.S. The ACA includes measures that have significantly changed, and are expected to continue to significantly change, the way healthcare is financed by both governmental and private insurers. Among the changes made by the ACA to preexisting law of importance to the pharmaceutical industry are that the ACA:</w:t>
      </w:r>
    </w:p>
    <w:p>
      <w:pPr>
        <w:spacing w:after="0" w:line="176" w:lineRule="exact"/>
        <w:rPr>
          <w:sz w:val="20"/>
          <w:szCs w:val="20"/>
          <w:color w:val="auto"/>
        </w:rPr>
      </w:pPr>
    </w:p>
    <w:p>
      <w:pPr>
        <w:jc w:val="both"/>
        <w:ind w:left="980" w:hanging="324"/>
        <w:spacing w:after="0" w:line="261"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several changes to the Medicaid Drug Rebate Program, including increasing pharmaceutical manufacturers’ rebate liability by raising the minimum basic Medicaid rebate on most branded prescription drugs to 23.1% of average manufacturer price (“AMP”), and adding a new rebate calculation for “line extensions” (i.e., new formulations, such as extended release formulations) of solid oral dosage forms of branded products, as well as potentially impacting their rebate liability by modifying the statutory definition of AMP.</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requirement on manufacturers of branded drugs to provide a 70% (increased pursuant to the Bipartisan Budget Act of 2018, effective as of 2019) point-of-sale discount off the negotiated price of branded drugs dispensed to Medicare Part D beneficiaries in the coverage gap (i.e., “donut hole”) as a condition for a manufacturer’s outpatient drugs being covered under Medicare Part 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a manufacturer’s Medicaid rebate liability to covered drugs dispensed to individuals who are enrolled in Medicaid managed care organizations.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entities eligible for discounts under the 340B Drug Discount Program.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methodology by which rebates owed by manufacturers under the Medicaid Drug Rebate Program are calculated for drugs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an annual, nondeductible fee on any entity that manufactures or imports certain branded prescription drugs, apportioned among these entities according to their market share in certain government healthcare programs.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identify priorities in, and conduct comparative clinical effectiveness research, along with funding for such research. The research conducted by the Patient-Centered Outcomes Research Institute may affect the market for certain pharmaceutical products. The ACA established the Center for Medicare and Medicaid Innovation within CMS to test innovative payment and service delivery models to lower Medicare and Medicaid spending, potentially including prescription drug spending.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and we expect there will be additional challenges and amendments to the ACA in the future. Most recently, the Supreme Court upheld the constitutionality of the law in June 2021; however, there are ongoing challenges in federal court and future legal disputes remain possible. Additionally, Congress has introduced several pieces of legislation aimed at significantly revising or repealing the ACA, and the law may be subjected to various executive orders and regulatory action to expand or reduce the scope of the law, based on the administration controlling the White House. The law may continue to exert significant pressure on pharmaceutical pricing and our profitability.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in May 2018, the first Trump Administration released its “Blueprint to Lower Drug Prices and Reduce Out-of-Pocket Costs,” or the Blueprint, and President Trump also issued a number of Executive Orders in 2020 that were aimed at lowering the prices of prescription drugs. Certain pricing-related initiatives under the first Trump Administration have taken effect. For example, in May 2019, CMS issued a final rule to allow Medicare Advantage Plans the option of using step therapy, a form of drug utilization management, for Part B drugs, which took effect on January 1, 2020. Other rules enacted under the first Trump Administration, however, were stayed as a result of pending litigation or rescinded by the former Biden Administration or by Congress. For example, a rule enacted under the first Trump Administration known as the “Most Favored Nations” rule would have set Medicare Part B reimbursement at an amount no higher than the lowest price that a drug manufacturer receives on a particular product in an index of foreign countries. This rule was the subject of litigation and was formally rescinded by the former Biden Administration in August 2021. The second Trump Administration later renewed the idea of international referencing pricing through a May 2025 executive order titled “Delivering Most-Favored-Nation Prescription Drug Pricing to American Patients.” Among other things, this executive order directs the Secretary of HHS to communicate most-favored-nation price targets to manufacturers and propose a rulemaking plan to impose most-favored-nation pricing if “significant progress” is not made towards achieving such pricing. It also states that the Administration will take additional aggressive action should manufacturers fail to offer American consumers the most-favored-nation lowest price.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following passage of the Bipartisan Budget Act of 2013, and will remain in effect through the first six months of 2032 unless additional Congressional action is taken. However, the Medicare sequester reductions under the Budget Control Act were suspended from May 1, 2020 through March 31, 2022 due to the COVID-19 pandemic. There was a 1% reduction through the end of June 2022, after which the cuts returned to 2%. Absent Congressional action, there also was a possibility that an up to 4% Medicare sequester could be triggered in January 2025, pursuant to the Statutory Pay-As-You-Go Act of 2010 (“PAYGO”). Under PAYGO, if the five- or ten-year PAYGO scorecard shows a net cost at the end of a Congressional session, then the Office of Management and Budget is required to issue a sequestration order. However, in December 2024, Congress enacted the American Relief Act, which set the balances on both PAYGO scorecards to zero for all years, effectively waiving any potential sequestration under the Statutory PAYGO Act of 2010. Finally, the American Rescue Plan Act of 2021 eliminated the Medicaid unit rebate AMP cap effective as of January 1, 2024, and the removal of this rebate cap could significantly impact our Medicaid rebate liability for any future products.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There has been increasing legislative and enforcement interest in the U.S. with respect to drug pricing practices. In August 2022, Congress enacted the Inflation Reduction Act (“IRA”), a law that included sweeping changes to the payment for drugs under the Medicare program. Among other provisions, the IRA contains (i) a drug price negotiation program for certain high-spend Medicare drugs that have been on the market for a certain length of time and lack generic or biosimilar competition, under which Medicare prices for such drugs are capped by a “maximum fair price”; (ii) new manufacturer rebate obligations on certain drugs paid under Medicare Part B or D whose prices increase faster than inflation relative to a benchmark period; and (iii) a redesign of the Part D benefit, including capping patients’ annual out-of-pocket costs on Part D drugs, lowering the beneficiary out-of-pocket threshold, streamlining the Part D benefit to eliminate the “coverage gap” phase, and replacing the manufacturer coverage gap discount program with a new manufacturer discount program – the Medicare Part D Manufacturer Discount Program – that provides discounts throughout the post-deductible benefit phases. CMS has established “maximum fair prices” for selected drugs for coverage year 2026 and select drugs for negotiation for coverage year 2027. Additionally, there are several ongoing legal challenges to the IRA’s drug price negotiation program, and we cannot predict the outcome of these cases or the impact they could have on implementation of the law. The impact of the IRA on research and development, the pharmaceutical supply chain and other aspects of our business and industry remains uncertain. Over time, provisions of the IRA could increase our government discount and rebate liabilities, reduce the revenues we may eventually be able to collect from sales of our products as well as present potential challenges for payor negotiations and formulary access.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2022, former President Biden issued executive order 14087 calling on the Secretary to consider whether to select for testing by the CMS innovation center new health care payment and delivery models that would lower drug costs and promote access to innovative drug therapies for beneficiaries enrolled in the Medicare and Medicaid programs, including models that may lead to lower cost-sharing for commonly used drugs and support value-based payment that promotes high-quality care. In response, the CMS innovation center released a report in February 2023, identifying three selected models: Medicare High-Value Drug Model, the Cell &amp; Gene Therapy Access Model, and the Accelerating Clinical Evidence Model. However, within his initial days in office, President Trump issued an executive order rescinding former President Biden’s executive order 14087, thereby cancelling the Medicare High-Value Drug Model and the Accelerating Clinical Evidence Model. HHS has indicated, however, that the Cell &amp; Gene Therapy Access Model will continue as planned.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Trump Administration may pursue new or different drug pricing, trade, social, and other policy objectives from prior administrations, which introduces further uncertainty as to how future legislative or regulatory changes may impact our business. For example, President Trump took executive action to end diversity, equity, and inclusion initiatives among public-sector contractors and grantees. Additionally, in February 2025, the Department of Health and Human Services (“HHS”) announced that it is rescinding agency policy regarding public participation in certain kinds of HHS rulemaking, known as the Richardson Waiver. Under the Richardson Waiver, HHS waived a statutory exemption that allowed the agency to enact regulation on matters relating to “agency management or personnel or to public property, loans, grants, benefits or contracts” without engaging in notice-and-comment rulemaking, except as otherwise required by law. Now that the Richardson Waiver has been revoked, HHS may opt not to seek public comment on regulations related to these types of matters, which may prevent us from meaningful engagement in the rulemaking process. However, the extent to which HHS will use its discretion not to provide notice-and-comment procedures or the specific topics it views as subject to the Richardson Waiver remain unknown at this time. Moreover, the Trump Administration announced plans to restructure HHS, including substantial reductions in work force. It is not clear how this restructuring will impact our business. Finally, the Trump Administration has announced broad tariffs on foreign imports, which in many cases has caused other nations to levy reciprocal tariffs on goods manufactured in the United States. It also is possible that specific tariffs on pharmaceutical products are forthcoming. These measures could impact our costs for raw materials and manufacturing as well as the market for our future products. Further, some of the Trump Administration’s policy initiatives may be subject to litigation, increasing the uncertainty of their effects on our business.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possible that Congress or the Administration may take further actions to control drug prices. Further federal, state and foreign legislative and regulatory developments are likely, and we expect these already enacted and ongoing initiatives to increase pressure on drug pricing. Reforms could have an adverse effect on anticipated revenues from product candidates and may affect our overall financial condition and ability to develop product candidates. For example, a budget resolution that passed the House of Representatives in February 2025 instructed the House Energy &amp; Commerce Committee to reduce the federal deficit by at least $880 billion over 10 years, and the majority of these cuts are expected to impact the Medicaid program and Children’s Health Insurance Program (“CHIP”). These cuts could involve reducing the scope of coverage under Medicaid and CHIP, including as it relates to prescription drug benefits.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biotherapeutic product pricing, including restrictions on pricing or reimbursement at the state government level, limitations on discounts to patients, marketing cost disclosure and transparency measures, and, in some cases, policies to encourage importation from other countries (subject to federal approval) and bulk purchasing, including the National Medicaid Pooling Initiative. In particular, the obligation to provide notices of price increases to purchasers under laws such as California’s SB-17 may influence customer ordering patterns for our product candidates, following regulatory approval, which in turn may increase the volatility of our revenues as a reflection of changes in inventory volumes. In addition, some state legislatures have established Prescription Drug Affordability Boards (“PDABs”), which under certain circumstances may conduct affordability reviews and establish upper payment limits (“UPLSs”) for drugs purchased in the state. For example, on August 4, 2023, the Colorado PDAB commenced an affordability review of five prescription drugs, including three products that are indicated to treat plaque psoriasis (ENBREL®, COSENTYX®, STELARA®). Amgen subsequently brought suit challenging the legality of the Colorado PDAB’s efforts to set a UPL for ENBREL, but that suit was dismissed without prejudice in March 2025 for lack of standing, in part because the Colorado PDAB has not yet issued UPLs impacting Amgen’s products. We cannot predict the outcome of such state PDAB affordability reviews or payment limitations or their impact on our future products. We may continue to see additional state action related to prescription drug pricing.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Packaging and Distribution in the United States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our product candidates are made available to authorized users of the Federal Supply Schedule of the General Services Administration once approved,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diversion or misuse of pharmaceutical products.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products, some of our U.S.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Development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23, 2016, the electorate in the U.K. voted in favor of leaving the European Union (commonly referred to as Brexit). Thereafter, on March 29, 2017, the country formally notified the European Union of its intention to withdraw pursuant to Article 50 of the Lisbon Treaty. The U.K. formally left the European Union on January 31, 2020. A transition period began on February 1, 2020, during which E.U. pharmaceutical law remained applicable in the U.K. However, this ended on December 31, 2020. On December 30, 2020, the U.K. and European Union signed the Trade and Cooperation Agreement, which includes an agreement on free trade between the two parties, although provides minimal provisions on medicinal products. Since that time, Great Britain operated a separate regulatory regime for medicinal products, although Northern Ireland continued to follow E.U. law. Further, on March 24, 2023, an agreement was reached by the U.K. and E.U. (the “Windsor Agreement”), relating to post-Brexit trade issues in Northern Ireland, which has applied from January 1, 2025. The Windsor Agreement seeks to simplify the supply of medicines between Great Britain and Northern Ireland and means the E.U. legislation does not apply in all cases in Northern Ireland. Since the regulatory framework in the U.K. covering the quality, safety and efficacy of pharmaceutical products, clinical trials, marketing authorizations, commercial sales, and distribution of pharmaceutical products is derived from E.U. Directives and Regulations, Brexit could materially impact the future regulatory regime which applies to products and the approval of product candidates in the U.K., as the U.K. legislation now has the potential to diverge from E.U. legislation. This continues to impact regulatory requirements for medicinal products and devices in the U.K. The MHRA has published detailed guidance for industry and organizations on the positions in the U.K., and continues to update them as the U.K.’s regulatory position on medicinal products and medical devices evolves. There are also a number of ongoing consultations on the future legislation in the U.K.</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EEA, which is comprised of the Member States of the European Union plus Norway, Iceland and Liechtenstein, and in the U.K., our future products also may be subject to extensive regulatory requirements. As in the U.S., medicinal products can be marketed only if a marketing authorization from the relevant competent authority has been obtained.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Similar to the U.S., the various phases of preclinical and clinical research in the EEA and U.K. are subject to significant regulatory controls.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E.U. clinical trials legislation underwent a transition process due to the application of the new Clinical Trials Regulation (E.U.) No 536/2014 (the “Regulation”), which is mainly aimed at harmonizing and streamlining clinical trial authorization, simplifying adverse-event reporting procedures, improving the supervision of clinical trials and increasing their transparency. In April 2014, the E.U. adopted the Regulation, which started to apply on January 31, 2022 and replaced the previous Clinical Trials Directive 2001/20/EC (the “Directive”). Specifically, the new Regulation, which is directly applicable in all Member States without the need for E.U. Member States to transpose it into national law, aims at simplifying and streamlining the approval of clinical trials in the E.U. For instance, the new Regulation provides for a streamlined application procedure via a single entry point and strictly defined deadlines for the assessment of clinical trial applications. It also provides for increased transparency and proactive publication of clinical trial documents and results, subject to certain exceptions and derogations.</w:t>
      </w:r>
    </w:p>
    <w:p>
      <w:pPr>
        <w:sectPr>
          <w:pgSz w:w="11900" w:h="16838" w:orient="portrait"/>
          <w:cols w:equalWidth="0" w:num="1">
            <w:col w:w="11240"/>
          </w:cols>
          <w:pgMar w:left="320" w:top="116"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Brexit, this Regulation is not applicable in the U.K., and the national legislation put in place to implement the Directive continues to apply to trials conducted in the U.K., although a consultation is ongoing in relation to future changes.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Marketing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Much like the federal Anti-Kickback Statue prohibition in the U.S., the provision of benefits or advantages to physicians and healthcare organizations to induce or encourage the prescription, recommendation, endorsement, purchase, supply, order, administration or use of medicinal products is also prohibited in the EEA and U.K. E.U. Directive 2001/83/EC, which is the Directive governing medicinal products for human use, as implemented in the relevant Member State and the U.K., the national anti-bribery laws of the European Union Member States, and the Bribery Act 2010 in the U.K., as well as the industry Codes of Practice that are based on the European Federation of Pharmaceutical Industries and Associations (EFPIA) Code of Practice, collectively prohibit the provision of benefits or advantages to induce or reward improper performance. Infringement of these laws could result in substantial fines and imprisonment. E.U. Directive 2001/83/EC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national laws of the E.U. Member States, as well as in the U.K. Human Medicines Regulations 2012 and so remains applicable in the U.K. despite its departure from the E.U. Promotion of prescription-only medicinal products to an audience other than healthcare professionals is prohibited in the EEA and the U.K.</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Depending on the applicable national rules in the E.U. Member States and the U.K., payments and other transfers of value made to physicians, physician associations, medical students, healthcare organizations, patient organizations and other stakeholders in the E.U. Member States, the U.K. and Member States of the EEA must be publicly disclosed. Moreover, agreements with physicians often must be the subject of prior notification and approval by the physician’s employer, his or her competent professional organization and the regulatory authorities of the individual country. These requirements are provided in the national laws, industry codes or professional codes of conduct, applicable in the relevant country. Failure to comply with these requirements could result in reputational risk, public reprimands, administrative penalties, fines or imprisonment.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Review and Approval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EEA, medicinal products can only be commercialized after obtaining a marketing authorization (“MA”). There are two main types of marketing authorizations for innovative medicinal products, which, however, are based on largely identical regulatory rules, requirements and timelines, including the requirements concerning the presentation and content of the application for marketing authorization.</w:t>
      </w:r>
    </w:p>
    <w:p>
      <w:pPr>
        <w:spacing w:after="0" w:line="176" w:lineRule="exact"/>
        <w:rPr>
          <w:sz w:val="20"/>
          <w:szCs w:val="20"/>
          <w:color w:val="auto"/>
        </w:rPr>
      </w:pPr>
    </w:p>
    <w:p>
      <w:pPr>
        <w:jc w:val="both"/>
        <w:ind w:left="980" w:hanging="324"/>
        <w:spacing w:after="0" w:line="254"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centralized MA is issued by the European Commission through the centralized procedure, based on the opinion of the Committee for Medicinal Products for Human Use (the “CHMP”), of the EMA, and is valid throughout the entire territory of the EEA. The centralized procedure is mandatory for certain types of products, such as biotechnology medicinal products,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69" w:lineRule="auto"/>
        <w:tabs>
          <w:tab w:leader="none" w:pos="9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MAs, which are issued by the competent authorities of the Member States of the EEA and only cover their respective territory, are available for products not falling within the mandatory scope of the centralized procedure. If a product is to be authorized in more than one Member State, the assessment procedure is coordinated between the relevant E.U. Member States. Where a product has already been authorized for marketing in a Member State of the EEA, the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(the “RMS”). The competent authority of the RMS coordinates the preparation of a draft assessment report, a draft summary of the product characteristics (the “SmPC”), and a draft of the labeling and package leaflet, which are sent to the other Member States (referred to as the Concerned Member States) for their final approval. If the Concerned Member States raise no objections, based on a potential serious risk to public health, to the assessment, SmPC, labeling, or packaging circulated by the RMS, the coordinated procedures is closed, and the product is subsequently granted a national MA in all the Member States (i.e., in the RMS and the Concerned Member States).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above-described procedures, during the assessment of the documents submitted in the MAA and before granting the MA, the EMA or the competent authorities of the Member States of the EEA make an assessment of the risk-benefit balance of the product on the basis of scientific criteria concerning its quality, safety and efficacy. The centralised MAs are granted by the European Commission, where the national MAs are granted by the competent authorities of the Member States of the EEA.</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Now that the U.K. has left the European Union, and following the changes introduced by the Windsor Agreement, the countries of the U.K. are no longer covered by centralized MAs. On January 1, 2024, the International Recognition Procedure (“IRP”) was introduced, whereby the Medicines and Healthcare products Regulatory Agency (the “MHRA”), the U.K. medicines regulator, may rely on a decision taken by other international regulators, including the European Commission and the U.S. FDA, in order to more quickly grant a new MA valid in Great Britain or the U.K. A separate application will, however, still be required and the MHRA has the right to undertake its own assessment of the dossier. There are two such routes, allowing recognition in a 60-day or 110-day timelines. The IRP is in addition to the MHRA’s national procedures, including the shortened 150-day timetable.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Data Protection and Market Exclusivity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EEA and U.K., innovative medicinal products, approved on the basis of a full dossier of preclinical and clinical data as part of the MAA, qualify for eight years of data protection upon marketing authorization and an additional two years of market exclusivity. The data protection, if granted, prevents generic or biosimilar applicants from referencing the innovator’s preclinical and clinical trial data contained in the dossier of the reference innovative product when applying for a generic or biosimilar MA in the EEA/U.K., for a period of eight years from the date of authorization of the reference product.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ten-year period can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protection, however, another company may market another version of the product if such company obtained a MA based on a marketing authorization application with a complete independent data package of pharmaceutical tests, preclinical tests and clinical trials (i.e., without cross-referencing to the data within the reference innovative product).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Orphan Designation and Exclusivity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EEA, the European Commission, based on the scientific assessment from the EMA’s Committee for Orphan Medicinal Products, grants orphan drug designation to promote the development of products that are intended for the diagnosis, prevention or treatment of life-threatening or chronically debilitating conditions and either (i) such condition affects not more than five in 10,000 persons in the EEA, or (ii) it is unlikely that the development of the medicine would generate sufficient return to justify the necessary investment in its development. In either case, the applicant must also demonstrate that no satisfactory method of diagnosis, prevention or treatment has been authorized (or, if a method exists, the product would be a significant benefit to those affected compared to the product available).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EEA, orphan drug designation entitles a party to benefits such as scientific advice (protocol assistance) and financial incentives such as reduction of fees or fee waivers. In addition, if the criteria for orphan designation are found to be maintained at the time of authorization of the product, ten years of market exclusivity is granted following grant of an orphan marketing authorization. During this market exclusivity period, neither the EMA nor the European Commission nor any of the competent authorities in the EEA Members States can accept an application or grant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This orphan exclusivity period may be reduced to six years if the orphan drug designation criteria are no longer met, including where it is shown that the product is sufficiently profitable not to justify maintenance of market exclusivity. Market exclusivity may also be broken, so a similar product may be authorized for the same indication, in very select cases, such as if (i) it is established that a similar medicinal product is safer, more effective or otherwise clinically superior to the authorized product; (ii) the marketing authorization holder consents to the grant of marketing authorization for the similar product; or (iii) the marketing authorization holder cannot supply enough orphan medicinal product. Orphan drug designation must be requested before submitting an application for marketing approval. Orphan drug designation does not convey any advantage in, or shorten the duration of, the regulatory review and approval process and must be confirmed at the time of grant of the marketing authorization (i.e., reassessment of compliance with the orphan designation criteria).</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26, 2023, as part of the E.U. Pharmaceutical Strategy, the European Commission published a proposal for a comprehensive revision of the E.U. pharmaceutical legislation. If adopted by the European Parliament and the Council, the new legislation is likely to significantly change the regulatory regime applicable to both (i) the “non-orphan” data protection and market exclusivity regime described in the previous section; and (ii) the orphan exclusivities. Subject to the outcome of the ongoing legislative process in the European Parliament and the Council, the revisions may potentially reduce/modulate the rewards that could be granted to both non-orphan and orphan medicinal products. In addition, the proposal envisages changes to the concept of unmet medical need and considers introducing novel rewards for orphan medical products addressing high unmet medical need. The adoption of the new legislation is not expected before the end of 2025 at the earliest and it will start to apply 18 months after the entry in force.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Brexit, a separate process for orphan drug designation applies in the U.K. There is no pre-marketing authorization orphan designation step required (as there is in the EEA), and the application for orphan designation will be reviewed by the MHRA at the time of the marketing authorization application. The criteria are the same as in the EEA, save that they apply to the U.K. only (e.g., there must be no satisfactory method of diagnosis, prevention or treatment of the condition concerned in the U.K.). Following the application of the Windsor Agreement on January 1, 2025, orphan products cover the whole of the U.K.</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Pediatric Investigation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EEA and U.K., MAAs for new medicinal products have to include the results of studies conducted in the pediatric population, in compliance with a pediatric investigation plan (a “PIP”), agreed with the EMA’s Pediatric Committee (a “PDCO”) or MHRA as relevant. The PIP sets out the timing and measures proposed to generate data to support a pediatric indication of the drug for which marketing authorization is being sought. The PDCO/MHRA can grant a deferral of the obligation to implement some or all of the measures of the PIP until there are sufficient data to demonstrate the efficacy and safety of the product in adults. Further, the obligation to provide pediatric clinical trial data can be waived by the PDCO/MHRA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 marketing authorization is obtained and trial results are included in the product information, even when negative, and the product is approved in all Member States, non-orphan products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noted above, the upcoming legislative reforms in the E.U., which are part of the new E.U. Pharmaceutical Strategy may, potentially result in a reduction of the above pediatric rewards and imposition of additional requirements for grant of rewards.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Data Protection Regime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processing of personal data, including health data, in the EEA is governed by the General Data Protection Regulation (the “GDPR”), which became effective May 25, 2018. The GDPR applies to any company established in the EEA and to companies established outside the EEA that process personal data in connection with the offering of goods or services to data subjects in the European Union or EEA or the monitoring of the behavior of data subjects in the European Union or EEA. The GDPR enhances data protection obligations for data controllers of personal data, including inter alia stringent requirements relating to lawful and legitimate basis and purposes for the processing of personal data, the consent of data subjects, expanded disclosures about how personal data is used, requirements to conduct privacy impact assessments for “high risk” processing, limitations on retention of personal data, appointment of a data protection officers, conclusion of data processing agreements, mandatory data breach notification and “privacy by design” requirements, and creates direct obligations on service providers acting as data processors. The GDPR also imposes strict rules on the transfer of personal data outside of the EEA to countries that do not ensure an adequate level of protection, like the U.S. In the past, one such data transfer mechanism was the E.U.-U.S. Privacy Shield, but the Privacy Shield was invalidated for international transfers of personal data in July 2020 by the Court of Justice of the European Union (“CJEU”). In July 2023, the U.S. and E.U. implemented the E.U.-U.S. Data Privacy Framework (“DPF”) replacing the invalidated Privacy Shield. Companies can now use this new mechanism to transfer personal data from the E.U. to the U.S. and from Switzerland to the U.S. The U.K. Extension to the E.U.-U.S. Data Privacy Framework (“Data Bridge”) entered into force in October 2023, allowing certifying entities to transfer personal data from the U.K. to the U.S. At the moment it is unclear whether the anticipated legal challenges against the DPF, which may be similar to the challenge that led to the invalidation of the Privacy Shield, would be successful. It is also unclear if changes introduced in the U.S. by the Trump Administration will lead the European Commission to reconsider the DPF. Related questions were raised in the European Parliament in the beginning of 2025.</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2020, the CJEU upheld the validity of standard contractual clauses (“SCCs”) as a legal mechanism to transfer personal data out of the EEA to jurisdictions that the European Commission has not found to provide an adequate level of protection and in July 2021, the European Commission adopted new SCCs. Even so, companies relying on SCCs must, subject to additional guidance from regulators in the EEA and the U.K., regularly evaluate and implement supplementary measures that provide privacy protections additional to those provided under SCCs.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use of the new SCCs may increase the legal risks and liabilities under EEA privacy, data protection and information security laws. Given that, at present, there are few, if any, viable alternatives to the SCCs and the DPF, any transfers by us or our vendors of personal information from the EEA to the U.S. may not comply with the EEA data protection laws, which may increase our exposure to the GDPR’s heightened sanctions for violations of its cross-border data transfer restrictions and may prohibit our transfer of EEA personal information outside of the EEA (including clinical trial data), and may adversely impact our operations and product development.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competent authorities and courts in a number of E.U. Member States continue to closely scrutinize and question the GDPR compliance of processing of personal data by U.S.-based entities or entities with links to U.S.-based entities, independently of whether personal data is actually transferred outside the EEA. 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further to the U.K.’s exit from the European Union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European Union’s data protection regime. Non-compliance with the U.K. GDPR may result in monetary penalties of up to £17.5 million or 4% of worldwide revenue, whichever is higher.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adequacy decision will automatically expire in June 2025 unless the European Commission renews or extends it and may be modified or unilaterally revoked in the interim at any point, and if this occurs it could lead to additional costs and increase our overall risk exposure. On March 18, 2025, the European Commission proposed to extend its adequacy decision in favor of the U.K. for an additional six-month period. This would allow transfers of personal data from the E.U. to the U.K. to continue until December 27, 2025 and is intended to allow time for the legislative process to conclude in the U.K. Once this process is concluded, the European Commission will assess the new U.K. legal framework and decide on its adequacy. In the meantime, the U.K. data protection rules that were found adequate in June 2021 remain in place and continue to apply to data transferred from the E.U.</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and the U.S.,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and operating restrictions.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of the U.S., we must dedicate additional resources to comply with numerous laws and regulations in each jurisdiction in which we plan to operate. The U.S.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Further, other anti-corruption laws, such as the U.K. Bribery Act, are broader and can regulate payments to non-governmental entities.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 candidates outside of the U.S., which could limit our growth potential and increase our development costs.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Successful commercialization of new drug products depends in part on the extent to which reimbursement for those drug products will be available from government programs, such as Medicare and Medicaid, private health insurers and other organizations. Government authorities and third-party payors, such as private health insurers and health maintenance organizations, decide which drug products they will pay for and establish reimbursement levels. The availability and extent of reimbursement by governmental and private payors is essential for most patients to be able to afford a drug product. Sales of drug products depend substantially, both domestically and abroad, on the extent to which the costs of drugs products are covered or paid for by the federal or national government as well as commercial managed care organizations, pharmacy benefit managers and similar healthcare management organizations.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and efforts of third-party payors to contain or reduce health care costs may adversely affect our ability to establish or maintain appropriate prices for our product candidates following regulatory approval. Such efforts include the use of accumulator adjustment programs that do not consider amounts paid by pharmaceutical copay assistance programs as counting towards a patient’s deductible or other out-of-pocket costs. Under new rules promulgated by CMS that would have taken effect January 1, 2023, such accumulator adjustment (or similar) programs could affect the amount of rebates owed by manufacturers under the Medicaid Drug Rebate Program or affect our ability to offer various forms of patient support, including copay assistance. However, this regulation was struck down in Federal court in May 2022. Additionally, there was litigation challenging CMS’ co-pay accumulator policies for non-grandfathered health plans. On September 29, 2023, a federal district court vacated provisions of the 2021 Notice of Benefit and Payment Parameter (“NBPP”) final rule that provided health plans with discretion whether to include manufacturer assistance toward the annual cost-sharing limit. Further, on December 22, 2023, the district court clarified that the effect of the vacatur is to reinstate the 2020 NBPP final rule, which barred the use of accumulators for brand drugs without generics. Both parties initially appealed, and subsequently withdrew their appeals. In its 2025 NBPP final rule, CMS did not address its co-pay accumulator policy and has not issued other guidance explaining its interpretation of the court’s ruling, appearing to allow the 2020 policy to remain in effect. Although CMS declined in the 2026 NBPP proposed rule to propose changes to its existing policies regarding the impact of manufacturer support on enrollee cost-sharing limits, the agency announced an intention for future rulemaking on this topic, without committing to a timeline. At the same time, however, certain states have passed laws prohibiting third-party payors from utilizing accumulator programs.</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Government authorities and third-party payors also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U.S. Other countries allow companies to fix their own prices for drug products, but monitor and control company profits. Accordingly, in markets outside the U.S., the acquisition costs and reimbursement for drug products may be lower than within the 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U.S., the decisions about reimbursement for new drug products under the Medicare program are made by CMS, an agency within HHS. CMS determines coverage standards for products reimbursed by Medicare, and private payors often adopt coverage standards established by CMS for the commercial marketplace. However, no uniform policy of coverage and reimbursement for drug products exists among third-party payors and coverage and reimbursement levels for drug products can differ significantly from payor to payor.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Third-party payors may limit coverage to specific products on an approved list or formulary, which might not include all of the FDA-approved products for a particular indication. Also, third-party payors may refuse to include a particular branded drug on their formularies or otherwise restrict patient access to a branded drug when a less costly generic equivalent or another alternative is available. Third-party payors are increasingly challenging the prices charged for medical products and services, examining the medical necessity and reviewing the cost-effectiveness of medical products and services and imposing controls to manage costs.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(the “Medicare Modernization Act”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While all Medicare drug plans must give at least a standard level of coverage set by Medicare, Part D prescription drug plan sponsors are not required to pay for all covered Part D drugs (except for those selected for negotiation under the IRA as described above),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a manufacturer must enter into agreements with the Secretary of HHS to participate in the Medicaid Drug Rebate Program and the 340B drug discount program. Under the Medicaid Drug Rebate Program, manufacturers are obligated to pay rebates to the State Medicaid Programs on each unit of the manufacturer’s drugs that are reimbursed by State Medicaid Programs—both with regard to Medicaid Fee for Service and Medicaid Managed Care. Additionally, under the 340B drug discount program, manufacturers extend discounts to “covered entities” eligible to participate in the 340B program, including various hospital providers. The required 340B discount on a given product is calculated based on the average manufacturer price (“AMP”) and Medicaid rebate amounts reported and paid by the manufacturer under the Medicaid Drug Rebate Program. As of 2010, the ACA expanded the types of entities eligible to receive discounted 340B pricing, although under current law these newly eligible entities (with the exception of children’s hospitals) will not be eligible to receive discounted 340B pricing on drugs that receive an orphan designation by the FDA. As 340B drug pricing is determined based on AMP and Medicaid rebate data, revisions to the statute and regulations governing the Medicaid Drug Rebate Program may cause the required 340B discount to increase.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parameters of the 340B program are subject to uncertainty. Several drug manufacturers have commenced litigation, which remains ongoing, challenging the legality of contract pharmacy arrangements, which may affect the way in which manufacturers are required to extend the 340B Drug Discount Program prices to covered entities, including through contract pharmacies. Additionally, although HRSA historically has interpreted 340B discounts to apply only to “patients” who had their care initiated at a given 340B covered entity, a November 2023 district court ruling struck down this understanding as too narrow. Although the ruling applies only to the parties to the litigation, it introduces uncertainty as to the scope of the 340B program and may serve as a precedent for future litigation or legislation impacting the industry at large. In another ongoing case impacting the scope of the 340B program, in November 2023, various hospitals sued HRSA to challenge an agency policy requiring that “child sites” of a hospital must be included on that hospital’s most recent Medicare cost report to qualify for discounts under the program. The outcome of this litigation could increase the speed at which new locations of 340B covered entities are able to access 340B discounts. In 2024, several manufacturers announced an intention to adopt a “rebate model” that would offer covered entities 340B pricing through a rebate off a product’s list price rather than as an up-front discount. HRSA objected to the rebate model, including by threatening to terminate the manufacturers from the 340B program. Several manufacturers filed suit against HRSA, and the outcome of this litigation could impact the scope of the 340B program and the manner in which covered entities may access 340B pricing. Finally, it also is possible that Congress could consider other legislation that amends or reforms the 340B Drug Discount Program.</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American Recovery and Reinvestment Act of 2009 provides funding for the federal government to compare the effectiveness of different treatments for the same illness. The plan for the research was published in 2012 by the Department of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of the U.S., the pricing of pharmaceutical products and medical devices is subject to governmental control in many countries. For example, in the European Union and U.K.,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or the amount of profit made on those profits, and issue guidance to physicians to limit prescriptions. Efforts to control prices and utilization of pharmaceutical products and medical devices will likely continue as countries attempt to manage healthcare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we and our subsidiaries had approximately 750 full-time employees, including 693 in the U.S.</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human capital objectives include sourcing, recruiting, retaining, incentivizing and developing our existing and future employees. We believe we can achieve our human capital objectives by implementing the following approaches:</w:t>
      </w:r>
    </w:p>
    <w:p>
      <w:pPr>
        <w:spacing w:after="0" w:line="16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high-caliber talent across all levels using both a dedicated in-house talent acquisition team and top-tier executive search firms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multidisciplinary talent from a broad range of industries, including biopharmaceuticals, financial services, technology and consulting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early career development through a number of important initiatives: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robust Rotational Analyst (“RA”) program, hiring recent college graduates from top private and public institutions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PharmD Fellowship program in partnership with the UNC Eshelman School of Pharmacy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Roivant and Roivant Social Ventures’ summer internship program for current PharmD candidates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Girls Who Invest to help attract and support women investors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highly competitive short- and long-term incentives through both Roivant and Vant share-based compensation programs and meaningful performance-based cash bonuses</w:t>
      </w:r>
    </w:p>
    <w:p>
      <w:pPr>
        <w:ind w:left="980" w:hanging="324"/>
        <w:spacing w:after="0" w:line="250"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rigorous benchmarking analyses in partnership with third parties to ensure competitive compensation practices and conduct annual pay equity analyses to detect, analyze and remediate any compensation disparities where appropriate</w:t>
      </w:r>
    </w:p>
    <w:p>
      <w:pPr>
        <w:ind w:left="980" w:hanging="324"/>
        <w:spacing w:after="0" w:line="250"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company-wide training and speaker programs on topics such as unconscious bias, building trust in relationships and professional development</w:t>
      </w: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external organizations to support biopharma-related initiatives in the community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professional development stipend to each employee for use towards individual growth and development</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 unique career progression across Roivant and Vants through “Vant mobility” and offer unparalleled leadership opportunities for employees through the Vant model</w:t>
      </w:r>
    </w:p>
    <w:p>
      <w:pPr>
        <w:jc w:val="both"/>
        <w:ind w:left="980" w:hanging="324"/>
        <w:spacing w:after="0" w:line="255"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Cultivate community among our employee base through Employee Resource Groups (“ERGs”), including Women@Roivant (Roivant’s women’s employee resource group), ROI-GBIV (Roivant’s LGBTQ+ employee resource group), BIPOC (Roivant’s black, indigenous and people of color employee resource group) and Asian@Roivant (Roivant’s Asian American and Pacific Islander employee resource group)</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these specific recruitment and retention practices above, we believe the Vant model offers significant human capital advantages. Our nimble, entrepreneurial Vants operate similarly to independent biotechnology companies where each management team, comprised of world-class drug developers and clinical operators, is solely focused on their respective Vant’s mission. Our and our Vants’ equity incentive plans are designed to attract, retain and motivate selected employees, consultants and directors through the granting of share-based compensation awards to encourage focus, alignment of interests, and calculated risk-taking. As a public company, we expect to continue to hire additional personnel and to implement procedures and processes to address public company regulatory requirements and customary practices.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registered as an exempted limited company in Bermuda in 2014, under the name Valor Biotechnology Ltd. In November 2014, we changed our name to Roivant Sciences Ltd. Our principal executive offices are located at 7th Floor, 50 Broadway, London SW1H 0DB, United Kingdom. Our telephone number is +44 207 400 3347.</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web page address is https://roivant.com. Our investor relations website is located at https://investor.roivant.com/. We will make available free of charge on our investor relations website under “SEC Filings” our Annual Reports on Form 10-K, Quarterly Reports on Form 10-Q, Current Reports on Form 8-K, our directors’ and officers’ Section 16 Reports and any amendments to those reports after filing or furnishing such materials to the SEC. Additionally, the SEC maintains an internet site that contains reports, proxy and information statements and other information. The address of the SEC’s website is www.sec.gov. References to our website do not constitute incorporation by reference of the information contained on our website, and the information contained on our website is not part of this document nor any other document that we file with or furnish to the SEC.</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risks described below, together with the other information contained in this Annual Report on Form 10-K, including “Management’s Discussion and Analysis of Financial Condition and Results of Operations” and the consolidated financial statements and the related notes,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 such events were to happen, the trading shares of our common shares could decline, and you could lose all or part of your investment. Unless the context otherwise requires, references in this section to “we,” “us,” “our,” “Roivant” and the “Company” refer to Roivant Sciences Ltd. and its subsidiaries and affiliates, as the context requires.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Strategy and Financial Position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relatively limited operating history and the inherent uncertainties and risks involved in biopharmaceutical product development and commercialization may make it difficult for us to execute on our business model and for you to assess our future prospects.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and healthcare technology company with a relatively limited operating history upon which you can evaluate our business and prospects. We were formed in April 2014, and our operations to date have primarily been limited to acquiring or in-licensing product candidates, pursuing the clinical development and commercialization of those product candidates, managing and operating our subsidiaries, which we refer to as “Vants,” financing activities, efforts to discover new product candidates and the creation or acquisition of healthcare technology companies and products. Following the acquisition of our subsidiary Dermavant by Organon (the “Dermavant Transaction”), completed in October 2024, we no longer have a commercial-stage product and we do not expect to generate product revenues from the commercial sale of our product candidates for the foreseeable future. Drug development is an inherently uncertain undertaking that involves significant upfront investments and a substantial degree of risk. If we do not successfully address and manage these risks, our business and prospects will suffer.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ability to execute on our business model, successfully develop and commercialize product candidates and eventually generate revenues from the sales of our product candidates following regulatory approvals depends on a number of factors, including our ability to:</w:t>
      </w:r>
    </w:p>
    <w:p>
      <w:pPr>
        <w:spacing w:after="0" w:line="162"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progress and complete our ongoing and future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consummate new acquisition or in-licensing opportunities, and then advance the acquired or in-licensed product candidates through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approvals for our current and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commercial sales of our product candidates following regulatory approvals, whether alone or in collaboration with others, including establishing sales, marketing and distribution systems;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acceptable prices for our product candidates following regulatory approvals and obtain coverage and adequate reimbursement from third-party payors;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following regulatory approvals in the medical community and with third-party payors and consumers;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licenses or agreements;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 including intellectual property obtained through license agreements;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benefits of our strategic partnerships and other collaborations, including the Dermavant Transaction;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experienced management teams and qualified personnel to support our ongoing clinical development efforts, including at existing and newly-formed Vants, and successfully prepare for the commercialization of our product candidates following regulatory approvals;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maintain relationships with third-party suppliers and manufacturers and have commercial quantities of product candidates, following regulatory approvals, manufactured at acceptable cost and quality levels and in compliance with FDA and other regulatory requirements;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funds when needed and on terms acceptable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grow our healthcare technology Vants and market the products and services offered by those Vants;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 candidates;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meet the requirements of being a public company, including requirements under the Sarbanes-Oxley Act of 2002 (“SOX”) and continue to protect our business operations and systems from cybersecurity threats.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and commercialization, we are unable to predict when and if our product candidates will achieve various milestones in their clinical development, including marketing approval from the FDA or other regulatory authorities, the timing or amount of increased expenses related to these activities or when we will be able to generate revenues from the sale of those product candidates following regulatory approvals or achieve or maintain profitability. Our expenses could increase beyond expectations if we are required by the FDA or other regulatory authorities to perform studies or clinical trials in addition to those that are currently anticipated or to otherwise provide data beyond that which we currently believe is necessary to support an application for marketing approval in the U.S. or another jurisdiction, or if there are any delays in any of our current or future clinical trials or the development of our product candidates. Our inability to successfully execute on the objectives described herein would have a material adverse effect on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acquire or in-license new product candidates, and newly acquired or in-licensed product candidates may not perform as expected in clinical trials or be successful in eventually achieving marketing approvals.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successfully identify new product candidates, generally through acquisitions or in-licensing transactions. Our acquisition and in-licensing efforts focus on identifying assets in development by third parties across a diverse range of therapeutic areas that, in our view, are underserved or undervalued. Once identified, we typically seek to in-license these assets from partners for low or no upfront payment, with future royalty or milestone payments to the licensor tied to the successful achievement of pre-specified development or commercialization benchmarks. From time to time, we also use joint venture structures for our Vants, where the licensor receives a minority equity ownership stake in the Vant formed around an in-licensed asset. Certain potential licensors may be unwilling or unable to pursue these types of transaction structures, which could have the effect of limiting the number of available in-licensing candidates or make us a less attractive partner for a given asset, relative to other potential acquirors.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the acquisition or in-licensing, our strategy often entails designing low-cost studies for a product candidate that result in a quick “go/no-go” decision on whether or how to proceed with future development for a given asset. In the event a product candidate fails to demonstrate a meaningful clinical effect or presents potential safety or tolerability issues in these early-stage studies, we may decide to discontinue development of the product candidate. In these cases, we generally will be unable to recoup any of the expenses associated with the acquisition or in-licensing of the product candidate or the costs associated with the studies. We may decide to proceed with the development of a product candidate on the basis of that study and later determine that the more costly and time intensive trials required for regulatory approvals do not support the initial value the product candidate was thought to hold or demonstrate the product profile required for a marketing approval. Even if a product candidate does prove to be valuable or successful in receiving marketing approval, its value may be less than we anticipated at the time of the investment, including after payments of applicable royalty and milestone payments to the licensor, and we may not be able to recover the investment we made in developing the product candidate.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face significant competition for attractive investment opportunities. A number of companies compete with us for such opportunities, some of which may possess greater financial or technical resources. If we are unable to identify a sufficient number of potential product candidates for acquisition or in-licensing, or if the product candidates that we identify do not prove to be as valuable as anticipated, we will not be able to successfully develop or receive marketing approval for those product candidates, and our business and results of operations may suffer materially as a result. Any such failure to in-license or acquire new product candidates from third parties, or the failure of those product candidates to succeed in clinical trials and eventually receive marketing approval, would have a material adverse effect on our business, financial condition, results of operations and prospects.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likely incur significant operating losses for the foreseeable future and may never achieve sustained profitability.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 product candidate will fail to gain regulatory approval or become commercially viable. Following the Dermavant Transaction we do not have any product candidates that have received marketing approval anywhere in the world and we do not expect to generate product revenues from the commercial sale of our product candidates in the near term. As a result, we cannot estimate with precision the extent of our future losses. Since inception, we have incurred significant losses and negative cash flows from operations. As of March 31, 2025, we had cash, cash equivalents and marketable securities of approximately $4.9 billion and retained earnings of approximately $116.1 million.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never be able to successfully develop, achieve regulatory approvals for or commercialize our product candidates. Even if approved, our product candidates may not generate meaningful product revenues or enable us to achieve or maintain profitability. We expect to incur substantial operating losses for the foreseeable future, through the projected commercialization of our product candidates. Our ability to generate meaningful product revenues and achieve and sustain profitability depends on our ability to complete the development of our product candidates, obtain necessary regulatory approvals for our product candidates and manufacture and successfully market our product candidates alone or in collaboration with others. Revenues from the sale of any product candidate for which regulatory approval is obtained will depend, in part, upon the size of the markets in the territories for which we may gain regulatory approval, the accepted price for the product candidate, the ability to obtain reimbursement at any price, the strength and term of patent exclusivity for the product candidate and the overall competitive landscape. Even if we achieve profitability from product revenues in the future, we may not be able to sustain profitability in subsequent periods. Our failure to achieve and sustain profitability could depress the market value of our company and impair our ability to raise capital, expand our business and pipeline and market any product candidates following regulatory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allocation of capital and personnel across our businesses.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we have finite financial and management resources, we must make challenging decisions regarding the allocation of capital and personnel across our businesses. We face certain risks associated with these decisions and may fail to capitalize on viable commercial product candidates or profitable market opportunities as a result. For example, we may decide not to pursue a particular in-licensing or acquisition opportunity, or a potential target indication for a product candidate, that later proves to have greater commercial potential than our current and planned development programs and product candidates. Similarly, decisions to delay or terminate certain programs may subsequently also prove to be suboptimal and could cause us to miss valuable opportunities. In addition, our management’s attention to one product candidate or target indication may divert their attention from another opportunity or indication that ultimately might have proven more successful. If we do not accurately evaluate the commercial potential or target market for a particular product candidate or indication, or misinterpret trends in the biopharmaceutical industry more generally, we may relinquish valuable rights to a product candidate through collaboration, licensing or other royalty arrangements, or fail to pursue a target indication, which would have been more advantageous, and our business, financial condition, results of operations and growth prospects could be materially adversely affected. In addition, our spending on current and future research and development programs and other future product candidates may not yield any commercially viable future product candidates.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pursue additional in-licenses or acquisitions of product candidates or programs, which entail additional risk to us. Identifying, selecting and acquiring promising product candidates requires substantial technical, financial, legal and human resources expertise. Our efforts may not result in the actual acquisition or in-license of a successful product candidate, potentially resulting in a diversion of our management’s time and the expenditure of our resources with no resulting benefit. If we are unable to identify programs that ultimately result in approved products, we may spend material amounts of our capital and other resources evaluating, acquiring and developing product candidates that ultimately do not provide a return on our investment, which would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Vant structure.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product candidates are developed at our Vants, which operate similarly to independent biopharmaceutical companies with their own management teams and equity incentive structures. While we believe that there are significant competitive advantages to this structure, as compared to traditional pharmaceutical companies or smaller biopharma companies, the Vant structure also poses certain risks for our business.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Operating the Vants independently, rather than under a centralized, consolidated management team, may result in increased costs at Roivant and the Vants, as certain functions or processes, including sales and marketing, clinical and nonclinical personnel, business development, finance, accounting, human resources and legal functions, are replicated at Roivant and at multiple Vants. There may also be certain start-up costs associated with the establishment of a new Vant or integration of a newly acquired business into a Vant, which are greater under the Vant model than they would be under a centralized model. The use of the Vant model may also entail increased costs for us, including the time and expenses associated with hiring Vant CEOs and management teams, overseeing Vant equity incentive arrangements and managing compliance-related risks, including the internal controls, accounting systems and other policies and procedures necessary for us to operate as a public company. We may also be exposed to increased “key employee” risks, in the event a Vant CEO were to depart, including the loss of other senior Vant personnel, potentially resulting in adverse impacts to commercialization or development work at the Vant. These increased expenses, complexities and other challenges may make using and scaling the Vant model more challenging and costly than it would be for a traditional pharmaceutical company to both operate and expand the number of product candidates under development, which could have a material adverse effect on our consolidated business, financial condition, results of operations or prospects. This decentralized model could also make compliance with applicable laws and regulations more challenging to monitor and may expose us to increased costs that could, in turn, harm our business, financial condition, results of operations or prospects.</w:t>
      </w:r>
    </w:p>
    <w:p>
      <w:pPr>
        <w:sectPr>
          <w:pgSz w:w="11900" w:h="16838" w:orient="portrait"/>
          <w:cols w:equalWidth="0" w:num="1">
            <w:col w:w="11240"/>
          </w:cols>
          <w:pgMar w:left="320" w:top="116"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single or limited number of the Vants may, now or in the future, comprise a large proportion of our value. Similarly, in the future, a large proportion of our consolidated revenues could be derived from one or a small number of Vants. Any adverse development at a key Vant, including the loss of key members of management, the termination of a key license agreement or other loss of the intellectual property underlying a product candidate or the failure of a clinical trial for a product candidate under development at the Vant, could have a material adverse effect on our consolidated business, financial condition, results of operations or prospects.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wholly own certain of our Vants, including our publicly traded subsidiary, Immunovant. By virtue of Immunovant being a publicly traded company, our operational control of Immunovant is also limited in certain respects and certain transactions between us and Immunovant may require the prior approval of a special committee of independent directors, which we do not control. This structure could result in delays in certain financing or other transactions at Immunovant, or prevent us from taking certain actions with respect to Immunovant that we think are in our best interests as a majority shareholder of Immunovant. In addition, certain of our Vants have issued equity securities senior to our ownership interests, which dilutes our economic interest in the Vants and can in certain cases limit our operational control of the Vant.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Vants also have equity incentive plans, which can result in the dilution of our ownership interest in the Vant as the awards issued under those plans vest and are exercised. The vesting and exercise of incentive equity awards at the Vants, as well as future capital needs at the Vants – which may be financed through senior debt or equity securities or common equity – may further dilute or subordinate our ownership and economic interests in the Vants or reduce our operational control of the Vants. In addition, recipients of Vant equity awards may have economic alignment with a Vant that incentivizes them to act in ways that prioritize the success of a Vant over the success of the Company as a whole, which could adversely impact our consolidated business, financial condition, results of operations or prospects. For more information on our ownership of our Vants, see “Management’s Discussion and Analysis of Financial Condition and Results of Operations–Overview.”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manage the Vants in part through our designees who serve on the Vant boards of directors. Additionally, certain officers or employees of Roivant may from time to time serve as officers or employees of the Vants. Such service by Roivant officers or employees may take away time or focus from such individuals’ work at Roivant. Further, in their capacities as officers or directors of the Vants, those individuals may owe fiduciary duties to the Vants and their shareholders under applicable law, which may at times require them to take actions that are not directly in our interest as a shareholder. To the extent any such actions have an adverse effect on the value of our ownership interest in the Vant, it could further adversely impact our consolidated business, financial condition, results of operations or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potential future payments we may owe in connection with our product candidates.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in-licensing transactions for our product candidates typically involve zero or low upfront payments combined with milestone and royalty payments. These arrangements generally involve a payment or payments upon the achievement of certain development or regulatory milestones, including regulatory approval, and then royalty payments upon the achievement of specified levels of sales, which can extend for up to the life of a product. Some of these payments may become due before a product is generating sufficient funds to enable us to meet our obligations. If this were to occur, we would default on our payment obligations and could face penalties, delays in commercialization or development activities, the termination of a license agreement or reputational damage. Even for a product that is commercialized and generating revenue, payments could become due that are so large that the investment is not profitable or is less profitable than anticipated. For example, this could occur if at the time of the initial investment, we overestimated the value of the product and agreed to a payment schedule using these inflated estimates. If we are unable to make milestone and royalty payments related to our product candidates when due, our business and prospects could suffer and our ability to in-license future product candidates could be impaired.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acquisitions, divestitures and other strategic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 the past engaged in acquisitions, divestitures and other strategic transactions, and we may in the future pursue similar opportunities. For example, in October 2024 we completed the Dermavant Transaction, the consideration for which consisted of an upfront payment of $183.6 million and the AD Approval Milestone Payment of $75 million upon FDA approval of VTAMA for the treatment of atopic dermatitis. We received the AD Approval Milestone in January 2025. In addition, at closing, all former Dermavant equity holders, including Roivant, received the right to receive their pro rata portion of (i) milestone payments of up to $950 million for the achievements of certain tiered net sales amounts with respect to VTAMA, each less than or equal to $1 billion and (ii) tiered royalties of (x) low-to-mid single digit percentages with respect to annual net sales of VTAMA up to $1 billion and (y) 30% with respect to annual net sales of VTAMA above $1 billion. There can be no assurance that we will receive any of the future milestone or royalty payments owed in connection with the Dermavant Transaction, or that the proceeds from the Dermavant Transaction will exceed the profits that we could have generated if we had continued to own and operate Dermavant as one of our Vants. For more information on the Dermavant Transaction, please refer to Note 6, “Discontinued Operations” to Roivant’s condensed consolidated financial statements included in this Annual Report on Form 10-K.</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future strategic transactions will entail numerous risks, including:</w:t>
      </w:r>
    </w:p>
    <w:p>
      <w:pPr>
        <w:spacing w:after="0" w:line="225"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divestiture or other sale or partnering transactions:</w:t>
      </w:r>
    </w:p>
    <w:p>
      <w:pPr>
        <w:spacing w:after="0" w:line="225" w:lineRule="exact"/>
        <w:rPr>
          <w:rFonts w:ascii="Times New Roman" w:cs="Times New Roman" w:eastAsia="Times New Roman" w:hAnsi="Times New Roman"/>
          <w:sz w:val="18"/>
          <w:szCs w:val="18"/>
          <w:color w:val="auto"/>
        </w:rPr>
      </w:pPr>
    </w:p>
    <w:p>
      <w:pPr>
        <w:ind w:left="1380" w:hanging="319"/>
        <w:spacing w:after="0" w:line="282" w:lineRule="auto"/>
        <w:tabs>
          <w:tab w:leader="none" w:pos="13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expected benefits from the transaction, including receiving milestone and royalty payments owed in connection with the transaction; and</w:t>
      </w:r>
    </w:p>
    <w:p>
      <w:pPr>
        <w:spacing w:after="0" w:line="161" w:lineRule="exact"/>
        <w:rPr>
          <w:rFonts w:ascii="Times New Roman" w:cs="Times New Roman" w:eastAsia="Times New Roman" w:hAnsi="Times New Roman"/>
          <w:sz w:val="18"/>
          <w:szCs w:val="18"/>
          <w:color w:val="auto"/>
        </w:rPr>
      </w:pPr>
    </w:p>
    <w:p>
      <w:pPr>
        <w:jc w:val="both"/>
        <w:ind w:left="1380" w:hanging="319"/>
        <w:spacing w:after="0" w:line="266" w:lineRule="auto"/>
        <w:tabs>
          <w:tab w:leader="none" w:pos="13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counterparty to any such transaction, including their ability to successfully develop and commercialize a product candidate such that milestone and royalty payments are triggered or their ability to make milestone and royalty payments when such payments are due;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 or in-licensing transactions:</w:t>
      </w:r>
    </w:p>
    <w:p>
      <w:pPr>
        <w:spacing w:after="0" w:line="225" w:lineRule="exact"/>
        <w:rPr>
          <w:rFonts w:ascii="Times New Roman" w:cs="Times New Roman" w:eastAsia="Times New Roman" w:hAnsi="Times New Roman"/>
          <w:sz w:val="18"/>
          <w:szCs w:val="18"/>
          <w:color w:val="auto"/>
        </w:rPr>
      </w:pPr>
    </w:p>
    <w:p>
      <w:pPr>
        <w:jc w:val="both"/>
        <w:ind w:left="1380" w:right="20" w:hanging="319"/>
        <w:spacing w:after="0" w:line="261" w:lineRule="auto"/>
        <w:tabs>
          <w:tab w:leader="none" w:pos="13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generally applicable to biopharmaceutical drug development, including that the acquired or in-licensed program does not generate the expected clinical outcomes, that the expected timelines for the clinical program are delayed or otherwise slower than expected, that safety or tolerability issues arise in the clinical trials or that other regulatory issues arise, including the inability to receive regulatory approvals on the expected timelines or at all;</w:t>
      </w:r>
    </w:p>
    <w:p>
      <w:pPr>
        <w:spacing w:after="0" w:line="179" w:lineRule="exact"/>
        <w:rPr>
          <w:rFonts w:ascii="Times New Roman" w:cs="Times New Roman" w:eastAsia="Times New Roman" w:hAnsi="Times New Roman"/>
          <w:sz w:val="18"/>
          <w:szCs w:val="18"/>
          <w:color w:val="auto"/>
        </w:rPr>
      </w:pPr>
    </w:p>
    <w:p>
      <w:pPr>
        <w:ind w:left="1380" w:hanging="319"/>
        <w:spacing w:after="0" w:line="282" w:lineRule="auto"/>
        <w:tabs>
          <w:tab w:leader="none" w:pos="13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following applicable regulatory approvals to generate revenues from an acquired product candidate or program sufficient to meet our objectives or offset the associated transaction and maintenance costs;</w:t>
      </w:r>
    </w:p>
    <w:p>
      <w:pPr>
        <w:spacing w:after="0" w:line="161" w:lineRule="exact"/>
        <w:rPr>
          <w:rFonts w:ascii="Times New Roman" w:cs="Times New Roman" w:eastAsia="Times New Roman" w:hAnsi="Times New Roman"/>
          <w:sz w:val="18"/>
          <w:szCs w:val="18"/>
          <w:color w:val="auto"/>
        </w:rPr>
      </w:pPr>
    </w:p>
    <w:p>
      <w:pPr>
        <w:ind w:left="1380" w:hanging="319"/>
        <w:spacing w:after="0" w:line="282" w:lineRule="auto"/>
        <w:tabs>
          <w:tab w:leader="none" w:pos="13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or integration of the operations of an acquired entity or program, including difficulties associated with integrating any new personnel; and</w:t>
      </w:r>
    </w:p>
    <w:p>
      <w:pPr>
        <w:spacing w:after="0" w:line="161" w:lineRule="exact"/>
        <w:rPr>
          <w:rFonts w:ascii="Times New Roman" w:cs="Times New Roman" w:eastAsia="Times New Roman" w:hAnsi="Times New Roman"/>
          <w:sz w:val="18"/>
          <w:szCs w:val="18"/>
          <w:color w:val="auto"/>
        </w:rPr>
      </w:pPr>
    </w:p>
    <w:p>
      <w:pPr>
        <w:ind w:left="1380" w:hanging="319"/>
        <w:spacing w:after="0" w:line="282" w:lineRule="auto"/>
        <w:tabs>
          <w:tab w:leader="none" w:pos="13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 the assumption of indebtedness or contingent liabilities or the issuance of our equity securities in connection with such a transaction, which would result in dilution to our shareholders;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existing programs and other operational matters;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and other uncertainties, including our ability to maintain key business relationships at the acquired entity, that may arise in connection with a given transaction.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integration or separation of any business that we may acquire in the future may disrupt our existing business and may be a complex, risky and costly endeavor for which we may never realize the full benefits. For any alliances or joint ventures that we enter into in the biopharmaceutical industry, we may encounter numerous difficulties in discovering, developing, manufacturing and marketing any new products or product candidates related to such businesses, which may delay or prevent us from realizing the expected benefits or enhancing our business. Divestiture transactions such as the Dermavant Transaction may adversely impact the price of our common shares, to the extent investors believe the value of the consideration received in the transaction is not equivalent to the value of the asset or program divested. Accordingly, there can be no assurance that transactions of the nature described above will be undertaken or successfully completed, and that any transaction we do complete will not have a material adverse effect on our business, results of operations,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use of our cash, cash equivalents and marketable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we had cash, cash equivalents and marketable securities of approximately $4.9 billion. Our management team has broad discretion in respect of use of our cash, cash equivalents and marketable securities. We may use all or a portion of such proceeds for one or more strategic transactions, including acquisitions of companies, asset purchases or the in-licensing of intellectual property, products, product candidates or technologies, as described above. We may not be able to find a suitable strategic transaction that we deem sufficiently attractive to pursue, and even if such a transaction is identified, may not be able to complete a strategic transaction in the future. Our ability to complete a strategic transaction may be negatively impacted by general macroeconomic and market trends and conditions, including volatility in the capital markets, and the other risks described herein.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our board of directors authorized a common share repurchase program, allowing for repurchases of common shares in an aggregate amount of up to $1.5 billion (excluding fees and expenses) (the “2024 Repurchase Program”). For the twelve months ended March 31, 2025, we repurchased approximately 128.4 million common shares for an aggregate repurchase price of approximately $1.3 billion.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timing and amount of any future repurchase authorization from our board of directors will depend on several factors, including the market price of our common shares, general business, macroeconomic and market conditions and other investment opportunities, as well as the discretion of our board of directors, or its delegees, that any such activity would be in the best interests of our shareholders and in compliance with all applicable laws and our contractual obligations. In the event that we decide to pursue further repurchases of common shares, we may be limited in our ability to repurchase our common shares by various governmental laws, rules and regulations which prevent us from purchasing our common shares during periods when we are in possession of material non-public information. We may also use our discretion to repurchase common shares from certain shareholders without offering the opportunity to all shareholders to have their common shares repurchased at that time and price. In addition, our ability to pay dividends may be limited by covenants of any existing and future outstanding indebtedness we or our subsidiaries incur.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amount of cash available to return to shareholders, if any, can vary significantly from period to period for a number of reasons, including, among other things, our results of operations, financial condition, cash requirements, contractual restrictions, applicable law and other factors that our board of directors may deem relevant. The returns of capital to shareholders may change in form, amount, value and frequency from time to time, and we cannot guarantee that any such future returns of capital will take place. The trading price of our common shares may decline, possibly materially, if we are unable to meet investor expectations with respect to the timing and total amount of future capital returns to shareholders. There is no guarantee that our significant balance of cash, cash equivalents and marketable securities will be used to increase our operating results, return capital to shareholders or enhance the value of our common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our significant holdings of cash, cash equivalents and marketable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significant holdings of cash, cash equivalents and marketable securities can be negatively affected by changes in liquidity, financial results, market and economic conditions and volatility, political risk, trade policy, including the imposition of additional tariffs, currency risk, credit risk, sovereign risk, interest rate fluctuations or other market or macroeconomic factors. Markets continue to be impacted by volatility, characterized by falling demand for a variety of goods and services, restricted credit, going concern threats to financial institutions, major multinational companies and medium and small businesses, poor liquidity, declining asset values, reduced corporate profitability, extreme volatility in credit, equity and foreign exchange markets and bankruptcies. As a result, the value and liquidity of our cash, cash equivalents and marketable securities may fluctuate substantially. Additionally, we may from time to time have balances in bank accounts that are in excess of insured deposit limits and could be subject to risks of bank failures. Therefore, although we have not incurred any significant losses on our cash, cash equivalents and marketable securities, future fluctuations in their value could result in significant losses and could have a material adverse impact on our results of operations and financial condition.</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do not have a need for additional capital under our current operating plans as a result of our current cash position, we may in the future require additional capital to fund our operations. In that case, if we fail to obtain necessary financing when needed, we may not be able to successfully acquire or in-license new product candidates, complete the development and commercialization of our product candidates following regulatory approval and continue to pursue our drug discovery efforts.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Acquiring or in-licensing, discovering, developing, commercializing and marketing biopharmaceutical product candidates is expensive and time consuming, and we expect to continue to spend substantial amounts to fund our clinical development and other research and development activities, and to commercialize our product candidates following regulatory approvals. While we do not have a near-term need for additional capital under our current operating plan as a result of our current cash position, we may in the future require additional capital to pursue these activities. We are also responsible for payments to third parties under our license and acquisition agreements, including milestone and royalty payments. Because of the inherent uncertainties in these activities – including the outcome of preclinical and clinical trials and the regulatory approval process – we cannot reasonably estimate the actual amounts necessary to successfully complete the development, regulatory approval process and commercialization of our product candidates. Our estimate as to how long we expect our existing cash, cash equivalents and marketable securities to be available to fund our operations is based on assumptions that may be proven inaccurate, and we could exhaust our available capital resources sooner than we currently expect.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to us in the future when we need it, we may be required to forego potential in-licensing or acquisition opportunities, delay, limit or terminate one or more development or discovery programs, scale back marketing efforts for our product candidates or be unable to expand operations or otherwise capitalize on business opportunities, which could materially affect our business, prospects, financial condition and results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strategy and potential for future growth relies on a number of assumptions, some or all of which may not be realized.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strategy and plans for future growth rely on a number of assumptions, including, in the case of our product candidates, assumptions related to approval and adoption of a particular therapy, incidence and prevalence of an indication, use of a product candidate versus competitor therapies and size of the addressable patient populations. Some or all of these assumptions may be incorrect due to errors or mistaken assumptions in our analysis or the inherent uncertainties in the drug development process, among other reasons. We cannot accurately predict whether, following regulatory approvals, our product candidates will achieve significant market acceptance in line with these assumptions or whether there will be a market for our product candidates that reaches the anticipated size. If any of these assumptions are incorrect or overstated, our results and future prospects will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discovery efforts may not be successful in identifying new product candidates.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drug discovery efforts are centered on our discovery Vants, including Psivant, Covant and VantAI, which employ a variety of approaches to the drug discovery process, including quantitative proteomics, induced proximity and covalency. As a company, we have relatively limited experience in drug discovery generally and with certain of the computational tools that are employed in those efforts. Our future success depends, in part, on our ability to successfully use these approaches and technologies to identify promising new product candidates and eventually advance those product candidates through preclinical studies and clinical trials. We have not yet succeeded and may not succeed in advancing any product candidates developed through these discovery efforts into clinical trials, demonstrating the efficacy and safety of such product candidates or obtaining regulatory approval thereafter. As a result, it is difficult to predict the time and cost of product candidate development from our discovery Vants and we cannot predict whether the application of these approaches will result in the development and regulatory approval of any products. In addition, many of the active drug discovery efforts at our discovery Vants are being conducted pursuant to collaboration agreements with third parties, in which the third parties are either owed milestone and royalty payments tied to the successful development and commercialization of successfully identified drug candidates, or have been granted exclusive or shared development and commercialization rights with respect to successfully identified drug candidates in exchange for upfront payments, shared expenses, and certain milestone and royalty payments owed to the discovery Vants. Any problems that we or our third-party partners experience in the future related to this platform or any of our related development programs may cause significant delays or unanticipated costs or may prevent the development of a commercially viable product. Any of these factors may prevent us from completing our preclinical studies or any clinical trials that we may initiate or commercializing any internally discovered product candidates we may develop on a timely or profitable basis, if at all. Even if successful, as a result of our collaboration agreements, our rights to commercialize any successfully discovered product candidates may be limited.</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uncertain and rapidly changing global and regional economic, political and health conditions could adversely affect our business, financial condition or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changes in global or regional economic, political and public health conditions. Various macroeconomic factors could adversely affect our business, financial condition and results of operations, including changes in inflation levels, interest rates, international trade policies and tariffs and overall economic conditions and the current and future conditions in the global financial markets, including global or regional economic instability. For example, if sustained high rates of inflation or other factors were to significantly increase our expenses, we may be unable to manage such increased expenses or pass through price increases. During a severe or prolonged economic downturn, patients may prioritize other items over certain or all of their treatments and medications, which could have a negative impact on our commercial sales. Any of the foregoing could harm our business and we cannot anticipate all of the ways in which economic climate and financial market conditions could adversely impact our business.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uncertainties resulting from political instability (including workforce uncertainty), international hostilities (including the current military conflict between Russia and Ukraine and the conflict in the Middle East), trade disputes between nations (including current trade disputes with China), a global financial crisis, wars, terrorism, and civil unrest or could adversely affect our business. In particular, given the new administration in the United States, there is currently significant uncertainty about the future relationship between the United States and various other countries, most significantly China, with respect to trade policies, tariffs, treaties, taxes and other limitations on cross-border operations. The U.S. government has and continues to make significant additional changes in U.S. trade policies and tariffs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import goods or use services from existing service providers or become unable to export or, if approved, sell our products, our business, liquidity, financial condition and results of operations would be materially and adversely affected.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outbreaks of disease (for example, COVID-19) and other unexpected public health events may cause extreme volatility in the capital and credit markets and other disruptions to our business. Business disruptions could include, among others, disruptions to our clinical development activities, including due to supply chain or distribution constraints or challenges, clinical enrollment, clinical site availability, patient accessibility and conduct of our clinical trials, as well as temporary closures of the facilities of suppliers or contract manufacturers in the biotechnology supply chain. Adverse health conditions could result in a variety of risks to our business, including our ability to raise capital when needed on acceptable terms, if at all.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or certain of our Vants’ manufacturing, laboratory research or clinical trial activities takes place in Asia. A significant disruption in that region, such as a trade war or political unrest, could materially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and certain of our Vants currently engage and expect to continue to engage in contract manufacturing, conduct clinical trials, and perform laboratory research activities outside the U.S., including in Asia. Any disruption in production or inability of contracted manufacturers in Asia to produce adequate quantities to meet our or the Vants’ needs could impair our or the Vants’ ability to operate on a day-to-day basis and to continue development of certain product candidates. In particular, trade tensions and conflict between the United States and China remain high, and could result in changes to the laws, rules, regulations and policies of the governments of the United States or China that impact the ability of U.S. biotechnology companies to partner with entities in China. For example, in April 2025 the U.S. and China implemented reciprocal tariffs on a variety of goods, including pharmaceutical products. We or certain of our Vants also conduct certain laboratory research and expect to have clinical trial sites in Asia. We are exposed to the possibility of product supply disruption, clinical trial delays and increased costs in the event of changes in governmental policies, political unrest or unstable economic conditions in Asia. Any disruption of these activities could materially and adversely affect our business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Inadequate or uncertain funding levels for the FDA, USPTO, SEC or other government agencies could hinder, delay or result in the suspension of those agencies’ operations, which could harm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pharmaceutical products can be affected by a variety of factors, including budgets and funding levels, its ability to hire and retain key personnel and accept the payment of user fees and statutory, regulatory and policy changes. Review times at the FDA have fluctuated in recent years as a result of changes in these factors. In addition, government funding of the SEC, USPTO and other government agencies on which our operations may rely or be dependent is subject to the political process, which is inherently fluid and unpredictable.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government agencies may slow the time required for new drugs to be reviewed and approved, which could adversely affect our business. For example, over the last several years the U.S. government has shut down several times and certain regulatory agencies, including the FDA, have had to furlough employees and suspend certain activities. The Trump administration’s freeze on hiring and new return-to-office policy may disrupt normal operations of federal agencies, including the FDA. If a prolonged government shutdown or other disruption occurs, it could significantly impact the ability of the FDA or other regulatory authorities to timely review and process our regulatory submissions, or to provide feedback on our clinical development plans, which could have a material adverse effect on our business.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regulatory approval process for our product candidates. Further, future government shutdowns or other disruptions to normal operations could impact our ability to access the public markets and obtain the funding necessary to properly capitalize and continue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Development of Our Product Candidates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biopharmaceutical product candidates that are in clinical development or preclinical studies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to conduct a clinical trial in the E.U. or U.K. may be submitted, a Clinical Trial Application (“CTA”). We cannot provide any assurance that we will submit an IND, NDA, CTA or other similar application for regulatory approval for our product candidates within projected timeframes or whether any such application will be accepted for review or ultimately approved by the relevant regulatory authorities.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trials and preclinical studies are very expensive, time-consuming and difficult to design and implement, in part because they are subject to rigorous regulatory requirements.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BLA or similar application. The FDA, the European Medicines Agency (“EMA”), the European Commission, the Medicines and Healthcare products Regulatory Agency (“MHRA”) or other relevant regulatory authority may also find that the benefits of any product candidate in any applicable indication do not outweigh its risks in a manner sufficient to grant regulatory approval.</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or other regulatory authorities may also not agree with the scope of our proposed investigational plan. For example, they may find that our proposed development program is not sufficient to support a marketing authorization application, or that the proposed indication is considered to be too broad. Moreover, the FDA or other regulatory authorities may also refuse or impose certain restrictions on our reliance on data supporting our clinical trial application or marketing authorization application should such data originate from studies outside of the relevant jurisdiction or be affected by regulatory non-compliance, including issues of data integrity. In the E.U., data derived from clinical trials that were conducted outside the E.U. cannot be used to support a CTA unless the clinical trial was registered on a relevant database. In each case, this could delay the clinical development and authorization timeline for a given product candidate.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Failures can occur at any stage of development, including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in the U.S. or another jurisdiction. Further, product candidates in later stages of clinical trials may fail to show the desired safety and efficacy results despite having successfully progressed through preclinical and earlier stage clinical trials. Such product candidates may exhibit safety signals in later stage clinical trials that they did not exhibit in earlier studies or trials. A number of companies in the biopharmaceutical industry have suffered significant setbacks in, or the discontinuation of, advanced clinical trials with a product candidate due to lack of efficacy or adverse safety findings, despite having promising results in earlier trials or studies. Likewise, the results of early clinical trials or preclinical studies of our product candidates may not be predictive of the results of current or future development programs. There can also be no assurance that the results of studies conducted by collaborators or other third parties with similar product candidates in similar indications will be viewed favorably or indicative of our own future trial results.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commencement and completion of clinical trials and other studies may be delayed by several factors, including:</w:t>
      </w:r>
    </w:p>
    <w:p>
      <w:pPr>
        <w:spacing w:after="0" w:line="225"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generate sufficient data to support the initiation or continuation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patients and enrolling them in clinical trials and other studies, including as a result of competing trials run by other pharmaceutical companies;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add, or delays in activating, a sufficient number of clinical trial sites;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reach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our CROs or other third parties to adhere to clinical trial agreements;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manufacture or release sufficient quantities of our product candidates or failure to obtain sufficient quantities of active comparator medications for our clinical trials, if applicable, that in each case meet our quality standards, for use in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clinical investigators or study participants to follow our clinical and other applicable protocols or applicable regulatory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subjects experiencing severe or unexpected adverse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clinical benefit or effectiveness being demonstrated during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serious adverse events in trials of the same class of agents conducted by other sponsors;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premature discontinuation of study participants from clinical trials or missing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monitor patients adequately during or after treatment;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unblinding of trial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that render continued development of a product candidate no longer reasonable or commercially attractive;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anticipated;</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right="2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impact from changes in or modifications to protocols or clinical trial design, including those that may be required by the FDA or other regulatory authorities;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regulatory authorization to commence a clinical trial or reach consensus with regulatory authorities regarding the design or implementation of our studies;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any dosing issues, including those raised by the FDA or other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of the FDA or other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IRB or EC refusing to approve, suspending, or terminating the trial at an investigational site, precluding enrollment of additional subjects, or withdrawing their approval of the trial;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issues, including the receipt of any inspectional observations on FDA’s Form-483, Warning or Untitled Letters, clinical holds or complete response letters or similar communications/objections by other regulatory authorities.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the FDA or other regulatory authorities may suspend our clinical trials in an entire country at any time, or an IRB/EC may suspend our clinical trial sites within any country, if it appears that we or our collaborators, or the principal investigator, are failing to conduct a trial in accordance with the protocol,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clinical benefit from using a product candidate, changes in governmental regulations or administrative actions, developments on trials conducted by us or our competitors for related technology that raises regulatory concerns about risk to patients of the technology broadly, or lack of adequate funding to continue the clinical trial. Therefore, we cannot predict with any certainty the schedule for commencement and completion of future clinical trials.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 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authorities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regulatory authorities, as the case may be, and may ultimately lead to the denial of marketing approval of any of our product candidates.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for our product candidates that are in clinical development, prior to our acquisition of the rights to those product candidates we had no involvement with or control over the preclinical or clinical development of those product candidates. We are therefore dependent on our licensing and other transaction partners having conducted such research and development in accordance with the applicable protocols and legal, regulatory and scientific standards, having used appropriately regulated and compliant equipment and devices during the preclinical or clinical development, having accurately reported the results of all clinical trials and other research they conducted prior to our acquisition of the rights to those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 candidates. Problems associated with the pre-acquisition development of our product candidates could result in increased costs and delays in the commercialization of our development of our product candidates, which could harm our ability to generate any future revenue from sales of our product candidates following regulatory approval.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enrolling and retaining patients in clinical trials, and clinical development activities could thereby be delayed or otherwise be adversely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and retention in our clinical trials for a variety of reasons, including:</w:t>
      </w:r>
    </w:p>
    <w:p>
      <w:pPr>
        <w:spacing w:after="0" w:line="176"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characteristics of the patient population;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 including biomarker-driven identification and certain highly-specific criteria related to stage of disease progression, which may limit the patient populations eligible for our clinical trials to a greater extent than competing clinical trials for the same indication that do not have biomarker-driven patient eligibility criteria;</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including the size of the study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trials sites, including the proximity of patients to trial 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targeting patient populations meeting our patient eligibility criteria;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and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such trials, for any reason, including the risk of higher drop-out rates if participants become infected with a virus or other infectious disease that impacts their participation in our trials.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inability to enroll and retain a sufficient number of patients for our clinical trials would result in significant delays or may require us to abandon one or more clinical trials altogether. Enrollment delays and retention challenges in our clinical trials may result in increased development costs for our product candidates, delay our ability to obtain clinical data, and jeopardize our ability to obtain marketing approval for the sale of our product candidates. For certain of our product candidates, including IMVT-1402, which target various autoimmune indications, there are limited patient pools from which to draw in order to complete our clinical trials in a timely and cost-effective manner. In addition, for certain of our early-stage development programs, there may be a limited number of sites where it is feasible to run clinical trials, making such programs particularly susceptible to delays caused by issues at those sites.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any negative results or new safety signals we may report in clinical trials of our product candidates may make it difficult or impossible to recruit and retain patients in other clinical trials we are conducting or to resume enrolling patients once a paused clinical trial has been resumed.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impracticable. In addition, we expect to rely on CROs and clinical trial sites to ensure proper and timely conduct of our future clinical trials, and, while we intend to enter into agreements governing their services, we will be limited in our ability to compel their actual performance. Any such delays in our current or future clinical trials could have a material adverse impact on our operations and financial condition and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preclinical studies and clinical trials may not support our proposed claims for our product candidates or regulatory approvals on a timely basis or at all, and the results of earlier studies and trials may not be predictive of future trial results.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Success in preclinical studies and early clinical trials does not ensure that later clinical trials will be successful, and we cannot be sure that the results of later clinical trials will replicate the results of prior preclinical studies and earlier clinical trials. For example, we cannot assure you that the reductions in IgG antibodies and favorable analyte profile observed in our Phase 1 trial of IMVT-1402 will be observed in future clinical trials, including pivotal trials necessary for regulatory approvals, or that such reductions in IgG antibodies will result in clinical benefits sufficient to demonstrate that the efficacy endpoints of the study are met. Similarly, promising interim results or other preliminary analyses do not ensure that the clinical trial as a whole will be successful and may lack statistical significance, which would further limit the reliability of such interim or preliminary data. A number of companies in the pharmaceutical industry, including biotechnology companies, have suffered significant setbacks in, or the discontinuation of, clinical trials, even after promising results were seen with their product candidates in earlier preclinical studies or clinical trials. These setbacks have been caused by, among other things, preclinical findings made while clinical trials were underway and safety or efficacy observations made in clinical trials, including previously unobserved adverse events.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Product candidates in later stage clinical trials may fail to show the desired safety and efficacy traits despite having progressed through preclinical and initial clinical trials. A future failure of a clinical trial to meet its pre-specified endpoints may cause us to abandon development of the product candidate in question. Any delay in, or termination of, our clinical trials will prevent or delay the submission of an NDA or other similar applications to the FDA or other relevant comparable non-U.S. regulatory authorities and, ultimately, our ability to commercialize our product candidates following regulatory approval, and generate product revenues. Even if our clinical trials are completed as planned, we cannot be certain that their results will support our claims for differentiation or the effectiveness or safety of our product candidates. The FDA and other regulatory authorities, including the European Commission, the EMA and the MHRA, have substantial discretion in the review and approval process and may disagree that our data support the differentiated claims we propose. In addition, only a small percentage of product candidates under development result in the submission of an NDA or other similar application to the FDA and other comparable non-U.S. regulatory authorities and even fewer are approved for commercialization.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preliminary or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clinical trials, which are based on a preliminary analysis of then-available data. These results and related findings and conclusions are subject to change following a full analysis of all data related to the particular trial.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make assumptions, estimations, calculations and conclusions as part of our analyses of data, and we may not have received or had the opportunity to fully and carefully evaluate all data. As a result, the interim, preliminary and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top-line data we previously reported. As a result, interim, preliminary and top-line data should be viewed with caution until the final data are available. Interim data are subject to the risk that one or more of the clinical outcomes may materially change as patient enrollment continues and more patient data become available. Adverse differences between interim, preliminary or top-line data and final data could significantly harm our business prospects. Further, disclosure of preliminary or interim data by us or by our competitors could result in increased volatility in the price of our shares.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other parties, including our collaborators or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and our business in general. In addition, the information we choose or are required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product candidate or our business. If the interim, preliminary or top-line data that we report differ from later, final or actual results, or if others, including our collaborators or regulatory authorities, disagree with the conclusions reached, our ability to obtain approval for and commercialize our product candidates and our business, operating results, prospects or financial condition may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manufacturing or formulation may result in additional costs or delays.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our product candidates proceed through the development process,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product candidates to perform differently and affect the results of planned clinical trials or other future clinical trials conducted with the altered materials. Such changes may also require additional testing, FDA notification or FDA approval, or another regulatory authority’s notification or approval, as applicable, since similar requirements apply in other jurisdictions. This could delay the completion, or result in the abandonment, of clinical trials, require the conduct of bridging clinical trials, the repetition of one or more clinical trials, increase clinical trial costs, delay approval of our product candidates and jeopardize our ability to commence sales and generate revenues.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and Commercialization of Our Product Candidates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approval of a new drug is an extensive, lengthy, expensive and inherently uncertain process, and the FDA or another regulator may delay, limit or deny approval. We cannot give any assurance that any of our product candidates will receive regulatory approval, which is necessary before they can be commercialized. If we are unable to obtain regulatory approval in one or more jurisdictions for any of our product candidates, our business will be substantially harmed.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for commercial sale. Following the completion of the Dermavant Transaction in October 2024, we no longer have any approved products in the U.S. or any other jurisdiction and there can be no assurance that we will be successful in obtaining regulatory approval in the U.S. and other jurisdictions for any of our product candidates. In addition, we cannot be certain that any product candidates that receive regulatory approval will be successfully commercialized.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 involved. In addition, approval policies, regulations or the type and amount of clinical data necessary to gain approval may change during the course of a product candidate’s clinical development and may vary between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Changes to the leadership at the FDA and other federal agencies under the Trump administration, as well as executive orders and other executive actions, such as a freeze on hiring, the implementation of new regulations and certain external communications, may impact our clinical development and timelines. In particular, ongoing efforts by the Trump Administration to reduce the size of the FDA and other branches of the Department of Health and Human Services (“HHS”), including through reductions in staff, may further increase the unpredictability in approval timelines for our product candidates. For example, on February 11, 2025, President Trump issued an executive order on workforce optimization, seeking to reduce the size of the federal workforce through large-scale reductions in force and by placing limitations on the number of new employee hires. Pursuant to this executive order, on March 27, 2025, HHS announced that it was initiating a restructuring of the department, including reducing the FDA’s workforce by approximately 3,500 full-time employees, which began on April 1, 2025. The termination of these employees has been preceded and accompanied by the resignation of senior leaders within the FDA, resulting in the loss of institutional knowledge and experience. Although the full impact of these events remains unclear, we expect there will be an adverse effect on the FDA’s ability to efficiently carry out its functions, including conducting inspections and timely reviewing drug and biologic product applications, and a potential impact on how it interprets and enforces its authorities.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Contributing to this uncertainty,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gave deference to regulatory agencies’ statutory interpretations in litigation against federal government agencies, including the FDA, where the law is ambiguous. This landmark decision may invite more companies and other stakeholders to bring lawsuits against the FDA to challenge longstanding decisions and policies, including the FDA’s statutory interpretations of market exclusivities and the “substantial evidence” requirements for drug approvals, which could undermine the FDA’s authority, lead to greater uncertainty about the regulatory process in the pharmaceutical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Further,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Obtaining marketing approval of a new drug is an extensive, lengthy, expensive and inherently uncertain process and the FDA or other regulatory authorities may delay, limit or deny approval of a product candidate for many reasons, including:</w:t>
      </w:r>
    </w:p>
    <w:p>
      <w:pPr>
        <w:spacing w:after="0" w:line="162" w:lineRule="exact"/>
        <w:rPr>
          <w:sz w:val="20"/>
          <w:szCs w:val="20"/>
          <w:color w:val="auto"/>
        </w:rPr>
      </w:pPr>
    </w:p>
    <w:p>
      <w:pPr>
        <w:jc w:val="both"/>
        <w:ind w:left="98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is safe and effective as a treatment for the targeted indications, and in the case of our product candidates regulated as biological products, that the product candidate is safe, pure and potent for use in its targeted indication, to the satisfaction of the FDA or other relevant regulatory authorities;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to have harmful side effects or other characteristics that indicate it is unlikely to be effective or otherwise does not meet applicable regulatory criteria;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pre-approval studies or clinical trials, which would increase costs and prolong development timelines;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or clinical significance required by the FDA or other relevant regulatory authorities for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the number, design, size, conduct or implementation of clinical trials, including the design of proposed preclinical and early clinical trials of any future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clinical trials may take actions outside of our control, or otherwise commit errors or breaches of protocols, that adversely impact the clinical trials and ability to obtain marketing approvals;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not find the data from nonclinical, preclinical studies or clinical trials sufficient to demonstrate that the clinical and other benefits of a product candidate outweigh its safety risks;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an interpretation of data or significance of results from nonclinical, preclinical studies or clinical trials or may require additional studies;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not accept data generated at clinical trial sites, including in situations where the authorities deem that the data was not generated in compliance with GCP, ethical standards or applicable data protection laws;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NDA, BLA or a similar application is referred for review by an advisory committee, the FDA or other relevant regulatory authority, as the case may be, may have difficulties scheduling an advisory committee meeting in a timely manner or the advisory committee may recommend against approval of our application or may recommend that the FDA or other relevant regulatory authorities, as the case may be, require, as a condition of approval, additional nonclinical, preclinical studies or clinical trials, limitations on approved labeling or distribution and use restrictions;</w:t>
      </w:r>
    </w:p>
    <w:p>
      <w:pPr>
        <w:spacing w:after="0" w:line="18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development of a risk evaluation and mitigation strategy (“REMS”) drug safety program or its equivalent, as a condition of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post-marketing studies and patient registries for product candidates;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find the chemistry, manufacturing and controls data insufficient to support the quality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identify deficiencies in the manufacturing processes or facilities of third-party manufacturers;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change their approval policies or adopt new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depends significantly on our ability to successfully complete clinical trials for our product candidates, obtain regulatory approval and then successfully commercialize those product candidates. Any inability to successfully initiate, conduct or complete clinical trials could result in additional costs to us or impair our ability to generate revenue. In addition, if we make manufacturing or formulation changes to our product candidates, we may be required to or we may elect to conduct additional nonclinical studies or clinical trials to bridge data obtained from our modified product candidates to data obtained from nonclinical and clinical research conducted using earlier versions of these product candidates. Clinical trial delays could also shorten any periods during which our product candidates have patent protection and may allow our competitors to bring products to market before we do, which could impair our ability to successfully commercialize product candidates and may harm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and in the case of our product candidates regulated as biological products, that the product candidate is safe, pure, and potent for use in its targeted indication. Each product candidate must demonstrate an adequate risk versus benefit profile in its intended patient population and for its intended use.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development process. The results of preclinical studies of our product candidates may not be predictive of the results of early-stage or later-stage clinical trials, and results of early-stage clinical trials of our product candidates may not be predictive of the results of later-stage clinical trials. The results of clinical trials in one set of patients or disease indications may not be predictive of those obtained in another set of patients or disease indications.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Open-label extension studies may also extend the timing and increase the cost of clinical development substantially. Product candidates in later stages of clinical trials may fail to show the desired safety and efficacy profile despite having progressed through preclinical studies and earlier stage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non-U.S. regulatory authorities for support of a marketing application, we may be required to expend significant resources, which may not be available to us, to conduct additional trials in support of potential approval of our product candidates. Even when regulatory approval is secured for a product candidate, the terms of such approval may limit the scope and use of the specific product candidate, which may also limit its commercial potential.</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delay or prevent their regulatory approval, limit the scope of any approved label or market acceptance following regulatory approval or result in significant negative consequences.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Adverse events caused by or associated with our product candidates have caused us and could, in the future, cause us, our collaborators, other reviewing entities, clinical trial sites or regulatory authorities to interrupt, delay or halt clinical trials and could result in the denial of regulatory approval. Treatment-related side effects arising from, or those perceived to arise from, our product candidates or those from other companies targeting similar diseases, could also affect patient recruitment or the ability of enrolled patients to complete their participation in our clinical trials or result in potential product liability claims. We cannot predict whether our product candidates will cause toxicities in humans that would preclude or delay successful completion of clinical trials. Additionally, these side effects may not be appropriately recognized or managed by the treating medical staff. If an unacceptable frequency or severity of adverse events or new safety signals are reported in our clinical trials for our product candidates or any future product candidates, our ability to obtain regulatory approval for such product candidates may be negatively impacted.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one or more of our product candidates receives marketing approval, and we or others, including our collaborators, later identify undesirable side effects or adverse events caused by such products, a number of potentially significant negative consequences could result, including but not limited to:</w:t>
      </w:r>
    </w:p>
    <w:p>
      <w:pPr>
        <w:spacing w:after="0" w:line="162" w:lineRule="exact"/>
        <w:rPr>
          <w:sz w:val="20"/>
          <w:szCs w:val="20"/>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revoke, suspend, vary or limit their approval of the product candidate or require a REMS (or equivalent outside the U.S.) to impose restrictions on its distribution or other risk management measures;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or require that we recall a product candidate;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being imposed on the distribution, marketing or manufacturing processes of our product candidates or any components thereof, including a “black box” warning or contraindication on product labels or communications containing warnings or other safety information about the product candidate;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 require other labeling changes of a product candidate or require field alerts or other communications to physicians, pharmacies or the public;</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distributed, conduct additional clinical trials, change the labeling of a product candidate or conduct additional post-marketing studies or surveillance;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repeat preclinical studies or clinical trials or terminate programs for a product candidate, even if other studies or trials related to the program are ongoing or have been successfully completed;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and held liable for harm caused to patients, or may be subject to fines, restitution or disgorgement of profits or revenues;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stop prescribing a product candidate;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may not be available for a product candidate;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discontinue the sale of a product candidate;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become less competitive;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substantially increase the costs of commercializing our product candidates in the future following regulatory approval, and could significantly harm our business, financial condition, results of operations and growth prospects. We cannot predict whether our product candidates will cause toxicities in humans that would preclude or lead to the revocation of regulatory approval based on nonclinical studies or clinical trials.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non-U.S. regulatory authorities are lengthy, time consuming and inherently unpredictable, and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any jurisdiction, we or our collaborators must demonstrate with substantial evidence from well-controlled clinical trials, and to the satisfaction of the FDA or comparable non-U.S. regulatory authorities, that such product candidate is safe and effective and, as applicable, pure and potent for its intended use. Results from nonclinical studies and clinical trials can be interpreted in different ways. Even if we believe the nonclinical or clinical data for a product candidate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U.S. In addition,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Seeking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approval for a product candidate in the United States does not guarantee that we will be able to or that we will make efforts to obtain approval for or commercialize our product candidates in any other jurisdiction, which would limit our ability to realize the product candidate’s full market potential.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market any of our product candidates outside of the U.S., we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sold in that jurisdiction. In some cases, the price that we intend to charge for our product candidates is also subject to approval.</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Seeking regulatory approval outside of the U.S.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regulatory approval process outside of the U.S. may include all of the risks associated with obtaining FDA approval. We do not have any product candidates approved for sale in any jurisdiction, including international markets, and we do not have significant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 candidates will be harmed.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Following regulatory approvals, our products will remain subject to extensive regulatory scrutiny.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regulatory requirements, including for manufacturing processes, post-approval clinical data, labeling, packaging, distribution, adverse event reporting, storage, recordkeeping, traceability, conduct of potential post-marketing studies and post-marketing submission requirements, export, import, advertising and promotional activities for such product, among other things, will be subject to extensive and ongoing requirements of and review by the FDA and other regulatory authorities.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healthcare professionals are free to use and prescribe drug products for off-label uses, the FDA strictly regulates manufacturers’ promotion of drug products. In particular, a product may not be promoted for uses that are not approved by the FDA as reflected in the FDA-approved labeling. A company that is found to have improperly promoted off-label uses may be subject to large civil and criminal fines, penalties and enforcement actions. If we cannot successfully manage the promotion of our approved product candidates, we could become subject to significant liability, which could materially adversely affect our business and financial condition.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be subject to limitations on the approved indicated uses for which the product may be marketed and promoted or to the conditions of approval or contain requirements for potentially costly post-marketing testing. We will be required to report certain adverse reactions and production problems, if any, to the FDA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In certain indications, regulatory approval may limit the market of a product candidate to target patient populations when patient selection biomarkers are used. In these indications, regulatory authorities may require us to run additional clinical trials prior to expanding the label for approval that includes a broader patient population.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non-biologic products or the safety, purity and potency of our biologic products, in general or in specific patient subsets. The Food and Drug Omnibus Reform Act reformed the accelerated approval pathway, such that the FDA is now required to specify conditions for post-approval study requirements and set forth procedures for the FDA to withdraw a product on an expedited basis for non-compliance with post-approval requirements. An unsuccessful post-marketing study or failure to complete such a study could result in the withdrawal of marketing approval.</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issue warning letters, impose penalties, suspend regulatory approvals or require a product recall. Any of these actions by a regulatory agency could require us to expend significant time and resources, generate negative publicity and adversely affect the value of our company.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develop product candidates for the treatment of conditions for which there is little clinical experience and, in some cases, use new endpoints or methodologies, and the FDA or other regulatory authorities may not consider the endpoints of these clinical trials to provide clinically meaningful results.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may not be any pharmacologic therapies approved to treat certain conditions that we attempt to address, and there may be few clinical trials attempted and no approved treatments for these conditions. As a result, the design and conduct of clinical trials of product candidates for the treatment of these conditions may take longer, be more costly or be more complicated to design due to the novelty of development in these conditions; and even if the FDA or other regulatory authorities do find our success criteria to be sufficiently validated and clinically meaningful, we may not achieve the pre-specified endpoint to a degree of statistical significance in our pivotal or other clinical trials. Further, even if we achieve the pre-specified criteria, our clinical trials may produce unpredictable or inconsistent results compared to the more traditional efficacy endpoints in the trial. As a result, achieving regulatory approval for such product candidates could be more uncertain, more costly and more time-consuming, which could adversely effect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or continuously improve our quality management program could have an adverse effect upon our business, subject us to regulatory actions and cause patients to lose confidence in us or our product candidates, among other negative consequences.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Quality management plays an essential role in the manufacturing of drugs or drug products, conducting clinical trials, preventing defects, improving our product candidates and services and assuring the safety and efficacy of our product candidates. We seek to maintain a robust quality management program which includes the following broad pillars of quality:</w:t>
      </w:r>
    </w:p>
    <w:p>
      <w:pPr>
        <w:spacing w:after="0" w:line="176" w:lineRule="exact"/>
        <w:rPr>
          <w:sz w:val="20"/>
          <w:szCs w:val="20"/>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assuring regulatory compliance for clinical trials, manufacturing and testing of good applicable practice (“GxP”) (e.g., GCP, GLP and GMP regulated)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providing oversight of all GxP suppliers (e.g., contract development manufacturing organizations and CROs);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an integrated, robust quality management system for clinical, manufacturing, supply chain and distribution operations;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a proactive, preventative quality culture and employee and supplier training to ensure quality.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depends on our ability to maintain and continuously improve our quality management program. A quality or safety issue may result in adverse inspection reports, warning letters, monetary sanctions, injunctions to halt manufacture and distribution of drugs or drug products, civil or criminal sanctions, costly litigation, refusal of a government to grant approvals and licenses, restrictions on operations or withdrawal, suspension or variation of existing approvals and licenses. An inability to address a quality or safety issue in an effective and timely manner may also cause negative publicity, or a loss of patient confidence in us or our product candidates, which may result in difficulty in successfully launching product candidates following regulatory approval and the loss of potential future sales, which could have an adverse effect on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Fast Track Designation or Orphan Drug Designation by the FDA or similar status granted by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sought, or may in the future seek, Breakthrough Therapy Designation, Fast Track Designation or Orphan Drug Designation for certain of our product candidates. For example, in July 2021, Immunovant was granted orphan drug designation in the U.S. by the FDA for batoclimab for the treatment of MG and, in August 2022, it received orphan drug designation from the European Commission for batoclimab for the treatment of MG. Immunovant plans to seek orphan drug designation from the FDA for IMVT-1402 where there is a medically plausible basis for IMVT-1402’s use. Immunovant may also seek orphan drug designation for IMVT-1402 for the treatment of other indications in the E.U. In addition, in September 2024, Priovant announced that brepocitinib has been granted Fast Track Designation from FDA for NIU. We may seek similar designations for other of our product candidates in the future where there is a basis for doing so.</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on potentially less efficacious control regimens. Therapies designated as breakthrough therapies by the FDA may also be eligible for priority review and accelerated approval. Designation as a breakthrough therapy is within the discretion of the FDA. Accordingly, even if we believe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a product candidate qualifies as a breakthrough therapy, the FDA may later decide that such product candidate no longer meets the conditions for qualification or decide that the time period for FDA review or approval will not be shortened.</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Recently, there has been heightened scrutiny of the accelerated approval pathway, with some stakeholders advocating for reform. The HHS Office of Inspector General has completed an assessment of how the FDA implements the accelerated approval pathway. In addition, Section 3210 of the Consolidated Appropriations Act, 2023, revised the accelerated approval pathway. Although this legislation did not change the standard for accelerated approval, it, among other things, requires the FDA to specify the conditions for required post-marketing trials, permits the FDA to require such trials to be underway prior to, or within a specific period after, approval, requires sponsors to provide reports on post-marketing trial progress no later than 180 days after approval and every 180 days thereafter until such trials are completed, makes the failure to conduct required post-marketing trials with due diligence and the failure to submit the required reports prohibited acts, and details procedures the FDA must follow to withdraw an accelerated approval on an expedited basis. We understand that FDA approval letters to products granted accelerated approval subsequent to passage of this legislation are including language that informs the sponsor that they are required to submit status reports of the progress of each requirement no later than 180 days post-approval and every 180 days thereafter and that the FDA is otherwise exercising its new authorities. The FDA has also been issuing guidance documents regarding the accelerated approval pathway. At this time, it is not clear what impact, if any, these developments may have on our business, financial condition results of operations or prospects.</w:t>
      </w:r>
    </w:p>
    <w:p>
      <w:pPr>
        <w:sectPr>
          <w:pgSz w:w="11900" w:h="16838" w:orient="portrait"/>
          <w:cols w:equalWidth="0" w:num="1">
            <w:col w:w="11240"/>
          </w:cols>
          <w:pgMar w:left="320" w:top="116"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necessarily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the U.K. and the European Economic Area (the “EEA”), may designate drugs and biologics for relatively small patient populations as orphan drugs. In the U.S., the FDA may designate a drug or biologic as an orphan drug if it is intended to treat a rare disease or condition, which is defined as a disease or condition that affects fewer than 200,000 individuals annually in the U.S. or for which there is no reasonable expectation that costs of research and development of the drug for the disease or condition can be recovered by sales of the drug in the U.S. 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orphan indication for that time period. In the U.S., in order for a product to receive orphan drug exclusivity, FDA must not have previously approved a drug considered the same drug for the same orphan indication, or the subsequent drug must be shown to be clinically superior to such a previously approved same drug. The applicable period of marketing exclusivity is seven years in the U.S. A similar market exclusivity scheme exists in the EEA. The European Commission, on the basis of a scientific opinion by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In any event, Orphan Drug Designation is granted only if there is no satisfactory method of diagnosis, prevention or treatment, or, if such a method exists, the medicine must be of significant benefit to those affected by the condition. Orphan designation in the E.U. entitles a party to certain benefits, such as scientific assistance (protocol assistance), financial incentives such as reduction of fees or fee waivers and ten years of market exclusivity following drug or biological product approval. This orphan market exclusivity period prevents the European Commission, EMA and the competent authorities of the E.U. Member States from accepting an application or granting marketing authorization for any similar medicinal product intended for the same orphan indication. The orphan market exclusivity applies in parallel to the “normal” data and market exclusivity in the EEA, whereby no company can make reference to (rely on) the innovator drug company’s preclinical and clinical data in order to obtain a marketing authorization for eight years from the date of the first approval of the innovator drug in the EEA and no generic or biosimilar drug can be marketed for ten years from the first approval of the innovator drug in the EEA; the innovator drug may qualify for an extra year’s protection. This additional one year of marketing exclusivity may be obtained where the innovator company is granted, during the first eight years of the ten years market exclusivity, a marketing authorization for a significant new indication for the relevant medicinal product. In such a situation, the generic or biosimilar company can only market their product after 11 years from the first grant of the innovator company’s marketing authorization for the product in the EEA.</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Orphan drug exclusivity may be lost if the FDA or EMA determines that the request for designation was materially defective or if the manufacturer is unable to assure sufficient quantity of the drug or biologic to meet the needs of patients with the rare disease or condition. In the EEA, orphan drug designation, and the related benefits, may be lost if it is established before the market authorization is granted that the designation criteria are no longer met. Further, in response to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a 2021 decision from the U.S. Court of Appeals for the Eleventh Circuit, the FDA clarified in a January 2023 notice that the FDA intends to continue to apply its longstanding interpretation of the regulations to matters outside of the scope of the Catalyst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the ten year orphan market exclusivity in the EEA may be reduced to six years if the orphan drug designation criteria are no longer met at the end of the fifth year since grant of the approval, including where it is shown that the product is sufficiently profitable not to justify maintenance of market exclusivity.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2023, as part of the E.U. Pharmaceutical Strategy, the European Commission published a proposal for a comprehensive revision of the E.U. pharmaceutical legislation (which will not apply in the U.K.). If adopted by the European Parliament and the Council, the new legislation is likely to significantly change the regulatory regime applicable to both the “normal” data and market exclusivity and the orphan exclusivities and reduce/modulate the exclusivities and rewards that could be granted to medicinal products. In addition, the proposal envisages changes to the concept of unmet medical need and considers introducing novel rewards for orphan medicinal products addressing a high unmet medical need. The adoption of the new legislation is not expected before the end of 2025 at the earliest and it will start to apply 18 months after the entry in force.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June 2016, the electorate in the United Kingdom voted in favor of leaving the European Union (commonly referred to as Brexit). Thereafter, in March 2017, the country formally notified the European Union of its intention to withdraw pursuant to Article 50 of the Lisbon Treaty. The United Kingdom formally left the European Union in January 2020. A transition period began in February 2020, during which E.U. pharmaceutical law remained applicable in the United Kingdom. However, this ended in December 2020. In December 2020, the United Kingdom and European Union signed the Trade and Cooperation Agreement which includes an agreement on free trade between the two parties, although provides minimal provisions on medicinal products. Since that time, Great Britain operated a separate regulatory regime for medicinal products, although Northern Ireland continued to follow EU law. Further, in March 2023, an agreement was reached by the U.K. and EU (the “Windsor Agreement”), relating to post-Brexit trade issues in Northern Ireland, which has applied from January 2025. This seeks to simplify the supply of medicines between Great Britain and Northern Ireland and means EU legislation does not apply in all cases in Northern Ireland. Since the regulatory framework in the United Kingdom covering the quality, safety and efficacy of pharmaceutical products, clinical trials, marketing authorizations, commercial sales, and distribution of pharmaceutical products is derived from E.U. Directives and Regulations, Brexit could materially impact the future regulatory regime which applies to products and the approval of product candidates in the United Kingdom, as the U.K. legislation now has the potential to diverge from E.U. legislation. This continues to impact regulatory requirements for medicinal products and devices in the United Kingdom. The MHRA has published detailed guidance for industry and organizations on the position in the United Kingdom, and continues to update this as the United Kingdom’s regulatory position on medicinal products and medical devices evolves. There are also a number of ongoing consultations on the future legislation in the U.K., in particular in relation to the clinical trials and medical devices frameworks in the UK.</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Brexit, a separate process for orphan drug designation applies to the U.K. There is no pre-marketing authorization orphan designation step required (as there is in the EEA), and the application for orphan designation will be reviewed by the MHRA at the time of the marketing authorization application. The criteria are the same as in the EEA, save that they apply to the U.K. only (e.g., there must be no satisfactory method of diagnosis, prevention or treatment of the condition concerned in the U.K.). Following the application of the Windsor Agreement on January 1, 2025, orphan products cover the whole of the U.K.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obtain orphan drug exclusivity for a product, that exclusivity may not effectively protect the product from competition because different drugs can be approved for the same condition. Even after an orphan drug is approved, the FDA or the European Commission or MHRA can subsequently approve the same drug for a different condition or the same condition if the FDA or the EMA or the MHRA concludes that the later drug is clinically superior in that it is shown to be safer, more effective or makes a major contribution to patient care. In the EEA and U.K., a marketing authorization may also be granted, for the same therapeutic indication, to a competitor with a similar medicinal product during the exclusivity period if we are unable to supply sufficient quantities of the medicinal product for which we received marketing authorization. Moreover, our orphan exclusivity and “normal” data and market exclusivities may be modulated or shortened if we submit an application for marketing authorization for an orphan medicinal product after the start of application of the new EU pharmaceutical legislation, as discussed above.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Receipt of marketing approval for our product candidates does not guarantee that they will achieve market acceptance by physicians, patients, third-party payors or others in the medical community necessary for commercial success.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commercial success of our product candidates, once regulatory approval has been received, will depend upon their degree of market acceptance by physicians, patients, third-party payors and others in the medical community. Receipt of marketing approval for our product candidates does not guarantee that they will gain sufficient market acceptance by physicians, patients, healthcare payors and others in the medical community. The degree of market acceptance for our product candidates will depend on a number of factors, including:</w:t>
      </w:r>
    </w:p>
    <w:p>
      <w:pPr>
        <w:spacing w:after="0" w:line="180"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these products for sale at competitive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appropriate patient financial assistance programs, such as commercial insurance co-pay assistance;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dosing and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FDA or comparable non-U.S. regulatory agencies;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comparable non-U.S. regulatory authorities, including any limitations, contraindications or warnings contained in a product’s approved labeling;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candidate is dispensed or distributed;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and health authority communications concerning our product candidates or competing products and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cost and sufficient third-party insurance coverage or reimbursement, and patients’ willingness to pay out-of-pocket in the absence of third-party coverage or adequate reimbursement;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the prevalence and severity of any side effects or adverse events.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clinical trials, market acceptance will be unknown until after it is launched. Our efforts to educate the medical community and third-party payors on the benefits of our products may require significant resources and may never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approved, our product candidates regulated as biologics may face competition from biosimilars approved through an abbreviated regulatory pathway.</w:t>
      </w:r>
    </w:p>
    <w:p>
      <w:pPr>
        <w:spacing w:after="0" w:line="24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(the “BPCIA”), which created an abbreviated approval pathway under section 351(k) of the PHSA for biological products that are biosimilar to or interchangeable with an FDA-licensed reference biological product. Under the BPCIA, a section 351(k)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law is complex and is still being interpreted and implemented by the FDA and the FDA only approved the first interchangeable biosimilar in July 2021. As a result, its ultimate impact, implementation and meaning are subject to uncertainty. In addition, the Further Consolidated Appropriations Act, 2020, which incorporated the framework from the Creating and Restoring Equal Access To Equivalent Samples legislation, purports to promote competition in the market for drugs and biological products by facilitating the timely entry of lower-cost generic and biosimilar versions of those drugs and biological products, including by allowing generic drug, 505(b)(2) NDA or biosimilar developers to obtain access to branded drug and biological product samples. Its provisions do have the potential to facilitate the development and future approval of biosimilar versions of our product candidates, introducing biosimilar competition that could have a material adverse impact on our business, financial condition and results of operations.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approval of a biological product qualifies for reference product exclusivity turns on whether the FDA consider the approval a “first licensure.” Not every licensure of a biological product is considered a “first licensure” that gives rise to its own exclusivity period. Our product candidates approved as a biological product under a BLA may qualify for the 12-year period of exclusivity. However, there is a risk that this exclusivity could be shortened due to congressional action or otherwise. The extent to which a biosimilar, once licensed, will be substituted for any one of our reference products in a way that is similar to traditional generic substitution for non-biological products is variable, and will depend on a number of marketplace and regulatory factors. If competitors are able to obtain marketing approval for biosimilars referencing our product candidates, our products may become subject to competition from such biosimilars, with the attendant competitive pressure and consequences.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commercialization efforts will be dependent on sales, marketing and distribution capabilities, including agreements with third parties to sell, market and distribute our product candidates.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effectively market our product candidates following regulatory approval, we must successfully employ our sales, distribution, marketing and related capabilities or make arrangements with third parties to perform these services. Our Vants with product candidates in late-stage clinical development, including Immunovant and Priovant, do not currently have a sales, marketing and distribution infrastructure, and would expect to build such a function, or make arrangements with third parties to perform these services in connection with the commercialization of one of their product candidates following regulatory approval.</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risks involved with both establishing and maintaining internal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The costs associated with a sales, marketing and distribution infrastructure may exceed the net revenues we are able to generate from the sale of a product candidate following regulatory approval.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 product candidate, if approved, on our own include:</w:t>
      </w:r>
    </w:p>
    <w:p>
      <w:pPr>
        <w:spacing w:after="0" w:line="225" w:lineRule="exact"/>
        <w:rPr>
          <w:sz w:val="20"/>
          <w:szCs w:val="20"/>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and retain adequate numbers of effective sales, marketing, reimbursement, customer service, medical affairs and other support personnel;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approved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products at a sufficient price point to ensure an adequate and attractive level of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the Vants are unable to build an internal sales force or negotiate a collaborative relationship for the commercialization of a product candidate following regulatory approval, it could result in a delay to, or reduce the effectiveness of, our commercialization efforts. This could adversely impact the product revenues generated from a product candidate following regulatory approval.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decide to fund commercialization activities ourselves, we may need to obtain additional capital, which may not be available to us on acceptable terms, or at all. If we do not have sufficient funds, we will not be able to bring a product candidate to market or generate product revenues. We could enter into arrangements with collaborative partners at an earlier stage than otherwise would be ideal and we may be required to relinquish certain rights to a product candidate or otherwise agree to terms unfavorable to us, any of which may have an adverse effect on our business, operating results and prospects. If we enter into arrangements with third parties to perform sales, marketing, commercial support and distribution services, our product revenues, including net revenues, may be lower than if we were to market and sell a product candidate through an internal sales force.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product candidates following regulatory approvals, which could have an adverse effect on our business, financial condition and results of operations.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investigators, health care professionals, consultants, third-party payors, patient support, charitable organizations, customers, and others are subject to applicable healthcare regulatory laws, which could expose us to penalties and other risks.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potential future arrangements with investigators, healthcare professionals, consultants, third-party payors, patient support, charitable organizations, customers and others, expose us to broadly applicable fraud and abuse and other healthcare laws and regulations. These laws regulate the business or financial arrangements and relationships through which we conduct our operations, including how we research, market, sell and distribute our product candidates following regulatory approvals. Such laws include, without limitation: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63" w:lineRule="exact"/>
        <w:rPr>
          <w:sz w:val="20"/>
          <w:szCs w:val="20"/>
          <w:color w:val="auto"/>
        </w:rPr>
      </w:pPr>
    </w:p>
    <w:p>
      <w:pPr>
        <w:jc w:val="both"/>
        <w:ind w:left="980" w:hanging="324"/>
        <w:spacing w:after="0" w:line="25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is a criminal law that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by the federal government to include anything of value.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9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False Claims Act, which imposes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The False Claims Act provides for suit by the federal government or private parties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relator) and when an entity is determined to have violated the federal civil False Claims Act, the government may impose significant civil fines and penalties for each false claim or statement for penalties assessed after January 30, 2023, plus treble damages, and exclude the entity from participation in Medicare, Medicaid and other federal healthcare programs;</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fraud statute (established by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Simplification provisions of HIPAA, as amended by the Health Information Technology for Economic and Clinical Health Act (“HITECH”), and their implementing regulations, which impose obligations, including mandatory contractual terms, with respect to safeguarding the privacy, security, and transmission of individually identifiable health information on health plans, health care clearinghouses, and most healthcare providers (collectively, “covered entities”), and such covered entities’ “business associates,” defined as independent contractors or agents of covered entities that create, receive or obtain personally identifiable health information in connection with providing a service for or on behalf of the covered entity;</w:t>
      </w:r>
    </w:p>
    <w:p>
      <w:pPr>
        <w:spacing w:after="0" w:line="187"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privacy, cybersecurity and data protection laws, rules and regulations at the international, federal, state and local level, which impose obligations with respect to safeguarding the privacy, security, and cross-border transmission of personally identifiable data, including personal health information;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certain other healthcare providers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E.U. and foreign national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324"/>
        <w:spacing w:after="0" w:line="261"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drug price reporting and government contracting statutes and regulations, the violation of which can lead to civil penalties, debarment and enforcement under the federal False Claims Act, and certain local and state laws that require disclosures to state agencies or boards and commercial purchasers, for example, with respect to certain price increases, some of which contain ambiguous requirements that government officials have not yet clarified; and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and foreign national laws prohibiting promotion of prescription-only medicinal products to individuals other than healthcare professionals, governing strictly all aspects of interactions with healthcare professionals and healthcare organizations, including prior notification, review and approval of agreements with healthcare professionals, and requiring public disclosure of transfers of value made to a broad range of stakeholders, including healthcare professionals, healthcare organizations, medical students, physicians associations, patient organizations and editors of specialized press.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applicable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or state healthcare programs, contractual damages, reputational harm, diminished profits and future earnings, additional reporting requirements and oversight if we become subject to a corporate integrity agreement or similar agreement and curtailment or restructuring of our operations, any of which could adversely affect our ability to operate our business and our results of operations. Even the mere issuance of a subpoena, civil investigative demand or the fact of an investigation alone, regardless of the merit, may result in negative publicity, a drop in our share price and other harm to our business, financial condition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and regulatory measures aimed at reducing healthcare costs may have a material adverse effect on our business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and many other jurisdictions have enacted or proposed legislative and regulatory changes affecting the healthcare system that could restrict or regulate post-approval activities for our product candidates, affect our ability to profitably sell our product candidates following regulatory approval and prevent or delay marketing approval of our product candidates.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Moreover, as discussed above, the removal of the Richardson Waiver may impact our ability to meaningfully engage in any rulemaking for which HHS does not engage in the notice-and-comment process.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the Trump Administration may pursue new or different drug pricing, trade and tariff, social and other policy objectives from prior administrations, which introduces further uncertainty as to how future legislative or regulatory changes may impact our business. For example, within his initial days in office, President Trump issued an executive order repealing former President Biden’s executive order 14087, which directed the Centers for Medicare and Medicaid Services (“CMS”) Center for Medicare and Medicaid Innovation to test new payment models that would lower drug costs and promote access to innovative drug therapies for Medicare and Medicaid beneficiaries. The Trump Administration also renewed the idea of international referencing pricing through a May 2025 executive order titled “Delivering Most-Favored-Nation Prescription Drug Pricing to American Patients.” Among other things, this executive order directs the Secretary of HHS to communicate most-favored-nation price targets to manufacturers and propose a rulemaking plan to impose most-favored-nation pricing if “significant progress” is not made towards achieving such pricing. It also states that the Administration will take additional aggressive action should manufacturers fail to offer American consumers the most-favored-nation lowest price. Additionally, President Trump also took executive action to end diversity, equity and inclusion initiatives among public-sector contractors and grantees. Moreover, the Trump Administration is prioritizing efforts to restructure HHS, including substantial reductions in workforce. It is not clear how this restructuring of HHS will impact our business. Finally, the Trump Administration has imposed broad tariffs on foreign imports, which in many cases has caused other nations to levy reciprocal tariffs on goods manufactured in the United States. It also is possible that specific tariffs on pharmaceuticals are forthcoming. These measures could impact our costs for raw materials and manufacturing as well as the market for our future products. Some of these policy changes may be subject to litigation, increasing the uncertainty of their effects on our business.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drug pricing practices. Notably, the U.S. government enacted the Inflation Reduction Act of 2022 (the “IRA”), the implementation and scope of which is subject to change through ongoing and future regulatory processes and rulemaking, and which could result in additional rebate payments for certain products, adversely affect the pricing of healthcare products and services in the U.S. and implement price limitations or otherwise restrict the amount of reimbursement available from governmental agencies or third-party payors. In addition, the IRA includes provisions that generally require manufacturers of Medicare Part B and Part D rebatable drugs to pay inflation rebates to the Medicare program if pricing metrics associated with their products increase faster than the rate of inflation. The impact of the IRA on research and development, the pharmaceutical supply chain and other aspects of our business and industry remains uncertain and difficult to predict. There are several ongoing legal challenges to the IRA’s drug price negotiation program, and we cannot predict the outcome of these cases or the impact they could have on implementation of the law. Over time, the IRA could increase our government discount and rebate liabilities, reduce the revenues we are able to collect from sales of our products as well as present challenges for payor negotiations and formulary access. However, the degree of impact that the IRA will ultimately have upon our business remains unclear at this time. Various industry stakeholders, including pharmaceutical companies, the U.S. Chamber of Commerce and the Pharmaceutical Research and Manufacturers of America, have initiated lawsuits against the federal government asserting that the price negotiation provisions of the IRA are unconstitutional. The impact of these judicial changes, future litigation brought in view of the Supreme Court’s overrule of the Chevron doctrine, legislative, executive and administrative actions and any future healthcare measures and agency rules implemented by the government on us and the pharmaceutical industry as a whole is unclear.</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also have been and continue to be a number of other federal and state legislative and regulatory initiatives to contain healthcare costs, including costs for pharmaceuticals. For example, as discussed in detail above, the ACA substantially changed the way healthcare is financed by both governmental and private insurers, and significantly impacted the U.S. pharmaceutical industry.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Individual states in the U.S.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such as in Colorado and Florida, as discussed in detail above. Moreover, the Trump Administration may renew its prior proposals to establish price caps based on pricing in foreign countries or pursue other pricing initiatives that tie drug prices in the United States to those available abroad.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following regulatory approval or put pressure on the pricing of our product candidates.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U.S. regulators continue to pursue policies designed to lower drug costs for federal programs and patients. In May 2019, the CMS, issued a final rule to allow Medicare Advantage Plans the option of using step therapy, a type of prior authorization, for Part B drugs beginning January 1, 2020. Additionally, on November 20, 2020, HHS finalized a regulation removing safe harbor protection for price reductions from pharmaceutical manufacturers to plan sponsors under Part D, either directly or through pharmacy benefit managers, unless the price reduction is required by law. This rulemaking also created a new safe harbor for price reductions reflected at the point-of-sale, as well as a safe harbor for certain fixed fee arrangements between pharmacy benefit managers and manufacturers. However, Congress has adopted various delays on the implementation or enforcement of the rule, including a postponement until January 2032 under the IRA.</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31, 2020, CMS enacted a final rule that, among other things, expanded the scope of drug products that may be considered “line extensions” subject to inflationary rebates under the Medicaid Drug Rebate Program. On September 26, 2024, CMS published a Medicaid Drug Rebate Program final rule, which, among other things, amends the definitions of a “covered outpatient drug,” adds regulations and penalties for drug product misclassifications, including failure to report pricing and product information in a timely manner, and limits the period for manufacturers to initiate disputes concerning state-invoiced utilization data. These changes have generally taken effect since November 2024 and could significantly increase manufacturer rebate liability, expand the scope of products subject to Medicaid rebates, and subject manufacturer drug pricing practices to further scrutiny.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upcoming legislative and policy changes in the E.U. and the U.K., some of which may materialize in the near term, are aimed at increasing accessibility and affordability of medicinal products, as well as at increased cooperation between the E.U. Member States. Such initiatives may further impact the price and reimbursement status of our products in the future.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national and state levels in jurisdictions around the world directed at containing or lowering the cost of healthcare, including prescription drugs. The implementation of cost containment measures or other healthcare reforms may prevent us from being able to generate revenue, attain profitability through product revenue or commercialize our product candidates following regulatory approval. Such reforms could have an adverse effect on anticipated revenue from our product candidates following regulatory approval and may affect our overall financial condition and ability to develop future product candidates and obtain marketing approval for those product candidates. We cannot predict the initiatives that may be adopted in the future. The continuing efforts of the government, insurance companies, managed care organizations and other payors of healthcare services to contain or reduce costs of healthcare and impose price controls may adversely affect:</w:t>
      </w:r>
    </w:p>
    <w:p>
      <w:pPr>
        <w:spacing w:after="0" w:line="189"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following regulatory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product candidates following regulatory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sustained profitability;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that we are required to pay.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additional reductions in Medicare and other healthcare funding, more rigorous coverage criteria, lower reimbursement and new payment methodologies. This could lower the price that we receive for our product candidates following regulatory approval. Any denial in coverage or reduction in reimbursement from Medicare or other government-funded programs may result in a similar denial or reduction in payments from private payors, which may prevent us from being able to generate sufficient revenue, attain sustained profitability or successfully commercialize our product candidates following regulatory approval.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 candidates following regulatory approval, which could make it difficult for us to profitably sell our product candidates.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Market acceptance and sales of our product candidates following regulatory approval will depend in part on the extent to which coverage and adequate reimbursement for these product candidates will be available from third-party payors, including government health administration authorities and private health insurers. The pricing and reimbursement of our product candidates following regulatory approval must be adequate to support the costs associated with commercialization efforts. If we are unable to obtain adequate levels of reimbursement, our ability to successfully market and sell our product candidates following regulatory approval, will be adversely affected. The manner and level at which reimbursement is provided for services related to our product candidates (e.g., for administration of our products to patients) is also important. Inadequate reimbursement for such services may lead to physician resistance and adversely affect our ability to market or sell our product candidates following regulatory approval. There is no assurance that our product candidates will achieve adequate coverage and reimbursement levels.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U.S., no uniform policy of coverage and reimbursement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 following regulatory approval will be made on a plan-by-plan basis. For example, one payor’s determination to provide coverage does not assure that other payors will also provide coverage and adequate reimbursement for the same product candidate, and payors may periodically review and change their coverage and reimbursement rates. Additionally, a third-party payor’s decision to provide coverage does not imply that an adequate reimbursement rate will be approved. Each plan determines whether or not it will provide coverage, what amount it will pay the manufacturer, on what tier of its formulary the drug will be placed and whether to require step therapy.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 candidates following regulatory approval unless coverage is provided and reimbursement is adequate to cover a significant portion of the cost of the product candidate. Further, from time to time, typically on an annual basis, payment rates are updated and revised by third-party payors. Such updates could impact the demand for our product candidates to the extent that patients who are prescribed our product candidates following regulatory approval are not separately reimbursed for the cost of the product candidate.</w:t>
      </w:r>
    </w:p>
    <w:p>
      <w:pPr>
        <w:spacing w:after="0" w:line="19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drug may be separate from the process for setting the price or for establishing the reimbursement rate that such a payor will pay. Even if we obtain adequate levels of reimbursement, third-party payors, such as government or private healthcare insurers, carefully review and increasingly question the coverage of, and challenge the prices charged for, products. A primary trend in the U.S. healthcare industry and elsewhere is cost containment.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Significant consolidation in the health insurance industry has resulted in a few large insurers and pharmacy benefit managers exerting greater pressure in pricing and usage negotiations with drug manufacturers,</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 particularly our therapeutic products or those that are individualized for a particular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-424815</wp:posOffset>
            </wp:positionV>
            <wp:extent cx="26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-441960</wp:posOffset>
            </wp:positionV>
            <wp:extent cx="285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may also be required to conduct expensive pharmacoeconomic studies to justify the coverage and the amount of reimbursement for particular drugs. Target patient populations for some of our product candidates may be small. The pricing and reimbursement of our product candidates, if approved, must be adequate to support commercial infrastructure. We cannot be sure that coverage and reimbursement will be available for any product that we commercialize and, if reimbursement is available, what the level of reimbursement will be. Inadequate coverage and reimbursement may impact the demand for, or the price of, any product candidate following regulatory approval. If coverage and adequate reimbursement are not available, or are available only to limited levels, we may not be able to successfully commercialize any product candidate for which we are able to obtain regulatory approval. The manner, level and specific type of reimbursement provided for services related to patients is also important. Inadequate reimbursement for such services may discourage physicians from prescribing or recommending our product candidates, if approved, adversely affecting our ability to market or sell those products.</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Additionally, there have been a number of legislative and regulatory proposals to change the healthcare system in the U.S. and in some other jurisdictions that could affect our ability to profitably sell any product candidate following regulatory approval. These legislative and regulatory changes may negatively impact the reimbursement for any product candidate following regulatory approval. For example, a budget resolution passed the U.S. House of Representatives in February 2025 to reduce the federal deficit by at least $880 billion over 10 years and the majority of these cuts are expected to impact Medicaid and CHIP if enacted into law. These cuts could involve reducing the scope of coverage under Medicaid and CHIP, including as it relates to prescription drug benefits. There can be no assurance that our product candidates will be considered medically reasonable and necessary, that they will be considered cost-effective by third-party payors, that coverage or an adequate level of reimbursement will be available, or that reimbursement policies and practices in the U.S. and in other countries where our product candidates are approved and sold will not harm our ability to profitably sell our product candidates following regulatory approval.</w:t>
      </w:r>
    </w:p>
    <w:p>
      <w:pPr>
        <w:spacing w:after="0" w:line="18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ability to set the price for any product we develop will vary significantly by country. Our inability to obtain and maintain adequate prices in a particular country may limit the revenues from our products, if approved, within that country and adversely affect our ability to secure acceptable prices in existing and potential new markets, which may limit market growth. This may create the opportunity for third-party cross-border trade or influence our decision whether to sell a product, thus adversely affecting our geographic expansion plans and revenues. In the E.U., similar political, economic and regulatory developments may affect our ability to profitably commercialize our product candidates following regulatory approval. In addition to continuing pressure on prices and cost containment measures, legislative developments in the E.U. or the E.U. Member States may harm our ability to profitably sell our product candidates following regulatory approval. The delivery of healthcare in the E.U., including the establishment and operation of health services and the pricing and reimbursement of medicines, is almost exclusively a matter for national E.U. Member States law. National governments and health service providers have different priorities and approaches to the delivery of health care and the pricing and reimbursement of products in that context. The healthcare budgetary constraints in most countries have resulted in restrictions on the pricing and reimbursement of medicines, and a similar approach is taken in the U.K. where a key consideration is the affordability of drugs for treatment of patients under the National Health Service. In the U.K. there is also a budget cap on branded health service medicines, and a new voluntary pricing scheme has been introduced that increases the level of rebate payment that a company is required to make to the National Health Service to take account of any spend on branded products that is above the agreed cap, and also imposes different payment rates for newer or older medicines. Similarly, provisions have been introduced into the parallel statutory scheme, which applies to companies that are not members of the voluntary scheme, and will lead to higher rebates than previously. In markets outside of the U.S., E.U. and U.K., reimbursement and healthcare payment systems vary significantly by country, and many countries have instituted price ceilings on specific products and therapies. All of this could affect our ability to successfully commercialize our product candidates following regulatory approval.</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federal legislation and actions by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expect to face competition in the U.S. for our product candidates from therapies sourced from foreign countries that have placed price controls on pharmaceutical products. In the U.S., the Medicare Modernization Act contains provisions that may change U.S. importation laws and expand pharmacists’ and wholesalers’ ability to import cheaper versions of an approved drug and competing products from Canada, where there are government price controls.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on November 23, 2020, several industry groups filed federal lawsuits in the U.S. District Court for the District of Columbia, requesting injunctive relief to prevent implementation of the rule. The court dismissed the case in February 2023. Further,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(“NDC”), for an FDA-approved drug that was originally intended to be marketed in a foreign country and that was authorized for sale in that foreign country. In addition, a July 2021 executive order pertaining to drug pricing directs the FDA to support and work with States and Indian Tribes to develop importation plans to import prescription drugs from Canada under the MMA and final rule. Several states have enacted laws intended to support importation processes and have submitted importation program proposals to FDA. On January 5, 2024, FDA authorized Florida’s importation program for the importation of certain prescription drugs from Canada into Florida; however, the state must file Pre-Import Requests for specific drug products that FDA must grant before any importation may take place. In response, Health Canada issued a statement on January 8, 2024 making clear that it is ready to take immediate action to help safeguard the Canadian drug supply if necessary. If implemented in Florida or elsewhere, importation of drugs from Canada may materially and adversely affect the price we receive for our product candidates following regulatory approval. The regulatory and market implications of the final rule and guidance are unknown at this time. Proponents of drug reimportation may attempt to pass other legislation that would directly allow reimportation under certain circumstances. Legislation or regulations allowing the reimportation of drugs, if enacted, could decrease the price we receive for our product candidates following regulatory approval and adversely affect our future revenues and prospects for profitability.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Reliance on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if those third parties perform in an unsatisfactory manner or fail to comply with applicable requirements, it may harm our business.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rely on CROs, clinical data management organizations, medical institutions and clinical trial sites to conduct some aspects of our research and preclinical testing and to ensure the proper and timely conduct of our clinical trials, and we expect to have limited influence over their actual performance. Any of these third parties may terminate their engagements with us or be unable to fulfill their contractual obligations. If we need to enter into alternative arrangements, it would delay our product development activities. In addition, we rely upon CROs to monitor and manage data for our clinical programs, as well as for the execution of future nonclinical studies. We expect to control only certain aspects of our CROs’ activities. Nevertheless, we will be responsible for ensuring that each of our studies is conducted in accordance with the applicable contract, protocol, legal, regulatory and scientific standards and that clinical trial sites meet applicable protocol and regulatory requirements. Our reliance on CROs does not relieve us of our regulatory or specified contractual responsibilities.</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third-party service providers are not our employees, and we are therefore unable to directly monitor whether or not they devote sufficient time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and our CROs are required to comply with Good Laboratory Practices (“GLPs”) and GCPs, which are regulations and guidelines enforced by the FDA and other comparable non-U.S. regulatory authorities, which also require compliance with the International Council for Harmonization of Technical Requirements for Pharmaceuticals for Human Use (“ICH”) guidelines for any of our product candidates that are in preclinical and clinical development. The regulatory authorities enforce GCP regulations through periodic inspections of trial sponsors, principal investigators and clinical trial sites. Although we may rely on CROs to conduct our GLP-compliant nonclinical studies and GCP-compliant clinical trials, we remain responsible for ensuring that each of our GLP nonclinical studies and GCP clinical trials is conducted in accordance with its investigational plan and protocol and applicable laws and regulations. Our expected reliance on the CROs does not relieve us of our regulatory or contractual responsibilities. If we or our CROs fail to comply with GCPs, the clinical data generated in our clinical trials may be deemed unreliable and the FDA or non-U.S. regulatory authorities may reject our marketing authorization applications and require us to perform additional clinical trials to generate additional data before approving our marketing applications. Accordingly, if our CROs fail to comply with these regulations or other applicable laws, regulations or standards, or fail to recruit a sufficient number of subjects, we may be required to repeat clinical trials, which would delay the regulatory approval process. Failure by any future CROs to properly execute study protocols in accordance with applicable law could also create product liability and healthcare regulatory risks for us as sponsors of those studies.</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our own manufacturing capabilities and rely on third parties to produce clinical and commercial supplies of our product candidates.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do not own or operate, and do not expect to own or operate, facilities for product manufacturing, storage and distribution or testing. Accordingly, we rely on third parties to produce commercial and clinical supplies of our product candidates. Third-party vendors may be difficult to identify for our product process and formulation development and manufacturing due to special capabilities required, and they may not be able to meet our quality standards. In addition, certain of our third-party manufacturers and suppliers may encounter delays in providing their services as a result of supply chain constraints. If any third-party manufacturers or third parties in the supply chain for materials used in the production of our product candidates are adversely impacted by supply chain constraints, our supply chain may be disrupted, limiting our ability to manufacture our product candidates for our preclinical studies, clinical trials, research and development activities and, following regulatory approval, commercialization. Any significant delay in the supply of a product candidate, or the raw material components thereof, or of equipment and devices as necessary, for either commercialization or an ongoing clinical trial, due to the need to replace a third-party manufacturer or otherwise, could considerably delay marketing efforts for the product in question or the completion of clinical trials, product testing and potential regulatory approval of the product candidate in question.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 from the sale of our product candidates and may require notification to the FDA or other regulatory authorities. Moreover, as a result of projected supply constraints for certain materials used in the production of our product candidates, we have in the past and may in the future reserve manufacturing capacity in advance of receiving required efficacy or safety results from our clinical trials, which may involve committing substantial financial resources to product candidates that may never be approved or achieve commercialization at scale or at all. In addition, legislative, executive and regulatory proposals were recently enacted or are pending to, among other things, prevent drug shortages, improve pandemic preparedness and reduce the dependency of the U.S. on foreign supply chains and manufacturing; this may include the imposition of tariffs on foreign-manufactured products that we procure. While we are still assessing these developments, they could impact our selection and utilization of CMOs, vendors and other suppliers and could have a material adverse impact on our business, financial condition and results of operations.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pursuant to inspections that will be conducted after we submit an NDA or other similar application to the FDA. Such facilities must also register with the FDA. Similar requirements apply in other jurisdictions. We do not control the manufacturing process of, and are completely dependent on, our contract manufacturing partners for compliance with cGMP requirements for the manufacture of product candidates. If our contract manufacturers cannot successfully manufacture material that conforms to our specifications and the strict regulatory requirements of the FDA or comparable non-U.S. regulatory authorities, we will not be able to secure or maintain regulatory approval for our product candidates. In addition, we have limited control over the ability of our contract manufacturers to maintain adequate quality control, quality assurance and qualified personnel. If the FDA or comparable non-U.S. regulatory authorities do not approve these facilities for the manufacture of our product candidates or if they withdraw any such approval in the future, we may need to find alternative manufacturing facilities, which would significantly impact our ability to develop and obtain regulatory approval for our product candidates and, if approved, market our product candidates.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our reliance on third-party manufacturers entails risks to which we would not be subject if we manufactured our product candidates ourselves, including:</w:t>
      </w:r>
    </w:p>
    <w:p>
      <w:pPr>
        <w:spacing w:after="0" w:line="162"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laws, regulations and standards, including cGMP and similar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deficient or improper record-keeping;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agreements with third parties under commercially reasonable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sources, and in some cases, single sources for product components, such that if we are unable to secure a sufficient supply of these product components, we will be unable to manufacture and sell our product candidates following regulatory approval in a timely fashion, in sufficient quantities or under acceptable terms;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 source supplier;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or other regulatory sanctions related to the manufacturer of another company’s product candidates;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product candidates under specified storage conditions and in a timely manner.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lead to clinical trial delays, cost overruns, delay or failure to obtain regulatory approval or impact our ability to successfully commercialize our product candidates as well as potential product liability litigation, product recalls or product withdrawals. Some of these events could be the basis for FDA or other regulatory authority action, including injunction, recall, seizure, total or partial suspension of production, or suspension or revocation of manufacturing/import authorizations and GMP certificates.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contract manufacturing facilities on which we rely do not continue to meet regulatory requirements or are unable to meet our requirements, including providing an adequate supply, our business will be harmed.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product candidates for clinical trials or commercial sale following regulatory approval, including our existing CMOs for all of our product candidates, are subject to extensive regulation. Components of a finished therapeutic product approved for commercial sale or used in late-stage clinical trials must be manufactured in accordance with cGMP, or similar regulatory requirements outside the U.S.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Our failure, or the failure of third-party manufacturers, to comply with applicable regulations could result in the issuance of inspectional observations on FDA’s Form-483, Warning or Untitled Letters, similar communications or objections by other authorities, public safety alerts identifying our company or product candidates and sanctions being imposed on us, including clinical holds, import alerts, fines, injunctions, civil penalties, delays, suspension or withdrawal of approvals, license revocations, suspensions of production, seizures or recalls of product candidates, operating restrictions and criminal prosecutions, any of which could significantly and adversely affect clinical supplies of our product candidates or, following regulatory approval, commercial supplies for those product candidates.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CMOs must supply all necessary documentation in support of an NDA or similar regulatory application on a timely basis, and must adhere to regulations enforced by the FDA and other regulatory agencies through their facilities inspection program. Some of our CMOs may not have produced a commercially approved pharmaceutical product and therefore may not have obtained the requisite regulatory authority approvals to do so.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 time 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 supplemental NDA or similar regulatory filing, which could result in further delay. The regulatory agencies may also require additional studies if a new manufacturer is relied upon for commercial production.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trials, regulatory submissions, required approvals or commercialization of our product candidates following regulatory approval.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dependent on one or a limited number of suppliers for certain components of our product candidates.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certain of our product candidates, we may now or in the future be dependent on one or a limited number of third-party suppliers for our product candidates. We cannot ensure that such suppliers will be available or have sufficient capacity or supply to meet our needs, or that they will not be acquired by a competitor and cease working with us as a result. As a result, we face a number of related risks, including disruptions or delays in the supply of our product candidates or price fluctuations for those supplies.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there may be a limited number of potential suppliers for our product candidates. If we were required to change suppliers, the manufacture and delivery of our product candidates could be interrupted for an extended period of time. Establishing additional or replacement suppliers for any of the components or processes used in our product candidates, if required, may not be accomplished quickly, if at all. Any replacement supplier would need to be qualified and may require additional regulatory approval, resulting in further delay. Any interruption or delay in the supply of components or materials, or our inability to obtain components or materials from alternate sources at acceptable prices in a timely manner, could limit the supply of our product candidates available for use in clinical trials or commercial sale following applicable regulatory approvals. Additionally, the FDA, as part of its evaluation of our product candidates, will review the manufacturing processes and facilities of our suppliers. Any delay, or failure to receive, such approval, including as a result of delays in the FDA review of our suppliers, could delay or prevent the approval of our product candidates.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novel, complex and difficult to manufacture. We could experience manufacturing problems that result in delays in our development or commercialization programs or otherwise harm our business.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manufacturing processes our CMOs use to produce our product candidates are novel, complex and have not necessarily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biologic product candidates may require processing steps that are more complex than those required for most small molecule drugs. Moreover, unlike small molecules, the physical and chemical properties of biologics generally cannot be fully characterized. As a result, assays of the finished product candidate may not be sufficient to ensure that the product candidate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candidate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E.U., the U.K. or other applicable standards or specifications with consistent and acceptable production yields and costs.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FDA, the EMA, the MHRA and other regulatory authorities may require us to submit samples of any lot of any approved product candidate together with the protocols showing the results of applicable tests at any time. Under some circumstances, the FDA, the EMA, the MHRA or other comparable regulatory authorities may require that we not distribute a lot until the agency authorizes its release. Slight deviations in the manufacturing process, including those affecting quality attributes and stability, may result in unacceptable changes in the product candidate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processes or facilities could result in delays in planned clinical trials and increased costs, and could make us a less attractive collaborator for potential partners, including larger biopharmaceutical companies and academic research institutions, which could limit access to additional attractive development programs. Problems in any of our manufacturing processes could restrict our ability to conduct clinical trials with our product candidates or meet potential future market demand for our product candidates following regulatory approval.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operational risks associated with the physical and digital infrastructure at the manufacturing facilities that our external service providers utilize.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manufacturing facilities we rely on may incorporate a significant level of automation of equipment with integration of several digital systems, including those that may utilize AI, to improve efficiency of operations. The digitization of these facilities exposes us to the risk of process equipment malfunctions. These risks include potential system failures or shutdowns due to internal or external factors including design issues, system compatibility or potential cybersecurity compromises, incidents or breaches. Upgrades or changes to these systems, infrastructure or the software that our external service providers implement, use, or upon which our business relies, may result in the introduction of new cybersecurity vulnerabilities and risks.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facilities and infrastructure of our contract manufacturers or other third-party providers may also be subject to attacks or acts of sabotage by outside actors, contractors or employees. Any disruption in our contract manufacturers’ manufacturing capabilities could delay scaling up production capacity for our product candidates or shut down facilities, impose additional costs, cause us to fail to meet certain product volume or delivery timing obligations, or may require us to identify, qualify and establish an alternative manufacturing site, which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-294005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-311150</wp:posOffset>
            </wp:positionV>
            <wp:extent cx="457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financial, accounting and legal personnel. We have benefited substantially from the leadership, performance and vision of our senior leaders, including our Principal Executive Officer, Matthew Gline, as well as other senior executives at Roivant and the Vants. The loss of the services provided by any of our executive officers, other key employees and other scientific and medical advisors, and our inability to find suitable replacements, could result in delays in the development of our product candidates and harm our business. Due to the small number of employees at some of the Vants, the loss of a key employee may have a larger impact on our business. In addition, we rely on a limited number of employees in certain key jurisdictions, including the U.K. and Switzerland. Competition for skilled personnel is intense and the turnover rate can be high, which may limit our ability to hire and retain highly qualified personnel on acceptable terms or at all. In addition, while we expect to engage in an orderly transition process as we integrate newly appointed officers and managers, we face a variety of risks and uncertainties related to management transition, including diversion of management attention from business concerns, failure to retain other key personnel or loss of institutional knowledge. Competition for senior leadership in the healthcare investment industry is intense, and we cannot guarantee that we will be able to retain our key personnel or that of our Vants.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encourage valuable employees to remain at our company, in addition to salary and cash incentives, we have provided certain equity awards that vest over time. The value to employees of equity awards that vest over time may be significantly affected by movements in our share price that are beyond our control and may at any time be insufficient to counteract more lucrative offers from other companies. Our employment agreements provide that our employees could leave our employment at any time. We do not maintain “key person” insurance for any members of our senior leadership team or other employees. Our success also depends on our ability to continue to attract, retain and motivate highly skilled junior, mid-level and senior managers as well as junior, mid-level and senior scientific and medical personnel. If we are unable to attract and incentivize quality personnel on acceptable terms, or at all, it may cause our business and operating results to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may experience difficulties in managing this growth, which could disrupt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our continued growth, we expect to hire, either directly or through our current or future affiliates, additional employees for our managerial, finance and accounting, clinical, scientific and engineering, regulatory, operational, manufacturing, sales and marketing teams. We may have difficulties in connection with identifying, hiring, integrating and retaining new personnel. Future growth would impose significant additional responsibilities on management, including the need to identify, recruit, maintain, motivate and integrate additional employees, consultants and contractors. Also, management may need to divert attention away from our day-to-day activities and devote a substantial amount of time to managing these growth activities. We may not be able to effectively manage the expansion of operations across our entities, which may result in weaknesses in infrastructure, give rise to operational mistakes, loss of business opportunities, loss of employees and reduced productivity among remaining employees. Our future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 grow revenues could be reduced, and we may not be able to implement our business strategy. Our future financial performance and ability to commercialize product candidates and new technologies and compete effectively will partly depend on our ability to effectively manage any future growth.</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the other pharmaceutical and healthcare technology companies that we compete against for qualified personnel and consultants have greater financial and other resources, different risk profiles and a longer operating history in the industry than us. They also may provide more diverse opportunities and better chances for career advancement. Some of these opportunities may be more appealing to high-quality candidates and consultants than what we have to offer. If we are unable to continue to attract and retain high-quality personnel and consultants, the rate and success at which we can discover and develop our product candidates will be harmed, which could negatively impact our financial condition, results of operations and cash flows.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legal, regulatory, political, operational, financial and economic risks associated with conducting business globally.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Doing business internationally involves a number of risks, including but not limited to:</w:t>
      </w:r>
    </w:p>
    <w:p>
      <w:pPr>
        <w:spacing w:after="0" w:line="225" w:lineRule="exact"/>
        <w:rPr>
          <w:sz w:val="20"/>
          <w:szCs w:val="20"/>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anti-bribery and anti-corruption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collaborators to obtain appropriate licenses or regulatory approvals for the sale or use of our product candidates in various countries;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operations in different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payor-reimbursement regimes or self-pay systems;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currency exchange rate fluctuations;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protection for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U.S. Foreign Corrupt Practices Act (the “FCPA”), including its books and records provisions and its anti-bribery provisions, the United Kingdom Bribery Act 2010 (the “U.K. Bribery Act”), and similar anti-bribery and anti-corruption laws in other jurisdictions, for example by failing to maintain accurate information and control over sales or distributors’ activities.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negatively impact our financial condition, results of operations and cash flows.</w:t>
      </w:r>
    </w:p>
    <w:p>
      <w:pPr>
        <w:spacing w:after="0" w:line="162" w:lineRule="exact"/>
        <w:rPr>
          <w:sz w:val="20"/>
          <w:szCs w:val="20"/>
          <w:color w:val="auto"/>
        </w:rPr>
      </w:pPr>
    </w:p>
    <w:p>
      <w:pPr>
        <w:jc w:val="both"/>
        <w:ind w:firstLine="693"/>
        <w:spacing w:after="0" w:line="256" w:lineRule="auto"/>
        <w:rPr>
          <w:sz w:val="20"/>
          <w:szCs w:val="20"/>
          <w:color w:val="auto"/>
        </w:rPr>
      </w:pPr>
      <w:r>
        <w:rPr>
          <w:rFonts w:ascii="Times New Roman" w:cs="Times New Roman" w:eastAsia="Times New Roman" w:hAnsi="Times New Roman"/>
          <w:sz w:val="18"/>
          <w:szCs w:val="18"/>
          <w:color w:val="auto"/>
        </w:rPr>
        <w:t>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harm our reputation, our brand, our international expansion efforts, our ability to attract and retain employees, and our business, prospects, operating results and financial condition.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and scientific change, and there is a possibility that our competitors may achieve certain regulatory approvals before us or develop therapies that are safer, more advanced or more effective than ours, which may negatively impact our ability to successfully market or commercialize our product candidates following regulatory approval and ultimately harm our financial condition.</w:t>
      </w:r>
    </w:p>
    <w:p>
      <w:pPr>
        <w:sectPr>
          <w:pgSz w:w="11900" w:h="16838" w:orient="portrait"/>
          <w:cols w:equalWidth="0" w:num="1">
            <w:col w:w="11240"/>
          </w:cols>
          <w:pgMar w:left="320" w:top="115" w:right="3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Now and in the future we may face competition from major pharmaceutical companies, specialty pharmaceutical companies, biotechnology companies, academic institutions, government agencies and other public and private research organizations worldwide.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 candidates.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and commercialization of product candidates for the treatment of the indications that we are also pursuing. Examples of such competing products include, but are not limited to:</w:t>
      </w:r>
    </w:p>
    <w:p>
      <w:pPr>
        <w:spacing w:after="0" w:line="162" w:lineRule="exact"/>
        <w:rPr>
          <w:sz w:val="20"/>
          <w:szCs w:val="20"/>
          <w:color w:val="auto"/>
        </w:rPr>
      </w:pPr>
    </w:p>
    <w:p>
      <w:pPr>
        <w:ind w:left="9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VYVGART (efgartigimod alfa-fcab) and VYVGART Hytrulo (efgartigimod alfa and hyaluronidase-qvfc), neonatal Fc receptor blockers, potential competitors to IMVT-1402;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IMAAVY (nipocalimab-aahu) and RYSTIGGO (rozanolixizumab-noli), anti-FcRn antibodies, potential competitors to IMVT-1402;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TEPEZZA (teprotumumab-trbw), an insulin-like growth factor-1 receptor inhibitor, a potential competitor to batoclimab;</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Dazukibart, an interferon beta (IFN-beta) inhibitor, a potential competitor to brepocitinib;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Tyvaso (treprostinil), a prostacyclin mimetic, a potential competitor to mosliciguat.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our product candidates.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regulatory approval for their products more rapidly than we do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 candidates uneconomical or obsolete and we may not be successful in marketing our product candidates we may develop against competitors.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could face litigation or other proceedings with respect to the scope, ownership, validity and enforceability of our patents relating to our competitors’ products and our competitors may allege that our product candidates infringe, misappropriate or otherwise violate their intellectual property. The availability of our competitors’ products could limit the demand, and the price we are able to charge, for our future products.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our healthcare technology and computational drug discovery Vants participate are competitive, and if we do not compete effectively, our business and operating results could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overall market for healthcare technologies and software is global, rapidly evolving, competitive and subject to changing technology and shifting customer focus. Our healthcare technology Vants, including Lokavant, a clinical trial technology company, and Zest, which is building a medical dermatology platform, face competition from well-established providers of similar solutions, certain of which may have long-standing relationships with many of our current and potential customers, including large biopharmaceutical companies, payors, providers and other software and services vendors. Our computational drug discovery Vants, including VantAI, which uses machine learning to build computational models to generate new molecular entities for targets of interest, and Psivant, which uses molecular dynamics to design small molecules for highly validated hard-to-drug targets, face competition from both established industry competitors and an increasing wave of competition in the in silico discovery and development worlds, including startups, large and mid-sized biopharmaceutical companies, large technology companies and others. Our computational drug discovery companies develop highly specific technologies designed to accelerate the process of drug discovery. We have no assurance that our technologies will perform as expected, and new and existing competitors from academia, the startup ecosystem or established biopharmaceutical companies may already have or will develop more performant technology. The field is growing rapidly and more and better funded competitors will continue to enter our markets and innovate.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our healthcare technology competitors are able to devote greater resources to the development, promotion and sale of their software solutions and services. Third parties with greater available resources and the ability to initiate or withstand substantial price competition could acquire our current or potential competitors. Our competitors may also establish cooperative relationships among themselves or with third parties that may further enhance their product offerings or resources, and may generally have more effective relationships with key healthcare stakeholders, including payors, providers, regulators and other software and services vendors, among others. If our competitors’ products, services or technologies are more capable or become more accepted than our solutions, if our competitors are successful in bringing their products or services to market earlier than we do or if our competitors are able to respond more quickly and effectively to new or changing opportunities, technologies or customer requirements than we can, then the business and prospects of these Vants could be adversely affected.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face competition from solutions that biopharmaceutical companies develop internally and from smaller companies that offer products and services directed at more specific markets than we target, enabling these smaller competitors to focus a greater proportion of their efforts and resources on these markets, in both healthcare technology and drug discovery.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these competitors are involved in drug discovery (either themselves or with partners) and others develop software or other tools utilizing AI which can be used, directly or indirectly, in drug discovery. To the extent these other AI approaches to drug discovery prove to be more successful than our approaches, we may not be successful in identifying potential targets or attracting collaborators to work with us. Any of these risks, if encountered, could negatively impact our financial condition, results of operations and cash flows.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are subject to litigation and investigation risks which could adversely affect our business, results of operations and financial condition and could cause the market value of our common shares to decline. Insurance coverage may not be available for, or adequate to cover, all potential exposure for litigation and other business risks.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and our subsidiaries are from time to time subject to various litigation matters and claims, including regulatory proceedings, administrative proceedings, product liability claims related to our clinical trials, securities litigation and other lawsuits, and governmental investigations. In addition, we and our subsidiaries may receive requests for information from governmental agencies in connection with their regulatory or investigatory authority or from private third parties pursuant to subpoena. These proceedings may be complex and prolonged, and may occupy the resources of our and our subsidiaries’ management and employees. These proceedings are also costly to prosecute and defend and may involve substantial awards or damages payable by us or our subsidiaries if not favorably resolved. We and our subsidiaries may be required to pay substantial amounts or grant certain rights on unfavorable terms in order to settle such proceedings. We also face risks relating to litigation arising from judgments made by us and the Vants as to the materiality of any developments in our businesses, including with respect to preclinical and clinical data, and the resulting disclosure (or lack thereof) may give rise to securities litigation.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insurance policies for certain litigation and various business risks, but such policies may not be adequate to compensate us for any or all potential losses. In addition, such insurance may not be available to us in the future on economically reasonable terms, or at all. Further, our insurance, if available, may not cover all claims made against us and defending a suit, regardless of its merit, could be costly and divert management’s attention. Because of the uncertain nature of litigation, investigations and insurance coverage decisions, it is not possible to predict the outcome of these matters as they arise from time to time, and they could have a material adverse effect on our and our subsidiaries’ business, results of operations and financial condition, could impact our ability to consummate a transaction that is challenged or otherwise subject to such litigation and could cause the market value of our common shares to decline.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hold a controlling stake in certain of our Vant affiliates and thus may not be able to direct our business or the development of our product candidates.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certain of our Vants, we may hold less than a majority ownership interest or otherwise be limited in our ability to direct or control the business and the development of the product candidates or technologies at the Vant. In addition, for certain other Vants, including Immunovant, we may in the future come to hold less than a majority ownership interest in the Vant. Furthermore, even if we own a majority ownership interest in a Vant, we may not necessarily be able to control the outcome of certain corporate actions. If the business or development of a product candidate at one of these Vants were to face challenges, we would be adversely affected as a result and would be limited in our ability to cause or influence the Vant in question to take appropriate remediative actions.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other information technology systems, or those used by our collaborators, CROs or other contractors, consultants or third parties upon whom we rely, may fail or suffer other breakdowns, cyberattacks or information security breaches or incidents, including as a result of a deficiency in our cybersecurity practices, that could compromise the confidentiality, integrity and availability of such systems and data, expose us to liability and affect our reputation.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to operate our business. We also rely on third-parties and their information technology systems. We generally require our third-party providers to implement effective security measures and to identify and correct for any information technology security failures, deficiencies or breaches. Although we seek to supervise such third parties’ security measures, our ability to do so is limited. Despite the implementation of security measures, our internal computer and other information technology systems and those of our collaborators, CROs and other contractors, consultants and third parties upon whom we rely may be vulnerable to damage, outages and interruptions resulting from computer viruses and other malicious code or unauthorized access, or breached, compromised or otherwise subject to security incidents due to operator error, inadvertent or intentional actions by our employees or other third parties, malfeasance, cybercriminals, natural disasters (including hurricanes and earthquakes), terrorism, war, telecommunication and electrical failures or other system disruptions. Geopolitical events, such as wars and other conflicts, may increase the risks of cyber-attacks, disruptions and security breaches and incidents that we and these third parties face. Security threats can come from a variety of sources, ranging in sophistication from an individual hacker to a state-sponsored attack. Cyber threats may be broad-based or otherwise generic in nature, or they may be custom-crafted against our information technology systems or those of our collaborators, CROs or other contractors, consultants or third parties upon whom we rely.</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the cyber-threat landscape evolves, cyber-attacks have become more prevalent, intense, sophisticated and much harder to detect and defend against. Such attacks could include the use of key loggers or other harmful and virulent malware, including ransomware or other denials of service, and can be deployed through malicious websites, the use of social engineering, including phishing attacks, and other means. We and our collaborators, CROs or other contractors, consultants and third parties upon whom we rely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Although to our knowledge we have not experienced any such material system failure or security breach or incident to date, if a breakdown, cyberattack or other information security breach or incident were to occur and cause interruptions in our operations, it could result in a material disruption of our development programs and our business operations, whether due to loss or misappropriation of trade secrets or loss of, or unauthorized modification, unavailability, disclosure or other unauthorized processing of, other proprietary information or other similar disruption, and we could incur liability and reputational damage. For example, any corruption, loss or other unavailability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and other information technology systems could also have a material adverse effect on our business.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Cyber-attacks, breaches, interruptions or other data security incidents could result in legal claims or proceedings by private parties or governmental authorities, liability under federal or state laws that protect the privacy of personal information, regulatory penalties, significant remediation costs, disruption of key business operations and diversion of the attention of management and key information technology resources. In the United States, notice of breaches must be made to affected individuals, the HHS, and for extensive breaches, notice may need to be made to the public at large or U.S. state attorneys general. Such a notice could harm our reputation and our ability to compete. In addition, U.S. state attorneys general are authorized to bring civil actions seeking either injunctions or damages in response to violations that threaten the privacy of state residents. There can be no assurance that we, our collaborators, CROs, contractors, consultants and any other business counterparties will be successful in efforts to detect, prevent, protect against or fully recover systems or data from all break-downs, service interruptions, attacks or security breaches or incidents. Although we maintain insurance protection against cybersecurity events or incidents, the costs related to significant security breaches, incidents or disruptions could be material and exceed the limits of any insurance coverage we have, and may result in increases in our insurance costs, or we may otherwise have to expend significant resources to mitigate the impact of such incidents and to develop and implement protections to prevent future events of this nature from occurring. Relevant insurance may in the future become unavailable to us on commercially reasonable terms or at all. Any disruption or security breach or incident that results in or is perceived to have resulted in a loss of, or damage to, our data or systems, or inappropriate disclosure, use, acquisition, transfer, modification, unavailability or other processing of confidential or proprietary information, including data related to our personnel, could result in the loss, unauthorized modification, use, unavailability, disclosure or other unauthorized processing of critical or sensitive data, and could cause us to incur liability. Further, in any such event, the development and commercialization of our product candidates following regulatory approval could be delayed and our business and operations could be adversely affected. Any of the foregoing could result in significant financial, legal or reputational harm to us and our business.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foreign laws and regulations, information security and other policies, and contractual obligations relating to privacy and data protection and security, including the use, processing and cross-border transfer of personal information. These laws and regulations are subject to change and uncertain interpretation, and could result in claims, changes to our business practices, or monetary penalties, and otherwise may harm our business, as could any actual or perceived failure by us or third parties upon whom we rely to comply with such laws and regulations and other obligations.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our subsidiaries and affiliates collect, receive, store, and otherwise process significant and increasing volumes of personal data (including protected health information), research and developmental information, commercial information, and business and financial information, including information we collect about patients and healthcare providers in connection with clinical trials in the U.S. and abroad necessary to operate their businesses and for legal, marketing and other business-related purposes. We heavily rely on external security and infrastructure vendors to manage our information technology systems and data centers. We face a number of risks relative to protecting this critical information, including the loss of access, inappropriate use or disclosure, inappropriate modification, and the risk of our being unable to adequately monitor, audit and modify our controls over our critical information. This risk extends to third-party vendors and subcontractors we use to manage this sensitive data.</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governing the collection, transmission, storage and use of personally-identifying information, which among other things, impose requirements relating to the privacy, security, transmission and disposal of such information. The legislative and regulatory landscape for privacy and data protection continues to evolve in jurisdictions worldwide. A failure by us, our subsidiaries or affiliates or vendors acting on our behalf to comply with applicable privacy and data security laws and regulations could result in enforcement actions against us, including possible fines, imprisonment of company officials and public censure, claims for damages by affected individuals, damage to our reputation and loss of goodwill, any of which could have a material adverse effect on our business, financial condition, results of operations or prospects. New legislation anticipated to be enacted in various other states will continue to shape the U.S. data privacy regulatory framework. The effects on our business of this growing body of privacy and data protection laws, which vary from state to state, are potentially significant, and may require us to modify our data processing practices and policies and to incur substantial costs and expenses in an effort to comply.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data protection and security of personal information. At the federal level, regulations promulgated pursuant to HIPAA establish privacy and security standards for “covered entities” (group health plans and most healthcare providers) that limit the use and disclosure of individually identifiable health information those entities and their service providers receive or create (“protected health information”), and require the implementation of administrative, physical and technological safeguards to protect the security, confidentiality, integrity and availability of electronic protected health information. While we generally are not subject to the HIPAA privacy or security regulations, we do business with entities (including clinical trial investigators) that are subject to those regulations, and we have to expend resources to understand their obligations, adjust contractual terms in light of those obligations, or otherwise modify our business practices. Several U.S. states have enacted (as discussed further below) legislation specifically to regulate the collection, use, and disclosure of personal health information by entities not subject to the HIPAA privacy and security regulations. Other states have enacted laws that, while not specifically focused on personal health information, require heightened protections for that information to the extent it is not regulated by HIPAA. Given that we are generally not subject to HIPAA, these laws require us to invest in compliance resources and create liability risks for us.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Federal Trade Commission (“FTC”), along with certain state attorneys general, have taken aggressive action to protect consumers’ privacy and the use of consumer personal information. Using its authority under Section 5 of the FTC Act, which prohibits unfair and deceptive practices affecting consumers, the FTC has brought numerous cases against companies for failing to protect the privacy and security of personal information in a manner consistent with consumer expectations and such companies’ stated privacy policies, notices or other representations. Particularly because the FTC has taken these actions based on theories that are not codified in regulations, the risk of such an action is difficult to quantify and to mitigate.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 than twenty U.S. states have enacted new privacy legislation in recent years and amended existing laws to address privacy risks posed by new technologies. With respect to personal information, for example, the California Confidentiality of Medical Information Act (the “CMIA”), which expressly applies to pharmaceutical companies as well as health care providers and health plans, provides protection for personal health information stored in mobile applications and similar technologies and imposes stringent data privacy and security requirements and obligations with respect to the personal health information of California residents. Among other things, the CMIA, with limited exceptions, requires that a pharmaceutical company obtain a signed, written authorization from a patient or company employee in order to disclose his or her personal health information and requires the company to maintain reasonable security measures to protect such information. The CMIA authorizes administrative fines and civil penalties of up to $25,000 for willful violations and up to $250,000 for violations made for purposes of financial gain, as well as criminal fines. Washington State’s My Health My Data Act, and a similar Nevada law, both of which apply broadly to entities collecting personal health information either within the state or about residents of the state, generally require consent for the collection and use of such information, as well as a separate consent for sharing any such information. Violations of the Washington State law can result in civil penalties of up to $7,500 per violation, up to $25,000 in treble damages at the sole discretion of the court, and injunctive relief. Consumers also may bring their own actions to recover (i) actual damages, (ii) treble damages; and (iii) attorney’s fees. Violations of the Nevada law can result in up to $10,000 civil penalties per violation and injunctive relief.</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 broadly applicable state consumer privacy laws, including the California Consumer Privacy Act of 2018 (“CCPA”), typically require us to provide notice to state residents regarding our collection, use, and sharing of their personal information, and give state residents the right to, among other things, limit the use and disclosure of their “sensitive” (including health) personal information other than for specified purposes and the ability to opt-out of certain sales of personal information. Most of the broadly applicable state privacy laws are enforceable only by state authorities, but the CCPA provides a private right of action for data security breaches that result in the compromise of certain sensitive personal information, which may increase the likelihood of, and risks associated with, data breach litigation. Both the California Attorney General and the California Privacy Protection Agency have authority to implement and enforce the CCPA. Numerous other states in the United States have proposed or enacted similar legislation. Further, some states have enacted more specific legislation, such as Washington’s enactment of the My Health, My Data Act, which includes a private right of action. The U.S. federal government is also contemplating federal privacy legislation. Additionally, the U.S. Department of Justice recently issued a final rule that took effect in April 2025 and places limitations, and in some cases prohibitions, on certain transfers of sensitive personal data to business partners located in China or with other specified links to China (and other designated countries).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Outside of the U.S., laws, regulations and standards in many jurisdictions apply broadly to the collection, use, retention, security, disclosure, transfer and other processing of personal information. For example, in the E.U. the collection and use of personal data is governed by the provisions of the E.U. General Data Protection Regulation (the “GDPR”). The GDPR came into effect in May 2018, superseding the European Union Data Protection Directive, and imposing more stringent data privacy and security requirements on companies in relation to the processing of personal data. The GDPR, together with national legislation, regulations and guidelines of the E.U. member states governing the processing of personal data, impose strict obligations on controllers,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certain personal data breaches to the supervisory authority without undue delay (and no later than 72 hours where feasible). The GDPR also prohibits the transfer of personal data from the EEA to countries outside of the EEA unless made to a country deemed to have adequate data privacy laws by the European Commission or a data transfer mechanism has been put in place. The E.U.-US Privacy Shield was such a transfer mechanism put in place by the E.U. and the U.S., but the Privacy Shield was invalidated for international transfers of personal data in July 2020 by the Court of Justice of the European Union (“CJEU”). A replacement of the Privacy Shield – the E.U.-U.S. Data Privacy Framework (“DPF”) was since developed. In July 2023, the U.S. and E.U. implemented the DPF. Companies can now use this new mechanism to transfer personal data from the E.U. to the U.S. and from Switzerland to the U.S., following the national implementation in Switzerland. The U.K. Extension to the E.U.-U.S. Data Privacy Framework (“Data Bridge”) entered into force on October 12, 2023, allowing certifying entities to transfer personal data from the U.K. to the U.S. At the moment, it is unclear whether the anticipated legal challenges against the DPF, which may be similar to the challenge that led to the invalidation of the Privacy Shield, would be successful. It is also unclear whether actions by the Trump Administration will lead the European Commission to reconsider the DPF. Related questions were raised in the European Parliament in the beginning of 2025.</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in July 2020 the CJEU upheld the validity of standard contractual clauses (“SCCs”) as a legal mechanism to transfer personal data to jurisdictions that the European Commission has not found to provide an adequate level of protection and while the European Commission adopted new SCCs in July 2021, companies relying on SCCs must, subject to additional guidance from regulators in the EEA and the U.K., regularly evaluate and implement supplementary measures that provide privacy protections additional to those provided under SCCs. The use of the new SCCs may increase the legal risks and liabilities under EEA privacy, data protection and information security laws. Given that, at present, there are few, if any, viable alternatives to the SCCs and the DPF, any transfers by us or our vendors of personal information from the EEA to the US may not comply with the EEA data protection laws, which may increase our exposure to the GDPR’s heightened sanctions for violations of its cross-border data transfer restrictions and may prohibit our transfer of EEA personal information outside of the EEA (including clinical trial data), and may adversely impact our operations, product development and ability to provide our products.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The GDPR authorizes fines for certain violations of up to 4% of global annual revenue or €20 million, whichever is greater. Such fines are in addition to any civil litigation claims by customers and data subjects. European data protection authorities may interpret the GDPR and national laws differently and impose additional requirements, which contributes to the complexity of processing personal data in or from the EEA.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as of January 1, 2021, and the expiry of transitional arrangements agreed to between the U.K. and the E.U.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following the U.K.’s exit from the E.U.), data processing in the U.K. is governed by a U.K. version of the GDPR (combining the GDPR and the Data Protection Act 2018), exposing us to two parallel regimes, each of which potentially authorizes similar substantial fines and other potentially divergent enforcement actions for certain violations.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this adequacy decisions will automatically expire in June 2025 unless the European Commission renews or extends it and may be modified or unilaterally revoked in the interim at any point, and if this occurs it could lead to additional costs and increase our overall risk exposure. Moreover, other countries have also passed or are considering passing laws requiring local data residency or restricting the international transfer of data. In March 2024, the British Government published the Data Protection and Digital Information (No. 2) Bill intended to create a more business-friendly regime in the U.K. through changes to the existing legislation. At this stage it is unclear whether and when this legislation will be adopted and whether such legislative reforms could potentially lead the European Commission not to extend or to revoke the U.K. adequacy decision. On March 18, 2025, the European Commission proposed to extend its adequacy decision in favor of the U.K. for an additional six-month period. This would allow transfers of personal data from the E.U. to the U.K. to continue until December 27, 2025 and is intended to allow time for the legislative process to conclude in the U.K. Once this process is concluded, the European Commission will assess the new U.K. legal framework and decide on its adequacy. In the meantime, the U.K. data protection rules that were found adequate in June 2021 remain in place and continue to apply to data transferred from the E.U.</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or our third-party service providers are unable to properly protect the privacy and security of personal information or other confidential data we process in our business, we could be found to have breached our contracts. Further, if we fail to comply with applicable privacy laws, we could face civil and criminal penalties. Enforcement activity from state Attorneys General and agencies such as the California Privacy Protection Agency, the FTC, E.U. Data Protection Authorities, and other regulatory authorities in relation to privacy and cybersecurity matters can result in financial liability and reputational harm, and responses to such enforcement activity can consume significant internal resources. In the U.S., the threat of class action lawsuits based on data security breaches or alleged unfair practices adds a further layer of risk. We cannot be sure how these privacy laws and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laws and regulations frequently being adopted and coming into effect. It is possible that these laws may be interpreted and applied in a manner that is inconsistent with our current practices. Significant resources are needed to understand and comply with this changing landscape. Failure to comply with federal, state and international laws regarding privacy and security of personal information could expose us to penalties, including government-imposed fines or orders requiring that we change our practices or unwind certain lines of business, claims for damages or other liabilities, regulatory investigations and enforcement action, litigation and significant costs for remediation, any of which could adversely affect our business. Even absent any findings that we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affiliates’ employees, independent contractors, principal investigators, consultants, commercial collaborators, service providers or other vendors or potential collaborators fail to comply with healthcare laws or regulatory standards and requirements, we could face substantial penalties and our business, operations, and financial conditions could be adversely affected.</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or our affiliates’ employees and contractors, including principal investigators, CROs, CMOs, consultants, commercial collaborators, service providers and other vendors may engage in misconduct or other illegal activity. Misconduct by these parties could include intentional, reckless or negligent conduct or other unauthorized activities that violate the laws and regulations of the FDA and other similar regulatory bodies, including those laws that require the reporting of true, complete and accurate information to such regulatory bodies; manufacturing and the FDA’s GCP, GLP and GMP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bribery, corruption, antitrust violations and other abusive practices. The laws that may impact our operations include the federal Anti-Kickback Statute, the False Claims Act, the HIPAA, as amended by HITECH, the federal Physician Payment Sunshine Act, federal consumer protection and unfair competition laws and analogous state and foreign laws and regulations.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creating fraudulent data in our nonclinical studies or clinical trials or illegal misappropriation of drug product, which could result in regulatory sanctions and serious harm to our reputation.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we are subject to the risk that a person, including any person who may have engaged in any fraud or misconduct, or government agency could allege such fraud or other misconduct, even if none occurred. Furthermore, we rely on our CROs and clinical trial sites to adequately report data from our ongoing clinical trials. Moreover, in some instances, our licensing partners conduct clinical trials with respect to product candidates in different territories and we rely on any such partners to share data from their ongoing clinical trials as required under our agreements with such partners. For example, any failure by such parties to adequately report safety signals to us in a timely manner from any such trials may also affect the approvability of our product candidates or cause delays and disruptions for the approval of our product candidates, if at all. If our or our affiliates’ employees, independent contractors, principal investigators, consultants, commercial collaborators, service providers or other vendors are alleged or found to be in violation of any such regulatory standards or requirements, or become subject to a corporate integrity agreement or similar agreement and curtailment of our operations, it could have a significant impact on our business and financial results, including the imposition of significant civil, criminal and administrative penalties, damages, monetary fines, suspension or delay in our clinical trials, possible exclusion from participation in Medicare, Medicaid and other federal healthcare programs, FDA debarment, contractual damages, reputational harm, diminished profits and future earnings, and additional reporting requirements and oversight, any of which could harm our ability to operate our business and our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substantial liabilities, delay our planned or ongoing clinical trials and limit commercialization of our product candidates following regulatory approval.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risks associated with product liability claims related to the use of our product candidates in clinical trials, future sales of our product candidates following regulatory approval or historical sales of approved products.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following regulatory approval. Even successful defense would require significant costs to defend litigation and a diversion of management’s time and resources. Regardless of the merits or eventual outcome, liability claims may result in a decreased or interrupted demand for our product candidates, if approved, injury to our reputation, withdrawal of clinical trial participants and inability to continue clinical trials, and initiation of investigation by regulators. Any successful liability claims could result in substantial monetary awards to trial participants or patients; product recalls, withdrawals, or labeling, marketing or promotional restrictions; loss of revenue; exhaustion of any available insurance and our capital resources; the inability to commercialize any product candidate following regulatory approval; and a decline in our share price.</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have insurance coverage which extends to liabilities arising from our product candidates; however, there is no assurance that we will be able to maintain this insurance coverage on commercially reasonable terms or in adequate amounts or that this coverage will be sufficient to cover any losses arising from any claims related to those product candidates.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A successful product liability claim or series of claims brought against us could adversely affect our results of operations and business, including preventing or limiting the commercialization of our product candidates following regulatory approval.</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or suppliers we engage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Certain of our operations may involve the use of hazardous and flammable materials, including chemicals and biological materials, and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hurricanes, fires, outbreak of disease or other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Earthquakes, hurricanes, fires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offices,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limited earthquake and flood insurance coverage,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 candidates and the diseases our product candidates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development candidates and investigational medicines. There is also a risk of inappropriate disclosure of sensitive information or negative or inaccurate posts or comments about us on any social networking website. Furthermore, our employees, affiliates and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The use of social media also creates additional risks in the EEA and the U.K. where promotion of prescription-only medicines to patients and the general public is strictly prohibited. Social media content that is generated, shared or liked by our company or our directors, employees, staff or other representatives may potentially be perceived or construed as constituting prohibited promotion of prescription-only medicinal products and trigger enforcement and penalties. This is an area of increased scrutiny in both the EEA and the U.K.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could expose us to liability or adversely affect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certain of our early-stage discovery Vants and healthcare technology businesses use machine learning and AI as part of their business. However, there are significant risks involved in utilizing AI and no assurance can be provided that our use of AI will enhance our business or operations or result in our business or operations being more efficient or profitable. For example, AI algorithms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businesses. If the AI solutions that we create or use are deficient, inaccurate or controversial, we could suffer from competitive harm, legal liability, brand or reputational harm, or other adverse impacts on our business and financial results. If we do not have sufficient rights to use the data or other material or content on which our AI solutions or other AI tools we use rely, we also may incur liability through the violation of applicable laws, third-party intellectual property, privacy or other rights, or contracts to which we are a party.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regulation of AI is rapidly evolving worldwide as legislators and regulators are increasingly focused on these powerful emerging technologies. The technologies underlying AI and its uses are subject to a variety of laws, including intellectual property, privacy, data protection and cybersecurity, consumer protection, competition and equal opportunity laws, and are expected to be subject to increased regulation and new laws or new applications of existing laws. AI is the subject of ongoing review by various U.S. governmental and regulatory agencies, and various U.S. states and other foreign jurisdictions are applying, or are considering applying, their platform moderation, cybersecurity and data protection laws to AI or are considering general legal frameworks for AI. For example, in August 2024, the E.U. Artificial Intelligence Act (the “E.U. AI Act”), which establishes broad obligations for the development and use of AI-based technologies in the E.U. based on their potential risks and level of impact, came into force. The E.U. AI Act includes requirements around transparency, conformity assessments and monitoring, risk assessments, human oversight, security, accuracy, general purpose AI and foundation models, and provides for fines of up to the greater of €35 million or 7% of worldwide annual turnover for violations. We may not be able to anticipate how to respond to these rapidly evolving frameworks, and we may need to expend resources to adjust our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we may not be able to compete effectively in our markets.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and will continue to rely, upon a combination of patents, trademarks, trade secret protection and confidentiality agreements with employees, consultants, collaborators, advisors and other third parties to protect the intellectual property related to our brand, current and future drug development programs and product candidates. Our success depends in large part on our ability to obtain and maintain patent protection in the U.S. and other countries with respect to our product candidates. We seek to protect our proprietary position by in-licensing or acquiring intellectual property and filing or working with our licensors to file patent applications in the U.S. and abroad related to our product candidates, defending our intellectual property rights against third-party challenges and enforcing our intellectual property rights to prevent third-party infringement. The patent prosecution process is expensive and time-consuming, and we may not be able to file and prosecute all necessary or desirable patent applications at a reasonable cost or in a timely manner. Furthermore, there is always a risk that our licensed or owned issued patents and any pending and future patent applications may not protect our product candidates, in whole or in part, and may not effectively prevent others from commercializing competitive products, or that an alteration to our product candidates or processes may provide sufficient basis for a competitor to avoid infringing our patent claims. The risks associated with patent rights generally apply to patent rights that we in-license now or in the future, as well as patent rights that we may own now or in the future.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their research and development output, such as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obtain patent protection. In addition, while we have pre-publication review procedures in effect, premature or inadvertent publication of potentially patentable subject matter could preclude our ability to obtain patent protection. We may choose not to seek patent protection for certain innovations or product candidates and may choose not to pursue patent protection in certain jurisdictions, and under the laws of certain jurisdictions, patents or other intellectual property rights may be unavailable or limited in scope and, in any event, any patent protection we obtain may be limited. As a result, our product candidates may not be protected by patents in all jurisdictions. We generally apply for patents in those countries where we intend to make, have made, use, offer for sale, or sell our product candidates following regulatory approval and where we assess the risk of infringement to justify the cost of seeking patent protection. However, we do not seek protection in all countries where we intend to sell product candidates following regulatory approval and we may not accurately predict all the countries where patent protection would ultimately be desirable. If we fail to timely file a patent application in any such country or major market, we may be precluded from doing so at a later date. The patent applications that we own or in-license may fail to result in issued patents with claims that cover product candidates in the U.S. or in other countries. We may also inadvertently make statements to regulatory agencies during the regulatory approval process that may be inconsistent with positions that have been taken during prosecution of our patents, which may result in such patents being narrowed, held unpatentable, invalidated or held unenforceable in enforcement and other adversarial proceedings.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product candidates in the U.S. or in other countries. Our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We cannot guarantee any current or future patents will provide us with any meaningful protection of our product candidates or other technology or competitive advantage. For example, any issued patents might not cover the pharmaceutical composition of the product candidate that is ultimately commercialized following regulatory approval. There is no assurance that all of the potentially relevant prior art relating to our patents and patent applications has been found, which can prevent a patent from issuing from a pending patent application or be used to invalidate an issued patent or otherwise find an issued patent to be unpatentable. The examination process may require us to narrow our claims, which may limit the scope of patent protection that we may ultimately obtain. Even if patents do successfully issue and even if such patents cover our product candidates, third parties may challenge their patentability, validity, enforceability or scope, which may result in such patents being narrowly construed, invalidated or held unenforceable or unpatentable, any of which could limit our ability to prevent competitors and other third parties from developing and marketing similar products or product candidates or limit the length of terms of patent protection we may have for our product candidates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product candidates, or practicing our own patented technology, or impose a substantial royalty burden to do so. Any successful opposition to these patents or any other patents owned by or licensed to us could deprive us of rights necessary for the successful commercialization of product candidates following regulatory approval. Further, if we encounter delays in regulatory approvals, the period of time during which we could market a product candidate under patent protection could be reduced. If any of our patents are challenged, invalidated, circumvented by third parties or otherwise limited or expire prior to the commercialization of our product candidates following regulatory approval, and if we do not own or have exclusive rights to other enforceable patents protecting our product candidates or other technologies, competitors and other third parties could market products or product candidates and use processes that are substantially similar to, or superior to, ours and our business would suffer.</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patent applications we own or have in-licensed with respect to our product candidates fail to issue, if their validity, patentability, enforceability, breadth or strength of protection is threatened, or if they fail to provide meaningful exclusivity for our product candidates, it could dissuade companies from collaborating with us to develop product candidates, and threaten our ability to commercialize our product candidates following regulatory approval. Any such outcome could have a materially adverse effect on our business.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standards that the USPTO and its counterparts in other countries use to grant patents are not always applied predictably or uniformly. In addition, the laws of countries other than the U.S. may not protect our patent rights and other intellectual property rights to the same extent as the state and federal laws of the U.S., and many companies have encountered significant problems in protecting and defending such rights in such jurisdictions. For example, European patent law restricts the patentability of methods of treatment of the human body more than U.S. law does.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technologies and such parties may have filed or may file patent applications, or may have received or may receive patents, claiming inventions that may overlap or conflict with those claimed in our own or licensed patent applications or issued patents. Furthermore,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or our licensors were the first to make the inventions claimed in our owned or in-licensed patents or pending patent applications, or that we or our licensors were the first to file for patent protection of such inventions. As a result, the issuance, scope, patentability,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product candidates. Changes in either the patent laws or interpretation of the patent laws in the U.S. and other countries may diminish the value of our patents or narrow the scope of our patent protection.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patentability, validity or enforceability, and our owned and licensed patents may be challenged in the courts or patent offices in the U.S. and abroad. We are currently and may in the future be subject to third-party pre-issuance submissions of prior art to the USPTO or its equivalents and we or our licensors have in the past, and may in the future,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post-grant review or interference or derivation proceedings in the U.S. or in other jurisdictions challenging our patent rights or the patent rights of others. A third party may also claim that our owned or licensed patent rights are invalid or unenforceable in a litigation.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certain U.S. patents relating to lipid nanoparticle molar ratios and the aggregation of lipid nanoparticles that GSG, as assignee of Genevant Sciences Ltd. (“Genevant”), exclusively licensed from Arbutus Biopharma Corp. (“Arbutus”) have previously been the subject of IPR proceedings brought by Moderna Therapeutics, Inc. (“Moderna”) before the PTAB, whose decisions were subsequently reviewed by the U.S. Court of Appeals for the Federal Circuit (the “Federal Circuit”). As previously disclosed, the Federal Circuit ultimately affirmed the PTAB’s decisions upholding certain claims under those patents and invalidating others. Additionally, one European patent (EU Patent No. EP2279254) relating to lipid nanoparticle molar ratios that Genevant exclusively licensed from Arbutus is the subject of an opposition proceeding brought in 2018 by Merck Sharp &amp; Dohme Corporation and Moderna at the European Patent Office (the “EPO”) Opposition Division. In 2019, the EPO Opposition Division upheld claims as amended by an auxiliary request submitted by the patent owner. Merck and Moderna appealed and, in 2023, the Boards of Appeal of the EPO set aside the EPO Opposition Division decision and remitted the case to the EPO Opposition Division for further prosecution. In June 2024, the EPO Opposition Division upheld the patent with the same claims as amended as it had upheld in 2019. All parties have appealed the decision, and the appeals are pending. Genevant may commence litigation at any time to enforce its patent rights against infringers.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outcome following legal assertions of unpatentability, invalidity and unenforceability is unpredictable. An adverse determination in any such submission, proceeding or litigation could reduce the scope of, or invalidate, our patent rights, allow third parties to commercialize our technology or product candidates and compete directly with us, without payment to us, result in our inability to manufacture or, following regulatory approval, commercialize product candidates without infringing third-party patent rights or result in our breach of agreements pursuant to which we license such rights to our collaborators or licensees. In addition, if the patentability, validity, breadth or strength of protection provided by our patents and patent applications is threatened, it could dissuade companies from collaborating with us to license, develop or commercialize product candidates. Such challenges may result in loss of exclusivity or in patent claims being narrowed, invalidated or held unenforceable or unpatentable, in whole or in part, which could limit our freedom to operate, our ability to stop others from using or commercializing similar or identical technology and product candidates, or the duration of the patent protection of our technology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owned and in-licensed patents and pending patent applications, if issued, may not provide us with any meaningful protection or prevent competitors from designing around our patent claims to circumvent our owned or licensed patents by developing similar or alternative technologies or therapeutics in a non-infringing manner. For example, a third party may develop a competitive product that provides benefits similar to one or more of our product candidates but that falls outside the scope of our patent protection. Moreover, patents have a limited lifespan. In the U.S., the statutory expiration of a patent is generally 20 years from its earliest U.S. non-provisional filing date, without taking into account any possible patent term adjustment or extension and assuming payment of all appropriate maintenance, renewal, annuity or other governmental fees. Various extensions may be available; however, the life of a patent, and the protection it affords, are limited. Without patent protection, our product candidates may be open to competition from generic versions of such product candidates.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 candidates similar or identical to our own and, which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length of our patent terms may be inadequate to protect the competitive position of our product candidates for an adequate amount of time.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statutory expiration of a patent is generally 20 years from its earliest U.S. non-provisional filing date, without taking into account any possible patent term adjustment or extension and assuming payment of all appropriate maintenance, renewal, annuity or other governmental fees. In certain instances, the patent term may be adjusted to add additional days to compensate for delays incurred by the USPTO in issuing the patent. Also, the patent term may be extended for a period of time to compensate for at least a portion of the time a product candidate was undergoing FDA regulatory review. However, the life of a patent, and the protection it affords, are limited. Even if patents covering product candidates are obtained, once the patent life has expired, we may be open to competition from other products or product candidates, including generics or biosimilars. Given the amount of time required for the development, testing and regulatory review of new product candidates, patents protecting such product candidates might expire before or shortly after such candidates are commercialized. As a result, our owned and in-licensed patent portfolio may not provide us with sufficient rights to exclude others from commercializing product candidates similar or identical to our product candidates.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by extending the patent term, our business may be harmed.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largely depend on our ability to obtain and maintain patent rights and other intellectual property rights in the U.S. and other countries with respect to our proprietary technology, product candidates and our target indications. Given the amount of time required for the development, testing and regulatory review of product candidates, patents protecting our product candidates might expire before or shortly after such candidate begins to be commercialized. We expect to seek extensions of patent terms in the U.S. and, if available, in other countries where we are prosecuting patents.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product candidates, one or more of our U.S. patents may be eligible for a limited patent term extension (“PTE”)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cannot extend the remaining term of a patent beyond a total of 14 years from the date of product approval and is limited to only one patent that covers the approved product, the approved use of the product, or a method of manufacturing the product. Patent term extension also may be available in certain foreign countries, including the E.U. where it is known as a Supplementary Protection Certificate, upon regulatory approval of our product candidates, based on similar legislation. However,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for a given product candidate.</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 candidates following our patent expiration and launch their product earlier than might otherwise be the case.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as a result of non-compliance with these requirements.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patent agencies in other jurisdictions in several stages over the lifetime of the patent. The USPTO and various national or international patent agencies require compliance with a number of procedural, documentary, fee payment and other similar provisions during the patent application process. In certain circumstances, we rely on our licensing partners to pay these fees due to U.S. and non-U.S. patent agencies and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applications, failure to respond to official actions within prescribed time limits, underpayment or non-payment of fees and failure to properly legalize and submit formal documents within prescribed time limits. If we or our licensors fail to maintain the patents and patent applications covering our product candidates, our competitors might be able to enter the market earlier than anticipated, which would have an adverse effect on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in-licensed patents and other intellectual property rights in connection with our development of certain product candidates and, if we fail to comply with our obligations under our existing and any future intellectual property licenses with third parties, we could lose license rights that are important to our business.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develop and eventually, if approved, commercialize product candidates is dependent, and will continue to be dependent, on licenses to patent rights and other intellectual property granted to us by third parties. Further, development and, following regulatory approval, commercialization of our product candidates may require us to enter into additional license or collaboration agreements.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 If we fail to comply with our obligations under these licenses, our licensors may have the right to terminate these license agreements, in which event we may not be able to market our product candidates following regulatory approval. Termination of any of our license agreements or reduction or elimination of our licensed rights may also result in our having to negotiate new or reinstated licenses with less favorable terms. Additionally, biotechnology and pharmaceutical license agreements are complex and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harm our business, financial condition, results of operations and prospects. For example, disputes may arise with respect to our current or future licensing agreement include disputes relating to:</w:t>
      </w:r>
    </w:p>
    <w:p>
      <w:pPr>
        <w:spacing w:after="0" w:line="194"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or product candidates may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agreements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disputes over intellectual property that we have in-licensed prevent or impair our ability to maintain our current licensing arrangements on acceptable terms, we may be unable to successfully develop and, following regulatory approval, commercialize our product candidates. If our licenses are terminated, we may lose our rights to develop and market our technology and product candidates, lose patent protection for our product candidates and technology, experience significant delays in the development and, following regulatory approval, commercialization of our product candidates or incur liability for damages. In addition, we may need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following regulatory approval, commercialization of certain of our product candidates. Moreover, if disputes over intellectual property that we license prevent or impair our ability to maintain other licensing arrangements on commercially acceptable terms, we may be unable to successfully develop and commercialize the affected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 In addition, in some circumstances, we may not have the right to control the preparation, filing and prosecution of patent applications, or to maintain or enforce the patents, covering technology that our licensor licenses from third parties. Therefore, we cannot be certain that these or other patents will be prosecuted, maintained and enforced in a manner consistent with the best interests of our business. Additionally, we may not have sufficient ability to provide input into the patent prosecution, maintenance, enforcement and defense process with respect to such patents, and our licensors may fail to take the steps that we believe are necessary or desirable in order to obtain, maintain, enforce and defend the in-licensed patents. If our current or future licensors or collaboration partners fail to obtain, maintain, defend, protect or enforce any patents or patent applications licensed to us, our rights to such patents and patent applications may be reduced or eliminated and our right to develop and, following regulatory approval, commercialize product candidates that are the subject of such licensed rights could be adversely affected.</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certain of our current and future licenses may not provide us with exclusive rights to use the licensed intellectual property and technology or may not provide us with rights to use such intellectual property and technology in all relevant fields of use and in all territories in which we may wish to develop or commercialize our technology and product candidates in the future. The intellectual property portfolio licensed to us by our licensors at least in some respects, may therefore be used by such licensors or licensed to third parties, and such third parties may have certain enforcement rights with respect to such intellectual property. For example, Immunovant does not have rights to develop, manufacture, use or commercialize batoclimab or IMVT-1402 or file or enforce patents relating to these assets in territories other than the U.S., Canada, Mexico, the E.U., the U.K., Switzerland, the Middle East, North Africa and Latin America, as such rights in other jurisdictions have been retained by HanAll Biopharma Co., Ltd. (“HanAll”) or licensed by HanAll to third parties.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even if such litigation or administrative proceeding occurs in a territory in which we do not have a license. As a result, we may not be able to prevent competitors or other third parties from developing and commercializing competitive products, including in territories covered by our licenses.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or litigation alleging infringement, misappropriation or other violations of third-party patents or other proprietary rights or seeking to invalidate our patents or other proprietary rights, may delay or prevent the development and commercialization of our product candidates.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depends, and will continue to depend, in part on our avoidance of infringement, misappropriation and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Our competitors or other third parties may assert infringement claims against us, alleging that our product candidates infringe their patents. We cannot be certain that we do not infringe existing patents or that we will not infringe patents that may be granted in the future.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IPR and post-grant review before the USPTO, as well as oppositions and similar processes in other jurisdictions. Numerous U.S. and non-U.S.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There may be third-party patents or patent applications with claims to materials, formulations, methods of manufacture or methods for treatment related to the use or manufacture of our product candidates. We could also be required to pay damages, which could be significant, including treble damages and attorneys’ fees if we are found to have wilfully infringed such patents.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any of our product candidates, the holders of any such patents may be able to block our ability to commercialize such product candidates following regulatory approval, unless we obtained a license under the applicable patents, or until such patents expire or are finally determined to be invalid or unenforceable or unpatentable. Similarly, if any third-party patent were held by a court of competent jurisdiction to cover aspects of our formulations, processes for manufacture or methods of use, including combination therapy, the holders of any such patent may be able to block our ability to develop and, following regulatory approval, commercialize the applicable product candidate, unless we obtained a license or until such patent expires or is finally determined to be invalid or unenforceable or unpatentable. In either case, such a license may not be available on commercially reasonable terms or at all. Claims that we have misappropriated the confidential information or trade secrets of third parties could have a similar negative impact on our business.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which could be time-consuming and divert the attention of senior management.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following regulatory approval.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wilful infringement, obtain one or more licenses from third parties, pay royalties or redesign our affected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following regulatory approval,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product candidates, resulting in either an injunction prohibiting our sales, or, with respect to our sales, an obligation on our part to pay royalties and other forms of compensation to third parties.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because the competitors have substantially greater financial and other resources. In addition, intellectual property litigation, regardless of its outcome, may cause negative publicity, adversely impact prospective customers, cause product shipment delays or prohibit us from manufacturing, marketing or otherwise commercializing our product candidates following regulatory approval. Any uncertainties resulting from the initiation and continuation of any litigation could adversely impact our ability to raise additional funds or otherwise harm our business, results of operation, financial condition or cash flows.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harm our ability to develop and, following regulatory approvals, market our product candidates.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or may be relevant to or necessary for the commercialization of our product candidates in any jurisdiction. Patent applications in the U.S. and elsewhere are not published until approximately 18 months after the earliest filing for which priority is claimed, with such earliest filing date being commonly referred to as the priority date. In addition, U.S. patent applications filed before November 29, 2000 and certain U.S. patent applications filed after that date that will not be filed outside the U.S. remain confidential until patents issue. Therefore, patent applications covering our product candidates could have been filed by others without our knowledge. Additionally, pending patent applications that have been published can, subject to certain limitations, be later amended in a manner that could cover our product candidates, or the use thereof, provided such pending patent applications result in issued patents. Our ability to develop and market our product candidate following regulatory approval can be adversely affected in jurisdictions where such patents are issued.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following regulatory approval. We may incorrectly determine that our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and we may incorrectly conclude that a third-party patent is unpatentable, invalid or unenforceable. Our failure to identify and correctly interpret relevant patents may negatively impact our ability to develop and market our product candidates following regulatory approval.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covering our product candidates or their methods of manufacture or use,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the patents of our licensors or our other intellectual property rights. To counter infringement or unauthorized use, we may be required to file and prosecute legal claims against one or more third parties, which can be expensive and time-consuming, even if ultimately successful.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2022, Roivant’s subsidiary GSG and its affiliate Arbutus filed a lawsuit in the U.S. District Court for the District of Delaware against Moderna and an affiliate seeking damages for infringement of U.S. Patent Nos. 8,058,069, 8,492,359, 8,822,668, 9,364,435, 9,504,651, and 11,141,378 in the manufacture and sale of MRNA-1273, Moderna’s vaccine for COVID-19 (the “Moderna Action”). In November 2022, the District Court denied Moderna’s partial motion to dismiss pursuant to 28 U.S.C. § 1498(a) (“§ 1498”). In March 2023, following the submission of a Statement of Interest in the case by the U.S. Government, the court reaffirmed its prior decision and again ruled that the complaint should not be partially dismissed on the basis of § 1498. In February 2024, the court held a claim construction hearing on disputed terms within the claims of the asserted patents. On April 3, 2024, the court provided its claim construction ruling, in which it construed the disputed claim terms and agreed with GSG and Arbutus’ position on most of the disputed claim terms. Fact discovery in the Moderna Action has been completed, and expert discovery is on-going. The court in the Moderna Action has informed the parties that it plans to update the timing for the summary judgment phase and jury trial, previously scheduled for the second or third quarter of calendar year 2025 and September 2025, respectively.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Separately, in April 2023, GSG and Arbutus filed a lawsuit in the U.S. District Court for the District of New Jersey against Pfizer and BioNTech seeking damages for infringement of U.S. Patent Nos. 9,504,651, 8,492,359, 11,141,378, 11,298,320 and 11,318,098 in the manufacture and sale of COMIRNATY (the “Pfizer Action”). In July 2023, Pfizer and BioNTech filed an answer. The court held a claim construction hearing in the Pfizer Action in December 2024. The court has not provided guidance for the timing of its ruling in the claim construction ruling, which could potentially come in calendar year 2025.</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in March 2025, GSG and Arbutus filed five international lawsuits against Moderna targeting alleged infringing activity in 30 countries (the “International Cases”). These cases are:</w:t>
      </w:r>
    </w:p>
    <w:p>
      <w:pPr>
        <w:spacing w:after="0" w:line="162" w:lineRule="exact"/>
        <w:rPr>
          <w:sz w:val="20"/>
          <w:szCs w:val="20"/>
          <w:color w:val="auto"/>
        </w:rPr>
      </w:pPr>
    </w:p>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Federal Court of Canada File No. T-704-25, seeking a permanent injunction and damages or, if GSG so elects, an accounting of Moderna’s profits, attributable to infringement of Canadian Patent No. 2,721,333.</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 Tokyo District Court Case No. 2025 (Wa) 70079, seeking a permanent injunction and reasonable royalty for infringement of Japanese Patent No. 5,475,753.</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 filing a case, seeking a permanent injunction and monetary relief, which upon later choice of GSG and Arbutus can include surrender of profits, damages or a reasonable royalty, for infringement of EP 2 279 254.</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Patent Court (“UPC”): Case 10280/2025, seeking permanent and provisional injunctions, as well as monetary damages, which can include recovery of Moderna’s unfair profits, for infringement of EP 2 279 254.</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UPC: Case 10284/2025, seeking permanent and provisional injunctions, as well as monetary damages, which can include recovery of Moderna’s unfair profits, for infringement of EP 4 241 767.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UPC actions together seek relief in the following countries: Austria, Belgium, Bulgaria, Denmark, Estonia, Finland, France, Germany, Greece, Hungary, Iceland, Ireland, Italy, Latvia, Lithuania, Luxembourg, Malta, Monaco, the Netherlands, Norway, Poland, Portugal, Romania, Slovenia, Spain, Sweden, Switzerland/Liechtenstein and Turkey.</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suits, including the Moderna Action, the International Cases, and the Pfizer Action, will ultimately be resolved successfully. Further, even if we prevail against an infringer in U.S. district court, there is always the risk that the infringer will file an appeal and the district court judgment will be overturned at the appeals court and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 third party may also cause the third-party to bring counter claims against us such as claims asserting that our patents are unpatentable,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as well as for double-patenting. Grounds for an unenforceability assertion could be an allegation that someone connected with prosecution of the patent withheld relevant material information from the USPTO, or made a materially misleading statement, during prosecution or that inventorship of the patent was incorrectly named. Third parties may also raise similar validity or unpatentability claims before the USPTO in post-grant proceedings such as ex parte reexaminations, IPR or post-grant review, or oppositions or similar proceedings outside the U.S., in parallel with litigation or even outside the context of litigation. The outcome following legal assertions of unpatentability, invalidity and unenforceability is unpredictable. We cannot be certain that there is no invalidating prior art, of which we and the patent examiner were unaware during prosecution. For the patents and patent applications that we have in-licensed, we may have limited or no right to participate in the defense of any licensed patents against challenge by a third party. If a defendant were to prevail on a legal assertion of unpatentability, invalidity or unenforceability, we would lose at least part, and perhaps all, of any future patent protection on our product candidates. Such a loss of patent protection could harm our business. Additionally, any adverse outcome could allow third parties to commercialize our product candidates and compete directly with us, without payment to us, or result in our inability to manufacture or commercialize products, if approved, without infringing third-party patent rights.</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we may not seek, or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U.S. Any litigation or other proceedings to enforce our intellectual property rights may fail, and even if successful, may result in substantial costs and distract our management and other employees.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the Moderna Action, the International Cases, the Pfizer Action or any other such litigation or proceedings. Some of our competitors or other third parties may be able to sustain the costs of such litigation or proceedings more effectively than we can because of their greater financial resources. 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many of the patents we own or have licensed are owned or licensed by our subsidiaries, and in certain cases by subsidiaries that are not or will not be directly commercializing products, if approved, we may not be in a position to obtain a permanent injunction against a third party that is found to infringe our patents.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patents that we own or have in-licensed are assigned to or licensed by our direct or indirect subsidiaries. For example, any patents that Immunovant has licensed are assigned to its wholly-owned subsidiary Immunovant Sciences GmbH. If a third party is found to be infringing such patents, we and our direct subsidiaries may not be able to permanently enjoin the third-party from making, using, offering for sale or selling the infringing product or activity for the remaining life of such patent in the U.S. or other jurisdictions when the patent is assigned to a subsidiary, which is not the entity that is or would be commercializing a potentially competitive product or service. In such a circumstance, such third-party may be able to compete with us or our subsidiaries, which could have a material adverse effect on our competitive position, business, financial condition, results of operations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 candidates.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is the case with other biopharmaceutical companies, we depend and will continue to depend on intellectual property. Obtaining and enforcing patents in the biopharmaceutical industry involves both technological and legal complexity and is therefore costly, time consuming and inherently uncertain. Changes in either the patent laws or interpretation of the patent laws in the U.S. or USPTO rules and regulations could increase the uncertainties and costs.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U.S. has in the past and more recently enacted and implemented wide-ranging patent reform legislation. In addition, patent reform legislation may pass in the future that could lead to additional uncertainties and increased costs surrounding the prosecution, enforcement and defense of our patents and pending patent applications. The U.S. Supreme Court and U.S. Court of Appeals for the Federal Circuit have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For example, in June 2022, the World Trade Organization members agreed to waive certain patent rights with respect to COVID-19 vaccines. Any waiver of our patent or other intellectual property protection by the U.S. and other foreign governments, including with respect to Genevant’s licensed lipid nanoparticle (“LNP”) delivery technology as used in connection with messenger RNA vaccine delivery, could have a material adverse effect on our competitive position, business, financial condition, results of operations and prospects.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U.S. and non-U.S. legislative bodies. Those changes may materially affect our patents or patent applications and our ability to obtain additional patent protection in the future.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For example, the research resulting in certain of our acquired or in-licensed patent rights and technology for certain product candidates was funded in part by the U.S. federal government. As a result, the federal government may have certain rights to such patent rights and technology, which include march-in rights. If the federal government decides to exercise these rights, it is not required to engage us as its contractor in connection with doing so. The federal government’s rights may also permit it to disclose our confidential information to third parties and to exercise march-in rights to use or allow third parties to use our licensed technology. The federal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Further, the recipient of U.S. government funding is required to comply with certain other requirements, including timely disclosing the inventions claimed in such patent rights to the U.S. government and timely electing title to such inventions. The U.S. government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our rights in such inventions may be subject to certain requirements to manufacture product candidates embodying such inventions in the U.S. We cannot be certain that our current or future licensors will comply with the disclosure or reporting requirements of the Bayh-Dole Act at all times or be able to rectify any lapse in compliance with these requirements. Any exercise by the government of any of the foregoing rights or by any third-party of its reserved rights could have a material adverse effect on our competitive position, business, financial condition, results of operations and prospects.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patents listed in the Orange Book that cover our product candidates or patents that cover our biologic product candidates can be challenged by third parties.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one of our product candidates is approved by the FDA and if a third party files an application under Section 505(b)(2) or an abbreviated new drug application (“ANDA”) under Section 505(j) for a generic product containing any of our product candidates and relies in whole or in part on studies conducted by or for us, the third party will be required to certify to the FDA that either: (1) there is no patent information listed in the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product. A certification under 21 CFR § 314.94(a)(12)(i)(A)(4) that the new product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a third party may challenge the current patents, or patents that may issue in the future, within our portfolio, which could result in the invalidation of some or all of the patents that might otherwise be eligible for listing in the Orange Book for one of our future products. If a third party successfully challenges all of the patents that might otherwise be eligible for listing in the Orange Book for one of our future products before an ANDA or 505(b)(2) NDA is filed we will be unable to obtain a 30-month stay of FDA approval of a 505(b)(2) or ANDA.</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biologics, the BPCIA provides a mechanism for one or more third parties to seek FDA approval to manufacture or sell a biosimilar or interchangeable versions of brand name biological product candidates. Due to the large size and complexity of biological product candidates, as compared to small molecules, a biosimilar must be “highly similar” to the reference product with “no clinically meaningful differences between the two.” The BPCIA does not require reference product sponsors to list patents in the FDA’s Orange Book and does not include an automatic 30-month stay of FDA approval upon the timely filing of a lawsuit. The BPCIA, however, does require a formal pre-litigation process which includes the exchange of information between a biosimilar applicant and a reference biologic sponsor that includes the identification of relevant patents and each parties’ basis for infringement and invalidity. After the exchange of this information, we may then initiate a lawsuit within 30 days to defend the patents identified in the exchange. If the biosimilar applicant successfully challenges the asserted patent claims, it could result in the invalidation of, or render unenforceable, some or all of the relevant patent claims or result in a finding of non-infringement.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unsuccessful in enforcing our patents against generics or biosimilars, our future products could face competition prior to the expiration of the patents which cover such products, which could have a material adverse effect on our business, financial condition, results of operations and prospects. Furthermore, any such litigation or other proceedings to enforce or defend intellectual property rights are often very complex in nature, may be very expensive and time-consuming, may divert management’s attention from our core business, and may result in unfavorable results that could limit our ability to prevent third parties from competing with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The requirements for patentability may differ in certain countries, particularly developing countries, and the breadth of patent claims allowed can be inconsistent. In addition, the laws of some countries do not protect intellectual property rights to the same extent as laws of the U.S.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U.S., or from selling or importing product candidates made using our inventions in and into the U.S. or other jurisdictions. Competitors may use our technologies in jurisdictions where we have not obtained patent protection to develop their own product candidates and may also export infringing product candidates to territories where we have patent protection, but enforcement is not as strong as that in the U.S. These product candidates may compete with our product candidates and our patents or other intellectual property rights may not be effective or sufficient to prevent them from competing.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have patent rights in all countries in which a market may exist. Moreover, in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other countries product candidates and services that are the same as or similar to our product candidates and services, and our competitive position would be harmed.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biotechnology and pharmaceutical companies have encountered significant problems in protecting and defending intellectual property rights in other jurisdictions. The legal systems of certain countries, particularly certain developing countries, do not favor the enforcement of patents, trade secrets and other intellectual property protection, particularly those relating to biotechnology or pharmaceutical product candidates, which could make it difficult for us to stop the infringement of our patents or marketing of competing product candidates in violation of our intellectual property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any trade secrets, our business and competitive position would be harmed.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may rely on trade secrets, including unpatented software, know-how, technology and other proprietary information, to maintain our competitive position. We seek to protect this software and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Because we rely and expect to continue to rely on third parties to manufacture our product candidates, and we collaborate and expect to continue to collaborate with third parties on the development of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and information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disclosure, either intentional or unintentional, by our employees, the employees of third parties with whom we share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Further, adequate remedies may not exist in the event of unauthorized use or disclosure.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Policing unauthorized use of our or our licensors’ intellectual property is difficult, expensive and time-consuming, and we may be unable to determine the extent of any unauthorized use or know whether the steps we have taken to protect our intellectual property will be effective. Moreover, enforcing a claim that a party illegally disclosed or misappropriated a trade secret is difficult, expensive and time-consuming, and the outcome is unpredictable. In addition, some courts inside and outside the U.S. are less willing or unwilling to protect trade secrets. The enforceability of confidentiality agreements may also vary from jurisdiction to jurisdiction. Despite our efforts to protect our trade secrets, our competitors and other third parties may discover our trade secrets, including our proprietary software, either through breach of our agreements with third parties, independent development or publication of information by any of our third-party collaborators. A competitor’s or other third-party’s discovery of our trade secrets, including our proprietary software, would impair our competitive position and have an adverse impact on our business.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guarantee that we have entered into non-disclosure, confidentiality agreements, material transfer agreements or consulting agreements with each party that may have or have had access to our trade secrets or proprietary software, technology and processes. Despite these efforts, any of these parties may breach the agreements and disclose our proprietary information, including our trade secrets and proprietary software, and we may not be able to obtain adequate remedies for such breaches. If any of our trade secrets, including our proprietary software, were to be lawfully obtained or independently developed by a competitor or other third-party, we would have no right to prevent them, or those to whom they communicate it, from using that technology or information to compete with us. If any of our trade secrets, including our proprietary software, were to be disclosed to or independently developed by a competitor or other third-party, our competitive position would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software utilized in our computational drug discovery efforts may include third-party open source software. Any failure to comply with the terms of one or more open source software licenses could adversely affect our business, subject us to litigation, or create potential liability.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software utilized in our computational drug discovery efforts may include third-party open source software and we expect to continue to incorporate open source software in the future. The use or distribution of open source software involves a number of risks, many of which cannot be eliminated and could negatively affect our business. For example, we cannot ensure that we have effectively monitored our use of open source software or that we are in compliance with the terms of the applicable open source licenses or our current policies and procedures. There have been claims against companies that use open source software asserting that the use of such open source software infringes the claimants’ intellectual property rights including patent rights and copyrights. As a result, we could be subject to suits by third parties claiming infringement on such third parties’ intellectual property rights. Litigation could be costly for us to defend, have a negative effect on our business, financial condition and results of operations, or require us to devote additional research and development resources to modify our computational drug discovery platform.</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Use or distribution of open source software may entail greater risks than use of third-party commercial software, as open source licensors generally do not provide warranties, controls on the origin of the software or other contractual protections regarding infringement claims or the quality of the code, including with respect to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have not been interpreted by courts in the relevant jurisdictions, and there is a risk that such licenses could be construed in a manner that imposes unanticipated conditions or restrictions on our ability to market our solutions. By the terms of certain open source licenses, if portions of our proprietary software are determined to be subject to an open source license or if we combine our proprietary software with open source software in a certain manner, we could be required to release the source code of our proprietary software and to make our proprietary software available under open source licenses, each of which could reduce or eliminate the effectiveness of our computational discovery efforts. We may also face claims alleging noncompliance with open source license terms or misappropriation or other violation of open source technology. We may also face claims alleging that the contractual terms of an open source license provide the licensor with an ownership interest in our developments made using software that incorporates the open source code. Any of these events could create liability for us and damage our reputation, which could have a material adverse effect on our competitive position, business, financial condition, results of operations and prospects.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software, biotechnology or pharmaceutical companies, including our licensors, competitors or potential competitors. Although we seek to protect our ownership of intellectual property rights by ensuring that our agreements with our employees, collaborators, consultants, independent contractors and other third parties with whom we do business include provisions requiring such parties to not use the confidential information of their former employer, we may be subject to claims that we or our employees, consultants, independent contractors or other third parties have inadvertently or otherwise used or disclosed confidential information of our employees’ former employers or other third parties. We may also be subject to claims that former employers or other third parties have an ownership interest in our owned or in-licensed patents or patent applications.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which could limit our ability to stop others from using or commercializing similar technology and therapeutics, without payment to us, could limit the duration of the patent protection covering our technology and product candidates and could result in our inability to develop, manufacture or commercialize our product candidates following regulatory approval without infringing third-party patent rights. Such intellectual property rights could be awarded to a third party, and we could be required to obtain a license from such third-party to commercialize our product candidates following regulatory approval. Such a license may not be available on commercially reasonable terms or at all. Even if we are successful, litigation could result in substantial cost and be a distraction to our management and other employees. Moreover, any such litigation or the threat thereof may harm our reputation, our ability to form strategic alliances or sublicense our rights to collaborators, engage with scientific advisors or hire employees or consultants, each of which would harm our business, results of operations and financial condition.</w:t>
      </w:r>
    </w:p>
    <w:p>
      <w:pPr>
        <w:sectPr>
          <w:pgSz w:w="11900" w:h="16838" w:orient="portrait"/>
          <w:cols w:equalWidth="0" w:num="1">
            <w:col w:w="11240"/>
          </w:cols>
          <w:pgMar w:left="320" w:top="115"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and will continue to rely, on a combination of internally developed and in-licensed intellectual property rights and we or our licensors may be subject to claims that former employees, consultants, independent contractors,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independent contractors or other third parties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harm our business, financial condition, results of operations and prospects.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independent contractors and other third parties who may be involved in the development of intellectual property to execute agreements assigning such intellectual property to us, we may be unsuccessful in executing such an agreement with each party who in fact develops intellectual property that we regard as our own. Our invention assignment agreements may not be self-executing or may be breached, and we may not have adequate remedies for any such breach. Additionally,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including the Moderna Action and the Pfizer Action,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Accordingly, despite our efforts, we may not be able to prevent third parties from infringing upon or misappropriating our intellectual property. In addition, the uncertainties associated with litigation could compromise our ability to raise the funds necessary to pursue our commercialization efforts, continue our clinical trials and internal research programs or in-license needed technology or other future product candidates. Uncertainties resulting from the initiation and continuation of patent litigation or other proceedings could compromise our ability to compete in the marketplace, including compromising our ability to raise the funds necessary to pursue our commercialization efforts, continue our clinical trials, continue our research programs, license necessary technology from third parties, or enter into development collaborations that would help us commercialize our product candidates following regulatory approval. Any of the foregoing could harm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intellectual property rights to future product candidates through acquisitions and in-licenses.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product candidates. Accordingly, we may seek to acquire or in-license patented or proprietary technologies to develop such product candidates or to grow our product offerings and technology portfolio. However, we may be unable to acquire or in-license intellectual property rights relating to, or necessary for, any such product candidate or technology from third parties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In that event, we may be unable to develop or commercialize such product candidates or technology. We may also be unable to identify product candidates or technology that we believe are an appropriate strategic fit for our company and protect intellectual property relating to, or necessary for, such product candidate and technology.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for any future product candidate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 candidates, our business, financial condition, results of operations and prospects for growth could suffer.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expect that competition for the in-licensing or acquisition of third-party intellectual property rights for any future product candidate and technologies that are attractive to us may increase in the future, which may mean fewer suitable opportunities for us as well as higher acquisition or licensing costs. We may be unable to in-license or acquire the third-party intellectual property rights for product candidates or technology on terms that would allow us to make an appropriate return on 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and will continue to rely, on trademarks as one means to distinguish product candidates that are approved for marketing from the product candidates of our competitors. Our current and future trademark applications in the U.S. and in other jurisdictions may not be allowed or may subsequently be opposed, challenged, infringed, circumvented, declared generic or determined to be infringing other marks. Additionally, once we select new trademarks and apply to register them, our trademark applications may not be approved. Third parties have in the past opposed, are currently opposing and may in the future oppose or attempt to cancel our trademark applications or trademarks, or otherwise challenge our use of the trademarks. In the event that our trademarks are successfully challenged, we could be forced to rebrand product candidates,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Once granted, patents may remain open to invalidity challenges including opposition, interference, re-examination, post-grant review, IPR,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the granted claims may be finally determined to be unpatentable, invalid or unenforceable altogether.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if a third party has intellectual property rights that cover the practice of our technology, we may not be able to fully exercise or extract value from our intellectual property rights. The following examples are illustrative:</w:t>
      </w:r>
    </w:p>
    <w:p>
      <w:pPr>
        <w:spacing w:after="0" w:line="162" w:lineRule="exact"/>
        <w:rPr>
          <w:sz w:val="20"/>
          <w:szCs w:val="20"/>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formulations or compositions that are the same as or similar to our product candidates, but that are not covered by the claims of the patents that we own;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that we intend to commercialize that are not covered by the patents that we exclusively licensed and have the right to enforce;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 or any collaborators might not have been the first to make or reduce to practice the inventions covered by the issued patents or pending patent applications that we own or have exclusively licensed;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or any collaborators might not have been the first to file patent applications covering certain of our inventions;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 and we may not develop additional proprietary technologies that are patentable;</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 candidates or technologies could use the intellectual property of others without obtaining a proper license;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may assert an ownership interest in our intellectual property and, if successful, such disputes may preclude us from exercising exclusive rights over that intellectual property;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necessary licenses on commercially reasonable terms, or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by us, our early-stage discovery Vants and our healthcare technology businesses may introduce intellectual property risks.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use of AI by us, our early-stage discovery Vants and healthcare technology businesses may introduce intellectual property risks that may adversely affect our ability to protect and commercialize our innovations. As part of our business strategy, we and certain of our Vants integrate AI-driven technologies into various stages of research and development processes, including target identification, drug discovery, compound screening, and clinical trial optimization. The use of generative AI algorithms, particularly those that autonomously generate data, models, or potential therapeutic candidates, raises unresolved legal questions about inventorship and ownership under current patent laws in the United States and other jurisdictions. Patent offices, including the USPTO, have yet to adopt a consistent framework for determining inventorship of AI-generated inventions. If we are unable to establish that our employees or systems meet the legal criteria for inventorship, we may be unable to secure patent protection for certain innovations developed using AI. Inability to protect such AI-generated inventions may diminish our competitive advantage and allow others to compete with us, harming our business. Obtaining and enforcing intellectual property protection for AI-generated outputs, such as product candidates or clinical trial designs, also presents risks to our business. If we are found to have used data in a manner inconsistent with applicable laws or agreements, we could face legal claims, ownership disputes, invalidation of our intellectual property rights, or restrictions on the use of our AI models. If we are unable to secure, maintain, and enforce effective intellectual property protection for our AI-enabled innovations, our business may be harmed. If we become subject to significant intellectual property litigation or licensing restrictions based on our use of AI tools, our ability to achieve or sustain a successful business may be materially harmed. Our use of AI in these processes may involve several intellectual property risks that may materially impact our business, financial condition, and results of operations.</w:t>
      </w:r>
    </w:p>
    <w:p>
      <w:pPr>
        <w:sectPr>
          <w:pgSz w:w="11900" w:h="16838" w:orient="portrait"/>
          <w:cols w:equalWidth="0" w:num="1">
            <w:col w:w="11240"/>
          </w:cols>
          <w:pgMar w:left="320" w:top="115" w:right="3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Our Jurisdiction of Incorporation and Certain Tax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performance does not meet market expectations, the price of our common shares may decline. In addition, the trading price of our common shares could be volatile and subject to wide fluctuations in response to various factors, some of which are beyond our control. Any of the factors listed below could have a material adverse effect on the price of our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affecting the trading price of our common shares may include:</w:t>
      </w:r>
    </w:p>
    <w:p>
      <w:pPr>
        <w:spacing w:after="0" w:line="225" w:lineRule="exact"/>
        <w:rPr>
          <w:sz w:val="20"/>
          <w:szCs w:val="20"/>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and annual financial results or the quarterly and annual financial results of companies perceived to be similar to it;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market expectations in a particular period;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Vant’s operating results failing to meet market expectations in a particular period, which could impact the market prices of shares of a public Vant or the valuation of a private Vant, and in turn adversely impact the trading price of our common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 for a product candidate in one or more jurisdictions, or the failure to receive such marketing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or preclinical studies conducted by us and the Vants;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the Vants or the biopharmaceutical industry and market in general;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and the Vants’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or other claims or proceedings, including governmental and regulatory proceedings;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shares available for public sale and the relatively limited free float of our common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of directors or management;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shares by directors, executive officers or significant shareholders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tariffs and trade conditions in the global economy, commodity prices, international currency fluctuations and acts of war or terrorism.</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depress the market price of our common shares irrespective of our or the Vants’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companies engaging in digital payments or the stocks of other companies which investors perceive to be similar to us could depress our stock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has devoted and will continue to devote a substantial amount of time to new compliance initiatives.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and these expenses are expected to increase now that we are no longer an emerging growth company, as defined in Section 2(a) of the Securities Act. As a public company, we are subject to the reporting requirements of the Exchange Act, the Sarbanes-Oxley Act and the Dodd-Frank Act, as well as rules adopted, and to be adopted, by the SEC and the Nasdaq. We also expect that compliance with the auditor attestation requirements of Section 404 of the Sarbanes-Oxley Act and increased disclosure requirements will substantially increase our legal and financial compliance costs. Our management and other personnel have devoted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blended director and officer liability insurance and forced us to forego securities and corporate protection coverage. We cannot predict or estimate the amount or timing of additional costs we have incurred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shares may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costly. If we or our auditors are unable to conclude that our internal control over financial reporting is effective, investors may lose confidence in our financial reporting and the trading price of our common shares may decline.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determined that our internal control over financial reporting was effective as of March 31, 2025, we cannot assure you that there will not be material weaknesses or significant deficiencies in our internal control over financial reporting in the future. Any failure to maintain internal control over financial reporting could adversely impact our ability to accurately and timely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shares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of association and bye-laws, as well as provisions of Bermuda law, could delay or prevent a change in control, limit the price investors may be willing to pay in the future for our common shares and could entrench management.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memorandum of association and bye-laws contain provisions that could make it more difficult for a third party to acquire us without the consent of our board of directors. These provisions provide for:</w:t>
      </w:r>
    </w:p>
    <w:p>
      <w:pPr>
        <w:spacing w:after="0" w:line="162" w:lineRule="exact"/>
        <w:rPr>
          <w:sz w:val="20"/>
          <w:szCs w:val="20"/>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powers, preferences and rights of preference shares and to cause us to issue the preference shares without shareholder approval;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shareholder proposals and nominations and placing limitations on convening shareholder meetings.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provisions may make the removal of management more difficult and may discourage transactions that otherwise could involve payment of a premium over prevailing market prices for our securities. These provisions could also discourage proxy contests and make it more difficult for you and other shareholders to elect directors of your choosing and cause us to take corporate actions other than those you desire, any of which could harm our share price.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shareholders own a significant percentage of our common shares and are able to exert significant control over matters subject to shareholder approval.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largest shareholders continue to hold a significant percentage of our common shares.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they may exercise their voting and other rights in a manner with which you may not agree or that may not be in the best interests of our other shareholders. Furthermore, our largest shareholders may from time to time have interests that differ from ours or from one another, and from time to time there may be disputes with or between such shareholders, which could be costly, time-consuming and divert management resources. So long as these holders continue to own a significant amount of our equity, they will continue to be able to strongly influence our decisions.</w:t>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the Vants may need additional capital in the future to continue our operations. To the extent we raise additional capital by issuing equity securities, including in our subsidiaries, our shareholders may experience substantial dilution. We or the Vants may sell securities, including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In addition, new investors could gain rights superior to our existing shareholders.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2021 Equity Incentive Plan (the “2021 EIP”), we are authorized to grant options, restricted stock units and other share-based awards to our employees, directors and consultants. The aggregate number of shares reserved for issuance under the 2021 EIP increases annually on the first day of each fiscal year during the term of the plan in an amount equal to the lesser of (i) 5% of the number of our common shares outstanding as of the day of the immediately preceding fiscal year and (ii) such number of our common shares as determined by our board of directors in its discretion. On March 31, 2025, the board of directors deferred the annual increase in the shares available for issuance under the 2021 EIP to one or more later dates prior to March 31, 2026. To the extent the board of directors later approves this annual increase, or if our board of directors elects in the future to make any additional increase in the number of shares available for future grant under the 2021 EIP, and if our shareholders approve of any such additional increase, our shareholders may experience additional dilution, and our share price may fall.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Issuance of options, restricted stock units and other share-based awards pursuant to equity incentive plans at the Vants may indirectly have a similar effect of diluting your ownership in us since a portion of the value of our common shares is tied to the value of the Vants, which would be diluted in the event of a grant of options or other similar equity grants to the employees of the Vants.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shares by us or our existing shareholders could cause the market price for our common shares to decline and impact our ability to raise capital in the future.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common shares by us or certain of our existing large shareholders, or the perception that these sales could occur, could substantially decrease the market price of our common shares. Shares held by certain of our large shareholders have been registered for re-sale pursuant to a registration statement on Form S-3 and may also be sold pursuant to Rule 144 under the Securities Act, subject to certain restrictions (including restrictions applicable to affiliates in the case of shares held by persons deemed to be our affiliates). The market price of our common shares could drop significantly if the holders of these shares sell them or are perceived by the market as intending to sell them. This, in turn, could also make it more difficult for us to raise additional funds through future offerings of our common shares or other securities at prices that are attractive to us,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publish negative evaluations of our shares, the price of our common shares could decline.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If any of the analysts who may cover us change their recommendation regarding our common shares adversely, or provide more favorable relative recommendations about its competitors, the price of our common shares would likely decline. If any analyst who may cover us were to cease coverage or fail to regularly publish reports, we could lose visibility in the financial markets, which in turn could cause our share price or trading volume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plans to pay cash dividends on our common shares for the foreseeable future, you may not receive any return on investment unless you sell our common shares for a price greater than that which you paid for it.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other corporate uses and have no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As a result, you may not receive any return on an investment in our common shares unless you sell your shares for a price greater than that which you paid for them.</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exempted company limited by shares incorporated under the laws of Bermuda and it may be difficult for you to enforce judgments against us or our directors and executive officers.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U.S. and may afford less protection to our shareholders.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will waive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Nasdaq.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Nasdaq or another appointed stock exchange.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unanticipated tax liabilities and higher effective tax rates.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Bermuda. We are centrally managed and controlled in the U.K., and under current U.K. tax law, a company which is centrally managed and controlled in the U.K. is regarded as resident in the U.K. for taxation purposes. Accordingly, we expect to be subject to U.K. taxation on our income and gains, and subject to U.K.’s controlled foreign company rules, except where an exemption applies. We may be treated as a dual resident company for U.K. tax purposes. As a result, our right to claim certain reliefs from U.K. tax may be restricted, and changes in law or practice in the U.K. could result in the imposition of further restrictions on our right to claim U.K. tax reliefs. We may also become subject to income, withholding or other taxes in certain jurisdictions by reason of our activities and operations, and it is also possible that taxing authorities in any such jurisdictions could assert that we are subject to greater taxation than we currently anticipate, including as a result of the denial of treaty benefits that we may claim. Any such additional tax liability could materially adversely affect our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Bermuda and are centrally managed and controlled in the U.K. We currently have subsidiaries in the U.S., U.K., Switzerland and certain other jurisdictions. If we succeed in growing our business, we expect to conduct increased operations through our subsidiaries in various countries and tax jurisdictions, in part through intercompany service agreements between our subsidiaries and us. In that case,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procedures are not binding on applicable taxing authorities. If taxing authorities in any of these countries were to successfully challenge our transfer prices as not reflecting arm’s length transactions between two or more affiliated companies, they could require such affiliated companies to adjust their transfer prices and thereby reallocate the income between such affiliated companies to reflect these revised transfer prices, which could result in a higher tax liability to us. In addition, if the country from which the income is reallocated does not agree with the reallocation, both countries could tax the same income, resulting in double taxation. If taxing authorities were to allocate income to a higher tax jurisdiction, subject our income to double taxation or assess interest and penalties, it would increase its consolidated tax liability, which could adversely affect our financial condition, results of operations and cash flows.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changes in foreign currency exchange rates or by changes in the relevant tax, accounting and other laws (including tax treaties), regulations, principles and interpretations. As we intend to operate in numerous countries and taxing jurisdictions, the application of tax laws can be subject to diverging and sometimes conflicting interpretations by tax authorities of these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tax laws are dynamic and subject to change as new laws are passed and new interpretations of the law are issued or applied. We continue to assess the impact of such changes in tax laws and interpretations on our business and may determine that changes to our structure, practice, tax positions or the manner in which we conduct our business are necessary in light of such changes and developments in the tax laws of other jurisdictions in which we operate. Such changes may nevertheless be ineffective in avoiding an increase in our consolidated tax liability, which could adversely affect our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reduce our net income in future periods.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tax position could be adversely impacted by changes in tax rates, tax laws, tax practice, tax treaties or tax regulations or changes in the interpretation thereof by the tax authorities in Europe (including the U.K. and Switzerland), the U.S., Bermuda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were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actual effective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stock-based compensation; (6) changes in tax laws (including tax treaties) or the interpretation of such tax laws (including tax treaties) and changes in U.S. generally accepted accounting principles; (7) challenges to the transfer pricing policies related to our structure; (8) potential taxation under the OECD BEPS 2.0; and (9) potential limitation on tax attributes due to ownership changes (i.e. Internal Revenue Code 382 and 383) or expiration.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own 10% or more of the combined voting power or value of our common shares may suffer adverse tax consequences because we and our non-U.S. subsidiaries may be characterized as “controlled foreign corporations” (“CFCs”) under Section 957(a) of the Code.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non-U.S. corporation is considered a CFC if more than 50% of (1) the total combined voting power of all classes of stock of such corporation entitled to vote or (2) the total value of the stock of such corporation, is owned, or is considered as owned by applying certain constructive ownership rules, by U.S. shareholders (U.S. persons who own stock representing 10% or more of the combined voting power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were not classified as a CFC for the taxable year ended March 31, 2025. However, our non-U.S. subsidiaries will be classified as CFCs for the taxable year ended March 31, 2025. For U.S. holders who hold 10% or more of the combined voting power or value of our common shares, this may result in adverse U.S. federal income tax consequences, such as current U.S. taxation of Subpart F income (regardless of whether we make any distributions), taxation of amounts treated as global intangible low-taxed income under Section 951A of the Code with respect to such shareholder, and being subject to certain reporting requirements with the IRS. Any such U.S. holder who is an individual generally would not be allowed certain tax deductions or foreign tax credits that would be allowed to a U.S. corporation. If you are a U.S. holder who holds 10% or more of the combined voting power or value of our common shares, you should consult your own tax advisors regarding the U.S. tax consequences of acquiring, owning or disposing of our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 of our common shares may suffer adverse tax consequences if we are characterized as a passive foreign investment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average quarterly value of our assets is attributable to assets that produce passive income or are held for the production of passive income, including cash, we would be characterized as a passive foreign investment company (a “PFIC”) for U.S. federal income tax purposes. For purposes of these tests, passive income generally includes dividends, interest, gains from the sale or exchange of investment property and rents and royalties other than rents and royalties which are received from unrelated parties in connection with the active conduct of a trade or business. Additionally, if we own (directly or indirectly) at least 25% (by value) of the stock of another corporation, for purposes of determining whether we are a PFIC, generally we would be treated as if we held our proportionate share of the assets of such other corporation and received directly our proportionate share of the income of such other corporation and generally we would retain the character of such assets and income as if they were held directly by us rather than by such other corporation.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certain distributions by us and the proceeds of sales or other dispositions of our common shares that result in a gain to the U.S. holder. In addition, special information reporting may be required.</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from time to time. The 50% passive asset test described above is generally based on the fair market value of each asset. If we are a CFC (determined by disregarding certain downward attribution rules) and not publicly traded for the relevant taxable year, however, the test shall be applied based on the adjusted basis of our assets. Because our common shares should be considered to be “publicly traded” for the taxable year that ended on March 31, 2025, we would apply the 50% passive asset test using the fair market value of our assets. In addition, our status may also depend, in part, on how quickly we utilize our cash on-hand and cash from future financings in our business.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with respect to the taxable year that ended on March 31, 2025, we believe that we were not a PFIC based in part upon the fair market value of our assets, including any goodwill and intangible property and the nature and composition of our income and assets.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status as a PFIC is a fact-intensive determination made on an annual basis, which is subject to uncertainties, including but not limited to the fact that the value of our assets for purposes of the PFIC determination may be affected by the trading value of our common shares, which could fluctuate significantly. The total value of our assets for purposes of the PFIC asset test frequently (though not invariably) may be inferred using the market price of our ordinary shares, which may fluctuate considerably and thereby affect the determination of our PFIC status for future taxable years. Our U.S. counsel expresses no opinion with respect to our PFIC status for the current or future taxable years. We will endeavor to determine our PFIC status for each taxable year and make such determination available to U.S. holders.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9" w:lineRule="exact"/>
        <w:rPr>
          <w:sz w:val="20"/>
          <w:szCs w:val="20"/>
          <w:color w:val="auto"/>
        </w:rPr>
      </w:pPr>
    </w:p>
    <w:p>
      <w:pPr>
        <w:jc w:val="both"/>
        <w:ind w:firstLine="706"/>
        <w:spacing w:after="0" w:line="261" w:lineRule="auto"/>
        <w:rPr>
          <w:sz w:val="20"/>
          <w:szCs w:val="20"/>
          <w:color w:val="auto"/>
        </w:rPr>
      </w:pPr>
      <w:r>
        <w:rPr>
          <w:rFonts w:ascii="Times New Roman" w:cs="Times New Roman" w:eastAsia="Times New Roman" w:hAnsi="Times New Roman"/>
          <w:sz w:val="18"/>
          <w:szCs w:val="18"/>
          <w:color w:val="auto"/>
        </w:rPr>
        <w:t>Roivant’s corporate information security organization, led by our Chief Information Security Officer (“CISO”), is responsible for our overall information security strategy, policy, security engineering, operations and cybersecurity threat and incident detection and response centrally at Roivant and the majority of our Vants. Certain of our Vants, including Immunovant and our healthcare technology Vants, have established and maintain separate cybersecurity functions which are similarly designed to protect their information and assets from cybersecurity threats or incidents.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Roivant and the Vants’ information security organization manages a robust enterprise security structure with the goal of preventing and mitigating any cybersecurity incidents, while simultaneously working to continually increase information technology system resilience designed to minimize any business impact should a cybersecurity incident occur. Central to Roivant’s information security organization is our Cybersecurity Incident Response Team, which is responsible for the protection, detection and response capabilities used to protect our data and enterprise computing networks. A Cybersecurity Risk Governance Committee oversees processes for identifying and mitigating cybersecurity threats and incidents and helps align our risk exposure with our strategic objectives. Cybersecurity threats and incidents deemed to have a moderate or higher business impact, even if immaterial to us as a whole, are reported to the Corporate Risk Management Committee and shared with Roivant’s board of directors.</w:t>
      </w:r>
    </w:p>
    <w:p>
      <w:pPr>
        <w:spacing w:after="0" w:line="189" w:lineRule="exact"/>
        <w:rPr>
          <w:sz w:val="20"/>
          <w:szCs w:val="20"/>
          <w:color w:val="auto"/>
        </w:rPr>
      </w:pPr>
    </w:p>
    <w:p>
      <w:pPr>
        <w:jc w:val="both"/>
        <w:ind w:firstLine="694"/>
        <w:spacing w:after="0" w:line="266" w:lineRule="auto"/>
        <w:rPr>
          <w:sz w:val="20"/>
          <w:szCs w:val="20"/>
          <w:color w:val="auto"/>
        </w:rPr>
      </w:pPr>
      <w:r>
        <w:rPr>
          <w:rFonts w:ascii="Times New Roman" w:cs="Times New Roman" w:eastAsia="Times New Roman" w:hAnsi="Times New Roman"/>
          <w:sz w:val="18"/>
          <w:szCs w:val="18"/>
          <w:color w:val="auto"/>
        </w:rPr>
        <w:t>Roivant and the Vants implement multiple levels of cybersecurity measures, including standard malware detection and prevention software, email security programs, privileged access management, vulnerability detection and remediation software, security patching management, security event logging and reviews and special isolation and access controls for data repositories that may contain sensitive information, including protected health information.</w:t>
      </w:r>
    </w:p>
    <w:p>
      <w:pPr>
        <w:spacing w:after="0" w:line="176" w:lineRule="exact"/>
        <w:rPr>
          <w:sz w:val="20"/>
          <w:szCs w:val="20"/>
          <w:color w:val="auto"/>
        </w:rPr>
      </w:pPr>
    </w:p>
    <w:p>
      <w:pPr>
        <w:jc w:val="both"/>
        <w:ind w:firstLine="706"/>
        <w:spacing w:after="0" w:line="261" w:lineRule="auto"/>
        <w:rPr>
          <w:sz w:val="20"/>
          <w:szCs w:val="20"/>
          <w:color w:val="auto"/>
        </w:rPr>
      </w:pPr>
      <w:r>
        <w:rPr>
          <w:rFonts w:ascii="Times New Roman" w:cs="Times New Roman" w:eastAsia="Times New Roman" w:hAnsi="Times New Roman"/>
          <w:sz w:val="18"/>
          <w:szCs w:val="18"/>
          <w:color w:val="auto"/>
        </w:rPr>
        <w:t>Roivant and the Vants’ cybersecurity programs are informed by industry standards and include periodic risk assessments and security testing supported by cybersecurity technologies, including third-party security solutions, vulnerability management and monitoring tools, designed to monitor, identify and manage risks from cybersecurity threats and incidents. In addition, we have implemented employee security and awareness training related to cybersecurity threats and incidents.</w:t>
      </w:r>
    </w:p>
    <w:p>
      <w:pPr>
        <w:spacing w:after="0" w:line="180" w:lineRule="exact"/>
        <w:rPr>
          <w:sz w:val="20"/>
          <w:szCs w:val="20"/>
          <w:color w:val="auto"/>
        </w:rPr>
      </w:pPr>
    </w:p>
    <w:p>
      <w:pPr>
        <w:jc w:val="both"/>
        <w:ind w:firstLine="693"/>
        <w:spacing w:after="0" w:line="254" w:lineRule="auto"/>
        <w:rPr>
          <w:sz w:val="20"/>
          <w:szCs w:val="20"/>
          <w:color w:val="auto"/>
        </w:rPr>
      </w:pPr>
      <w:r>
        <w:rPr>
          <w:rFonts w:ascii="Times New Roman" w:cs="Times New Roman" w:eastAsia="Times New Roman" w:hAnsi="Times New Roman"/>
          <w:sz w:val="18"/>
          <w:szCs w:val="18"/>
          <w:color w:val="auto"/>
        </w:rPr>
        <w:t>Roivant and the Vants undergo periodic internal compliance audits and external reviews to evaluate our controls, including cybersecurity controls. Additionally, a majority of our information technology systems are built on services provided by third parties. In an effort to minimize third-party risk, we have established a process designed to assess the cybersecurity practices of third-party suppliers and related risks, including through review of relevant supplier certifications and cybersecurity procedures and responses to standardized information-gathering questionnaires, as we deem applicable and appropriate. Our control over and ability to monitor the security posture of third parties with whom we do business remains limited and there can be no assurance that we can prevent, mitigate or remediate the risk of any compromise or failure in the security infrastructure owned or controlled by such third parties. Additionally, any contractual protections with such third parties, including our right to indemnification, if any at all, may be limited or insufficient to prevent a negative impact on our business from any such compromise or failure.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Governance Related to Cybersecurity Risks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Roivant’s board of directors oversees our overall risk management strategy, including with respect to cybersecurity risks. Cybersecurity risk management policies and procedures are integrated into our overall risk management strategy, which is overseen by the audit committee of the board of directors (“Audit Committee”). At least annually, the Audit Committee discusses our risk management program, including any information security and technology risks and findings from any audits, with our Chief Accounting Officer and other members of our management team.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management level, our CISO is primarily responsible for leading our cybersecurity strategy centrally at Roivant and the majority of our Vants. Our CISO has extensive cybersecurity experience across a wide array of industries, with previous leadership positions specializing in safeguarding healthcare data across various health technology companies.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Immunovant and the healthcare technology Vants that have established and maintain separate cybersecurity functions, governance is similarly overseen in the first instance by the boards of directors of those Vants as part of their overall risk management strategy, with ultimate oversight on a company-wide basis by the Roivant board of directors.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7th Floor, 50 Broadway, London SW1H 0DB, United Kingdom. Our registered office is located at Clarendon House, 2 Church Street, Hamilton HM 11, Bermuda.</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subsidiary Roivant Sciences, Inc. (“RSI”) subleases 83,340 square feet of office space located in New York, New York, pursuant to a sublease agreement that expires in October 2032. In September 2024, RSI entered into a new lease agreement (the “RSI Lease Agreement”) with One Penn Plaza LLC for office space in New York, New York to serve as the future U.S. corporate headquarters of RSI. The RSI Lease Agreement commenced in December 2024 and will expire in August 2041. The lease contains an option to early terminate in August 2036 and an option to extend the term for one additional period of five years or 10 years at then-market rates in August 2041. Certain of our subsidiaries and affiliates also lease office space in New York, New York and Basel, Switzerland. We do not own any properties.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and our subsidiaries’ leased facilities are in good condition and are well maintained and that our current arrangements will be sufficient to meet our needs for the foreseeable future and that any required additional space will be available on commercially reasonable terms to meet space requirements if they arise.</w:t>
      </w:r>
    </w:p>
    <w:p>
      <w:pPr>
        <w:spacing w:after="0" w:line="17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do not currently, however, expect any such legal proceedings to have a material adverse effect on our business, operating results or financial condition. However, depending on the nature and timing of a given dispute, an unfavorable resolution could materially affect our current or future results of operations or cash flows.</w:t>
      </w:r>
    </w:p>
    <w:p>
      <w:pPr>
        <w:spacing w:after="0" w:line="17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460" w:right="1040" w:hanging="1457"/>
        <w:spacing w:after="0" w:line="28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“ROIV.”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May 21, 2025, there were approximately 64 holders of record of our common shares. The actual number of holders of our common shares is greater than this number of record holders and includes shareholders who are beneficial owners but whose common shares are held in street name by banks, brokers and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about our equity compensation plans in Item 12 of Part III of this Annual Report on Form 10-K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stock performance graph illustrates a comparison from October 1, 2021 (the date our common shares commenced trading on The Nasdaq Global Market) through March 31, 2025, of the total cumulative shareholder return on our common shares, The Nasdaq Composite Index and The Nasdaq Biotechnology Index. This graph assumes an initial investment of $100 on October 1, 2021 at the market closing price of $9.35 per share, and that all dividends were reinvested (although dividends have not been paid on our common shares). The comparisons in the graph are required by the SEC and are not intended to forecast or be indicative of possible future performance of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128270</wp:posOffset>
            </wp:positionV>
            <wp:extent cx="3625850" cy="2314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2585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included under the heading Performance Graph is “furnished” and not “filed” for purposes of Section 18 of the Exchange Act, or otherwise subject to the liabilities of that section, nor shall it be deemed to be “soliciting material” subject to Regulation 14A or incorporated by reference in any filing under the Securities Act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twelve months ended March 31, 2025, we repurchased 27,126,867 and 128,631,786 common shares, respectively, for $292 million and $1.3 billion, respectively, including 270,000 common shares which were repurchased on March 31, 2025, with a settlement date of April 1, 2025. As of March 31, 2025, we were authorized to repurchase up to $205 million of our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common share repurchase transactions for the three months ended March 31, 2025: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May Yet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Be Purchased</w:t>
            </w:r>
          </w:p>
        </w:tc>
      </w:tr>
      <w:tr>
        <w:trPr>
          <w:trHeight w:val="206"/>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w:t>
            </w:r>
          </w:p>
        </w:tc>
      </w:tr>
      <w:tr>
        <w:trPr>
          <w:trHeight w:val="255"/>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2"/>
                <w:szCs w:val="22"/>
                <w:color w:val="auto"/>
              </w:rPr>
            </w:pPr>
          </w:p>
        </w:tc>
        <w:tc>
          <w:tcPr>
            <w:tcW w:w="1380" w:type="dxa"/>
            <w:vAlign w:val="bottom"/>
            <w:gridSpan w:val="2"/>
          </w:tcPr>
          <w:p>
            <w:pPr>
              <w:jc w:val="center"/>
              <w:ind w:right="240"/>
              <w:spacing w:after="0" w:line="247" w:lineRule="exact"/>
              <w:rPr>
                <w:sz w:val="20"/>
                <w:szCs w:val="20"/>
                <w:color w:val="auto"/>
              </w:rPr>
            </w:pPr>
            <w:r>
              <w:rPr>
                <w:rFonts w:ascii="Times New Roman" w:cs="Times New Roman" w:eastAsia="Times New Roman" w:hAnsi="Times New Roman"/>
                <w:sz w:val="17"/>
                <w:szCs w:val="17"/>
                <w:b w:val="1"/>
                <w:bCs w:val="1"/>
                <w:color w:val="auto"/>
                <w:w w:val="99"/>
              </w:rPr>
              <w:t>Purchased</w:t>
            </w:r>
            <w:r>
              <w:rPr>
                <w:rFonts w:ascii="Times New Roman" w:cs="Times New Roman" w:eastAsia="Times New Roman" w:hAnsi="Times New Roman"/>
                <w:sz w:val="28"/>
                <w:szCs w:val="28"/>
                <w:b w:val="1"/>
                <w:bCs w:val="1"/>
                <w:color w:val="auto"/>
                <w:w w:val="99"/>
                <w:vertAlign w:val="superscript"/>
              </w:rPr>
              <w:t>(1)</w:t>
            </w:r>
          </w:p>
        </w:tc>
        <w:tc>
          <w:tcPr>
            <w:tcW w:w="120" w:type="dxa"/>
            <w:vAlign w:val="bottom"/>
          </w:tcPr>
          <w:p>
            <w:pPr>
              <w:spacing w:after="0"/>
              <w:rPr>
                <w:sz w:val="22"/>
                <w:szCs w:val="2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20"/>
              <w:spacing w:after="0" w:line="247" w:lineRule="exact"/>
              <w:rPr>
                <w:sz w:val="20"/>
                <w:szCs w:val="20"/>
                <w:color w:val="auto"/>
              </w:rPr>
            </w:pPr>
            <w:r>
              <w:rPr>
                <w:rFonts w:ascii="Times New Roman" w:cs="Times New Roman" w:eastAsia="Times New Roman" w:hAnsi="Times New Roman"/>
                <w:sz w:val="17"/>
                <w:szCs w:val="17"/>
                <w:b w:val="1"/>
                <w:bCs w:val="1"/>
                <w:color w:val="auto"/>
                <w:w w:val="93"/>
              </w:rPr>
              <w:t>Program</w:t>
            </w:r>
            <w:r>
              <w:rPr>
                <w:rFonts w:ascii="Times New Roman" w:cs="Times New Roman" w:eastAsia="Times New Roman" w:hAnsi="Times New Roman"/>
                <w:sz w:val="28"/>
                <w:szCs w:val="28"/>
                <w:b w:val="1"/>
                <w:bCs w:val="1"/>
                <w:color w:val="auto"/>
                <w:w w:val="93"/>
                <w:vertAlign w:val="superscript"/>
              </w:rPr>
              <w:t>(1)(2)</w:t>
            </w:r>
          </w:p>
        </w:tc>
        <w:tc>
          <w:tcPr>
            <w:tcW w:w="1240" w:type="dxa"/>
            <w:vAlign w:val="bottom"/>
            <w:gridSpan w:val="3"/>
          </w:tcPr>
          <w:p>
            <w:pPr>
              <w:jc w:val="center"/>
              <w:ind w:right="100"/>
              <w:spacing w:after="0" w:line="247" w:lineRule="exact"/>
              <w:rPr>
                <w:sz w:val="20"/>
                <w:szCs w:val="20"/>
                <w:color w:val="auto"/>
              </w:rPr>
            </w:pPr>
            <w:r>
              <w:rPr>
                <w:rFonts w:ascii="Times New Roman" w:cs="Times New Roman" w:eastAsia="Times New Roman" w:hAnsi="Times New Roman"/>
                <w:sz w:val="17"/>
                <w:szCs w:val="17"/>
                <w:b w:val="1"/>
                <w:bCs w:val="1"/>
                <w:color w:val="auto"/>
              </w:rPr>
              <w:t>the Program</w:t>
            </w:r>
            <w:r>
              <w:rPr>
                <w:rFonts w:ascii="Times New Roman" w:cs="Times New Roman" w:eastAsia="Times New Roman" w:hAnsi="Times New Roman"/>
                <w:sz w:val="28"/>
                <w:szCs w:val="28"/>
                <w:b w:val="1"/>
                <w:bCs w:val="1"/>
                <w:color w:val="auto"/>
                <w:vertAlign w:val="superscript"/>
              </w:rPr>
              <w:t>(2)</w:t>
            </w: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31, 2025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5,623,652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5,623,652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434.5</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28, 2025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8,065,457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8,065,457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31, 2025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13,437,758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13,437,758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27,126,867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27,126,867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right="20" w:hanging="324"/>
        <w:spacing w:after="0" w:line="266"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common shares purchased set forth in this column is based on the trade date of the repurchase transaction (not the settlement date of the repurchase transaction), including 270,000 common shares which were repurchased on March 31, 2025, with a settlement date of April 1, 2025.</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 2024, we announced that our board of directors had authorized a common share repurchase program, allowing for repurchases of Roivant common shares in an aggregate amount of up to $1.5 billion (excluding fees and expenses). The timing and total amount of common shares repurchased depends on several factors, including the market price of our common shares, general business, macroeconomic and market conditions and other investment opportunities. Under the repurchase program, purchases may be conducted through open market transactions, tender offers or privately negotiated transactions, including the use of trading plans under Rule 10b5-1 of the Securities Exchange Act of 1934, as amended. Please refer to Note 8, “Shareholders’ Equity” to Roivant’s consolidated financial statements included in this Annual Report on Form 10-K for additional information related to share repurchases. The table excludes fees and commissions payable in connection with common share repurchases.</w:t>
      </w:r>
    </w:p>
    <w:p>
      <w:pPr>
        <w:spacing w:after="0" w:line="192" w:lineRule="exact"/>
        <w:rPr>
          <w:sz w:val="20"/>
          <w:szCs w:val="20"/>
          <w:color w:val="auto"/>
        </w:rPr>
      </w:pPr>
    </w:p>
    <w:p>
      <w:pPr>
        <w:jc w:val="both"/>
        <w:ind w:left="980" w:hanging="324"/>
        <w:spacing w:after="0" w:line="261"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repurchase transactions set forth above, during the fiscal year ended March 31, 2025, we withheld 3,790,584 common shares associated with net share settlements to cover (i) tax withholding obligations upon the vesting and settlement of equity incentive awards issued under our equity incentive plans, including RSUs and CVARs and (ii) the payment of the exercise price of certain stock options.</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Roivant’s financial condition and results of operations should be read in conjunction with Roivant’s consolidated financial statements and notes to those statements included elsewhere in this Annual Report on Form 10-K.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“Forward-Looking Statements” and “Risk Factors” in this Annual Report on Form 10-K. Our fiscal year ends on March 31 and our fiscal quarters end on June 30, September 30 and December 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Roivant is a biopharmaceutical company that aims to improve the lives of patients by accelerating the development and commercialization of medicines that matter. Roivant’s pipeline includes brepocitinib, a potent small molecule inhibitor of TYK2 and JAK1 in development for the treatment of dermatomyositis, non-infectious uveitis and cutaneous sarcoidosis; IMVT-1402 and batoclimab, fully human monoclonal antibodies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w:t>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 primarily relates to amounts earned in connection with license agreements, as well as revenue generated by subscription and service-based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cost of revenues primarily relates to subscription and service-based revenue recognized for the use of technology developed and consists primarily of employee, hosting and third-party data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consist mainly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primarily include the following:</w:t>
      </w:r>
    </w:p>
    <w:p>
      <w:pPr>
        <w:spacing w:after="0" w:line="207" w:lineRule="exact"/>
        <w:rPr>
          <w:sz w:val="20"/>
          <w:szCs w:val="20"/>
          <w:color w:val="auto"/>
        </w:rPr>
      </w:pPr>
    </w:p>
    <w:p>
      <w:pPr>
        <w:ind w:left="980" w:right="20" w:hanging="324"/>
        <w:spacing w:after="0" w:line="258"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Program-specific costs, including direct third-party costs, which include expenses incurred under agreements with contract research organizations (“CROs”) and contract manufacturing organizations (“CMOs”), manufacturing costs in connection with producing materials for use in conducting nonclinical and clinical studies, the cost of consultants who assist with the development of our product candidates on a program-specific basis, investigator grants, sponsored research and any other third-party expenses directly attributable to the development of our product candidates.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internal costs, including:</w:t>
      </w:r>
    </w:p>
    <w:p>
      <w:pPr>
        <w:spacing w:after="0" w:line="225"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such as salaries, share-based compensation and benefits, for research and development personnel; and</w:t>
      </w:r>
    </w:p>
    <w:p>
      <w:pPr>
        <w:spacing w:after="0" w:line="225"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related expenses that are not allocated to a specific program.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will continue to be central to our business model. We anticipate that our research and development expenses will increase for the foreseeable future as we advance our product candidates and our in-licensed assets through preclinical studies and clinical trials, as well as acquire or discover new product candidates.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of our product candidates will depend on a variety of factors that include, but are not limited to, the following:</w:t>
      </w:r>
    </w:p>
    <w:p>
      <w:pPr>
        <w:spacing w:after="0" w:line="162" w:lineRule="exact"/>
        <w:rPr>
          <w:sz w:val="20"/>
          <w:szCs w:val="20"/>
          <w:color w:val="auto"/>
        </w:rPr>
      </w:pPr>
    </w:p>
    <w:p>
      <w:pPr>
        <w:ind w:left="980" w:right="260" w:hanging="324"/>
        <w:spacing w:after="0" w:line="282" w:lineRule="auto"/>
        <w:tabs>
          <w:tab w:leader="none" w:pos="980"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scope, rate of progress, expense and results of our preclinical development activities, any future clinical trials of our product candidates and other research and development activities that we may conduct;</w:t>
      </w:r>
    </w:p>
    <w:p>
      <w:pPr>
        <w:spacing w:after="0" w:line="161"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in clinical trial design and patient enrollment or drop out or discontinuation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leverage adequate CRO support for the conduct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appropriate safety and efficacy profile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and changing government regulation and regulatory guidance;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right="1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clinical and commercial manufacturing capabilities, or make arrangements with third-party manufacturers in order to ensure that we or our third-party manufacturers are able to make product candidates successfully; and</w:t>
      </w:r>
    </w:p>
    <w:p>
      <w:pPr>
        <w:spacing w:after="0" w:line="161" w:lineRule="exact"/>
        <w:rPr>
          <w:rFonts w:ascii="Times New Roman" w:cs="Times New Roman" w:eastAsia="Times New Roman" w:hAnsi="Times New Roman"/>
          <w:sz w:val="18"/>
          <w:szCs w:val="18"/>
          <w:color w:val="auto"/>
        </w:rPr>
      </w:pPr>
    </w:p>
    <w:p>
      <w:pPr>
        <w:ind w:left="980" w:right="82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regulatory approval of our product candidates.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we cannot reasonably estimate the costs that will be necessary to complete the remainder of the development of our product candidates. In addition, the probability of success for our product candidates will depend on numerous factors, including competition, manufacturing capability and commercial viability.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Consideration for the purchase of IPR&amp;D through asset acquisitions and license agreements may include cash upfront payments, shares and other liability instruments issued and the fair value of future contingent consideration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employee-related expenses, such as salaries, share-based compensation and benefits, for employees engaged in G&amp;A activities. G&amp;A employees include those responsible for the identification and acquisition or in-license of new drug candidates, as well as for managing Vant operations and facilitating the use of our platform and technologies at the Vants. G&amp;A expenses also consist of legal and accounting fees, consulting services and other operating costs relating to corporate matters and daily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G&amp;A expenses to increase in future periods to support our potential commercialization efforts. These increases will likely include additional costs related to the hiring of new personnel and fees to outside consultants, as well as other expenses. If any of our current or future product candidates receives regulatory approval in the U.S. or another jurisdiction, we expect that we would incur significantly increased expenses associated with building a sales and marketing team. Additionally, in July 2024, the Compensation Committee of the board of directors approved a multi-year incentive compensation program for each of Matthew Gline, Chief Executive Officer; Mayukh Sukhatme, President and Chief Investment Officer; and Eric Venker, President and Chief Operating Officer (the “2024 Senior Executive Compensation Program”). The long-term equity incentive awards granted pursuant to this program will result in significant share-based compensation expense over the vesting period of the awards. Refer to Note 9, “Share-Based Compensation and Other Compensation Plans” of our audited financial statements for further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Telavant net assets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Gain on sale of Telavant net assets reflects a gain resulting from the sale of our entire equity interest in our majority-owned subsidiary, Telavant Holdings, Inc. (“Telavant”), to Roche Holdings, Inc. (“Roche”) in December 2023 (the “Roche Transaction”) as well as a gain resulting from the achievement of a one-time milestone in June 2024. In December 2023, Roche acquired all of the issued and outstanding shares of capital stock of Telavant in exchange for approximately $7.1 billion in cash at the closing of the Roche Transaction and a one-time milestone payment of $150 million in cash, paid in August 2024 following the initiation of a Phase 3 trial in UC. Prior to the Roche Transaction, we held 75% of the issued and outstanding shares of common stock and preferred stock of Telavant, and Pfizer Inc. (“Pfizer”) owned the remaining 25%, in each case on an as-converted basis. The $7.1 billion in closing consideration and $150 million one-time milestone payment were paid to all of Telavant’s equity holders, including holders of Telavant restricted stock units, on a pro rata basis relative to their ownership of Telavant prior to the closing of the Roche Transaction. We recognized a gain on sale of Telavant net assets of $110.4 million for our pro rata portion of the one-time milestone consideration during the year ended March 31, 2025 and approximately $5.3 billion for the sale of our entire equity interest in Telavant during the year ended March 31, 2024. Refer to Note 5, “Recent Transactions and Developments” of our audited financial statements for further information regarding the Roche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investments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Change in fair value of investments includes the unrealized (gain) loss on equity investments, including Arbutus Biopharma Corporation (“Arbutus”) and Heracles Parent, L.L.C. (“Datavant”). We have elected the fair value option to account for these investments.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liability instruments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liability instruments primarily includes the (gain) loss relating to the measurement and recognition of fair value on a recurring basis of certain liabilities, including the earn-out share liabilities and warrant liabilities, prior to their redemption, issued in connection with our business combination (the “Business Combination”) with Montes Archimedes Acquisition Corp. (“MAAC”), a special purpose acquisition company. Refer to Note 13, “Earn-Out Shares, Public Warrants and Private Placement Warrants” of our audited financial statements for further information regarding the redemption of our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subsidiaries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Gain on deconsolidation of subsidiaries resulted from the determination that we no longer had a controlling financial interest in certain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Income tax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and consideration of the available facts and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tax</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Income (loss) from discontinued operations, net of tax consists of the gain on sale of subsidiary interests for the year ended March 31, 2025 resulting from the sale of our entire equity interest in our majority-owned subsidiary, Dermavant Sciences Ltd. (“Dermavant”), to Organon &amp; Co. (“Organon”) in October 2024 and the financial results of Dermavant through closing of the Dermavant Transaction (as defined below). In September 2024, Dermavant entered into an Agreement and Plan of Merger (the “Merger Agreement”) with Organon, Organon Bermuda Ltd., an indirect wholly owned subsidiary of Organon (“Merger Sub”), and us, solely in our capacity as the representative of the securityholders of Dermavant, pursuant to which Organon agreed to acquire Dermavant (the “Dermavant Transaction”). The Dermavant Transaction was completed in October 2024.</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2023, loss from discontinued operations, net of tax also includes the gain on sale of common shares of Myovant Sciences Ltd. (“Myovant”) as a result of Sumitovant Biopharma Ltd.’s (“Sumitovant”) acquisition of the remaining noncontrolling interest in Myovant in March 2023. We were entitled to these shares of Myovant pursuant to the December 2019 transaction with Sumitomo Pharma Co., Ltd. (the “Sumitomo Transaction”) that included, among other things, the transfer of our ownership interest in five Vants to Sumitovant. The Sumitomo Transaction was presented as discontinued operations during the year ending March 31, 2020, and the right to receive certain common shares of Myovant was treated as a contingent consideration upon a sale of the business and accounted for as a gain contingency.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6, “Discontinued Operations” of our audited financial statements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interests consists of the portion of net loss of those consolidated entities that is not allocated to us. We record net loss attributable to noncontrolling interests equal to the noncontrolling interest’s proportionate share of the respective operations.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March 31, 2025, 2024 and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March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9"/>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32,713</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31,530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(3,660)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550,413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439,909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454,062</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110,504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(14,153)</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97,749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(26,450)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(71,299)</w:t>
            </w: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591,410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383,448</w:t>
            </w: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175,277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32,685</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938,293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(54,202)</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32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110,387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5,348,410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(5,238,023)</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5,348,410</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(1,003,294</w:t>
            </w:r>
          </w:p>
        </w:tc>
        <w:tc>
          <w:tcPr>
            <w:tcW w:w="240" w:type="dxa"/>
            <w:vAlign w:val="bottom"/>
            <w:tcBorders>
              <w:top w:val="single" w:sz="8" w:color="CCEEFF"/>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4,497,032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(5,500,326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32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(55,186)</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20,815</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(103,159)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27,158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(15,756)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(62,594)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28,452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32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(3,108)</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(29,276)</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29,664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(258,375)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(146,425)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(32,184)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(111,950)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(114,241)</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(2,841)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13,076</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income from continuing operations before income</w:t>
            </w: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(681,590)</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4,567,856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(884,990)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(5,249,446)</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5,452,846</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4,082</w:t>
            </w: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(729,764)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(889,072)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(5,276,117)</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5,435,425</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373,030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(315,147)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(226,391)</w:t>
            </w: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688,177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(88,756)</w:t>
            </w: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(356,734)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4,231,206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(4,587,940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5,346,669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Pr>
          <w:p>
            <w:pPr>
              <w:spacing w:after="0"/>
              <w:rPr>
                <w:sz w:val="19"/>
                <w:szCs w:val="19"/>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(184,753)</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(117,720)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(106,433)</w:t>
            </w: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(67,033)</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(11,287)</w:t>
            </w: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Roivant Sciences Ltd.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(171,981)</w:t>
            </w:r>
          </w:p>
        </w:tc>
        <w:tc>
          <w:tcPr>
            <w:tcW w:w="240" w:type="dxa"/>
            <w:vAlign w:val="bottom"/>
            <w:tcBorders>
              <w:bottom w:val="single" w:sz="8" w:color="CCEEFF"/>
            </w:tcBorders>
            <w:gridSpan w:val="3"/>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4,348,926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(1,009,030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(4,520,907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5,357,956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Variance analysis for years ended March 31, 2025, 2024 and 2023</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32,713</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31,530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(3,660)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decreased by $3.7 million to $29.1 million for the year ended March 31, 2025, compared to $32.7 million for the year ended March 31, 2024. Revenue increased by $1.2 million to $32.7 million for the year ended March 31, 2024, compared to $31.5 million for the year ended March 31,</w:t>
      </w:r>
    </w:p>
    <w:p>
      <w:pPr>
        <w:jc w:val="both"/>
        <w:spacing w:after="0" w:line="260" w:lineRule="auto"/>
        <w:rPr>
          <w:sz w:val="20"/>
          <w:szCs w:val="20"/>
          <w:color w:val="auto"/>
        </w:rPr>
      </w:pPr>
      <w:r>
        <w:rPr>
          <w:rFonts w:ascii="Times New Roman" w:cs="Times New Roman" w:eastAsia="Times New Roman" w:hAnsi="Times New Roman"/>
          <w:sz w:val="18"/>
          <w:szCs w:val="18"/>
          <w:color w:val="auto"/>
        </w:rPr>
        <w:t>2023. During the years ended March 31, 2025, 2024, and 2023, revenue was primarily driven by amounts earned in connection with license agreements at Genevant.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March 31, 2025, 2024 and 2023, our research and development expenses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1"/>
              <w:spacing w:after="0" w:line="216"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5"/>
                <w:szCs w:val="25"/>
                <w:b w:val="1"/>
                <w:bCs w:val="1"/>
                <w:color w:val="auto"/>
                <w:vertAlign w:val="superscript"/>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91"/>
              <w:spacing w:after="0" w:line="216"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5"/>
                <w:szCs w:val="25"/>
                <w:b w:val="1"/>
                <w:bCs w:val="1"/>
                <w:color w:val="auto"/>
                <w:vertAlign w:val="superscript"/>
              </w:rPr>
              <w:t>(1)</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Program-specific costs: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Anti-FcRn franchise—neurological diseases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93,224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41,060</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52,164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(11,040)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Anti-FcRn franchise—endocrine diseases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63,073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26,377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29,868</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Anti-FcRn franchise—rheumatology diseases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23,897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23,897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Anti-FcRn franchise—dermatology diseases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15,633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15,633</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Anti-FcRn franchise—other clinical and nonclinical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9,327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(30,484)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34,258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Brepocitinib</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45,125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38,627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6,562</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Mosliciguat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19,746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15,439</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Namilumab</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12,744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11,757</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RVT-2001</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(8,216)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RVT-3101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7,559</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(35,129)</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124,502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(90,729)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program-specific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282,550</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78,538</w:t>
            </w: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Unallocated internal costs: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39,780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146,162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118,523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22,879</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439,909</w:t>
            </w:r>
          </w:p>
        </w:tc>
        <w:tc>
          <w:tcPr>
            <w:tcW w:w="100" w:type="dxa"/>
            <w:vAlign w:val="bottom"/>
          </w:tcPr>
          <w:p>
            <w:pPr>
              <w:spacing w:after="0"/>
              <w:rPr>
                <w:sz w:val="20"/>
                <w:szCs w:val="20"/>
                <w:color w:val="auto"/>
              </w:rPr>
            </w:pP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454,062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110,504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-13335</wp:posOffset>
            </wp:positionV>
            <wp:extent cx="41319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ind w:left="220" w:hanging="212"/>
        <w:spacing w:after="0" w:line="191" w:lineRule="auto"/>
        <w:tabs>
          <w:tab w:leader="none" w:pos="220"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Certain prior period amounts have been reclassified to conform to current period presentation.</w:t>
      </w:r>
    </w:p>
    <w:p>
      <w:pPr>
        <w:spacing w:after="0" w:line="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Reflects a discontinued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-281940</wp:posOffset>
            </wp:positionV>
            <wp:extent cx="41319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7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$110.5 million to $550.4 million for the year ended March 31, 2025, compared to $439.9 million for the year ended March 31, 2024, primarily due to increases in program-specific costs of $78.5 million, personnel-related expenses of $22.9 million, share-based compensation of $7.4 million and other expenses of $1.7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of $78.5 million in program-specific costs was primarily driven by increases of $91.1 million related to the anti-FcRn franchise, reflecting the progression of our programs, and $15.4 million related to mosliciguat, which was acquired during the year ended March 31, 2024. These increases were partially offset by a decrease in expense of $35.1 million related to RVT-3101, which was sold to Roche in December 2023.</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increase of $22.9 million in personnel-related expenses was primarily driven by higher personnel-related expenses at Immunovant as a result of higher headcount and enhancement of capabilities to support Immunovant’s strategic objectives as clinical activities progress. Included in personnel-related expenses is a special one-time cash retention bonus award granted to employees in December 2023 (the “Cash Bonus Program”). During the years ended March 31, 2025 and 2024, we recognized additional research and development expense of $5.8 million and $9.9 million, respectively, relating to the Cash Bonus Program. The remaining research and development expense of $0.9 million as of March 31, 2025 will be recognized over the applicable service period of the award.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$14.2 million to $439.9 million for the year ended March 31, 2024, compared to $454.1 million for the year ended March 31, 2023, primarily due to a decrease in program-specific costs of $33.3 million, partially offset by increases in other expenses of $10.7 million, personnel-related expenses of $4.8 million, and share-based compensation of $3.7 million.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decrease of $33.3 million in program-specific costs was primarily driven by a decrease of $90.7 million in other development and discovery program expense, which in part resulted from the deconsolidation of Proteovant Sciences, Inc. (“Proteovant”) in August 2023 along with the reprioritization of certain programs and drug discovery efforts. This decrease was partially offset by increases of $27.6 million relating to RVT-3101 and $30.0 million relating to the anti-FcRn franchise. RVT-3101 was acquired in November 2022, and the rights to further develop and manufacture RVT-3101 were sold to Roche in December 2023.</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tc>
        <w:tc>
          <w:tcPr>
            <w:tcW w:w="860" w:type="dxa"/>
            <w:vAlign w:val="bottom"/>
          </w:tcPr>
          <w:p>
            <w:pPr>
              <w:spacing w:after="0"/>
              <w:rPr>
                <w:sz w:val="24"/>
                <w:szCs w:val="24"/>
                <w:color w:val="auto"/>
              </w:rPr>
            </w:pPr>
          </w:p>
        </w:tc>
        <w:tc>
          <w:tcPr>
            <w:tcW w:w="21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 expenses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26,450</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97,749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(26,450)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acquired in-process research and development expenses for the year ended March 31, 2025.</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Acquired in-process research and development expenses decreased by $71.3 million to $26.5 million for the year ended March 31, 2024, compared to $97.7 million for the year ended March 31, 2023. The decrease was primarily due to higher consideration for the purchase of IPR&amp;D during the year ended March 31, 2023 as a result of consideration for the purchase of IPR&amp;D of $87.7 million relating to the acquisition of RVT-3101 in November 2022 and the achievement of a development milestone relating to batoclimab, which resulted in a one-time milestone expense of $10.0 million. Acquired in-process research and development expenses for the year ended March 31, 2024 was driven by $14.0 million of consideration for the purchase of IPR&amp;D relating to the asset acquisition of mosliciguat completed by our subsidiary, Pulmovant, Inc. (“Pulmovant”) and $12.5 million relating to the achievement of development and regulatory milestones for batoclimab.</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240" w:type="dxa"/>
            <w:vAlign w:val="bottom"/>
          </w:tcPr>
          <w:p>
            <w:pPr>
              <w:spacing w:after="0"/>
              <w:rPr>
                <w:sz w:val="20"/>
                <w:szCs w:val="20"/>
                <w:color w:val="auto"/>
              </w:rPr>
            </w:pPr>
          </w:p>
        </w:tc>
        <w:tc>
          <w:tcPr>
            <w:tcW w:w="2760" w:type="dxa"/>
            <w:vAlign w:val="bottom"/>
            <w:gridSpan w:val="7"/>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591,410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416,133</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383,448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175,277</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32,685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$175.3 million to $591.4 million for the year ended March 31, 2025, compared to $416.1 million for the year ended March 31, 2024. This increase was primarily due to increases in share-based compensation expense of $84.6 million and personnel-related expenses of $79.6 million, largely as a result of long-term equity and one-time cash retention awards from the 2024 Senior Executive Compensation Program. Refer to Note 9, “Share-Based Compensation and Other Compensation Plans” of our audited financial statements for further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$32.7 million to $416.1 million for the year ended March 31, 2024, compared to $383.4 million for the year ended March 31, 2023. This increase was primarily due to an increase in personnel-related expenses of $27.0 million, which largely resulted from the Cash Bonus Program, and an increase in professional fees of $19.6 million. These increases were partially offset by a decrease in share-based compensation expense of $20.1 million.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general and administrative expense relating to the Cash Bonus Program and 2024 Senior Executive Compensation Program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Remaining Expense as</w:t>
            </w:r>
          </w:p>
        </w:tc>
      </w:tr>
      <w:tr>
        <w:trPr>
          <w:trHeight w:val="223"/>
        </w:trPr>
        <w:tc>
          <w:tcPr>
            <w:tcW w:w="6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of March 31, 2025</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Bonus Program</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2024 Senior Executive Compensation Program:</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awards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86,421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7,319</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82,186</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196,023</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45,380</w:t>
            </w:r>
          </w:p>
        </w:tc>
      </w:tr>
      <w:tr>
        <w:trPr>
          <w:trHeight w:val="22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2,293</w:t>
            </w:r>
          </w:p>
        </w:tc>
      </w:tr>
      <w:tr>
        <w:trPr>
          <w:trHeight w:val="256"/>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Telavant net assets</w:t>
            </w:r>
          </w:p>
        </w:tc>
        <w:tc>
          <w:tcPr>
            <w:tcW w:w="240" w:type="dxa"/>
            <w:vAlign w:val="bottom"/>
          </w:tcPr>
          <w:p>
            <w:pPr>
              <w:spacing w:after="0"/>
              <w:rPr>
                <w:sz w:val="20"/>
                <w:szCs w:val="20"/>
                <w:color w:val="auto"/>
              </w:rPr>
            </w:pPr>
          </w:p>
        </w:tc>
        <w:tc>
          <w:tcPr>
            <w:tcW w:w="2760" w:type="dxa"/>
            <w:vAlign w:val="bottom"/>
            <w:gridSpan w:val="7"/>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Borders>
              <w:bottom w:val="single" w:sz="8" w:color="auto"/>
            </w:tcBorders>
            <w:gridSpan w:val="3"/>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110,387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5,348,410</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(5,238,023)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5,348,410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Gain on sale of Telavant net assets decreased by $5.2 billion to $110.4 million for the year ended March 31, 2025, compared to $5.3 billion for the year ended March 31, 2024. The gain for the year ended March 31, 2025 resulted from the achievement of a one-time milestone in June 2024. The gain for the year ended March 31, 2024 resulted from the sale of our entire equity interest in Telavant to Roche in December 2023. Refer to Note 5, “Recent Transactions and Developments” of our audited financial statements for further information.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investments</w:t>
            </w:r>
          </w:p>
        </w:tc>
        <w:tc>
          <w:tcPr>
            <w:tcW w:w="240" w:type="dxa"/>
            <w:vAlign w:val="bottom"/>
          </w:tcPr>
          <w:p>
            <w:pPr>
              <w:spacing w:after="0"/>
              <w:rPr>
                <w:sz w:val="24"/>
                <w:szCs w:val="24"/>
                <w:color w:val="auto"/>
              </w:rPr>
            </w:pPr>
          </w:p>
        </w:tc>
        <w:tc>
          <w:tcPr>
            <w:tcW w:w="2760" w:type="dxa"/>
            <w:vAlign w:val="bottom"/>
            <w:gridSpan w:val="7"/>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(55,186)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47,973</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20,815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(103,159)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27,158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 in fair value of investments was an unrealized gain of $55.2 million and an unrealized loss of $48.0 million for the years ended March 31, 2025 and 2024, respectively. The change of $103.2 million was primarily driven by changes in the public share prices of Arbutus and in the fair value of our investment in Datavant. Refer to Note 4, “Equity Method Investments” of our audited financial statements for further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 in fair value of investments were unrealized losses of $48.0 million and $20.8 million for the years ended March 31, 2024 and 2023, respectively. The change of $27.2 million was primarily driven by changes in the public share prices of our equity investments, including Arbutus, as well as the change in fair value of our investment in Datavant.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liability instruments</w:t>
            </w:r>
          </w:p>
        </w:tc>
        <w:tc>
          <w:tcPr>
            <w:tcW w:w="240" w:type="dxa"/>
            <w:vAlign w:val="bottom"/>
          </w:tcPr>
          <w:p>
            <w:pPr>
              <w:spacing w:after="0"/>
              <w:rPr>
                <w:sz w:val="20"/>
                <w:szCs w:val="20"/>
                <w:color w:val="auto"/>
              </w:rPr>
            </w:pPr>
          </w:p>
        </w:tc>
        <w:tc>
          <w:tcPr>
            <w:tcW w:w="2760" w:type="dxa"/>
            <w:vAlign w:val="bottom"/>
            <w:gridSpan w:val="7"/>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46,838</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18,386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(62,594)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28,452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liability instruments was a gain of $15.8 million, a loss of $46.8 million, and a loss of $18.4 million for the years ended March 31, 2025, 2024 and 2023, respectively. Change in fair value of liability instruments for the year ended March 31, 2025 primarily consisted of a gain relating to the earn-out share liabilities issued as part of the Business Combination. Change in fair value of liability instruments for the years ended March 31, 2024 and 2023 primarily consisted of losses relating to the warrant and earn-out share liabilities issued as part of the Business Combination. Refer to Note 13, “Earn-Out Shares, Public Warrants and Private Placement Warrants” of our audited financial statements for further information.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subsidiaries</w:t>
            </w:r>
          </w:p>
        </w:tc>
        <w:tc>
          <w:tcPr>
            <w:tcW w:w="240" w:type="dxa"/>
            <w:vAlign w:val="bottom"/>
          </w:tcPr>
          <w:p>
            <w:pPr>
              <w:spacing w:after="0"/>
              <w:rPr>
                <w:sz w:val="20"/>
                <w:szCs w:val="20"/>
                <w:color w:val="auto"/>
              </w:rPr>
            </w:pPr>
          </w:p>
        </w:tc>
        <w:tc>
          <w:tcPr>
            <w:tcW w:w="2760" w:type="dxa"/>
            <w:vAlign w:val="bottom"/>
            <w:gridSpan w:val="7"/>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(32,772)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(29,276)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29,664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Gain on deconsolidation of subsidiaries was $3.1 million, $32.8 million, and $29.3 million for the years ended March 31, 2025, 2024 and 2023, respectively. The gain for the year ended March 31, 2025 resulted from the deconsolidation of a subsidiary in March 2025. The gain for the year ended March 31, 2024 resulted from the deconsolidation of certain subsidiaries, including VantAI Holdings, Inc. in July 2023 and Proteovant in August 2023. The gain for the year ended March 31, 2023 resulted from the deconsolidation of certain subsidiaries in November 2022 and July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tc>
        <w:tc>
          <w:tcPr>
            <w:tcW w:w="240" w:type="dxa"/>
            <w:vAlign w:val="bottom"/>
          </w:tcPr>
          <w:p>
            <w:pPr>
              <w:spacing w:after="0"/>
              <w:rPr>
                <w:sz w:val="20"/>
                <w:szCs w:val="20"/>
                <w:color w:val="auto"/>
              </w:rPr>
            </w:pPr>
          </w:p>
        </w:tc>
        <w:tc>
          <w:tcPr>
            <w:tcW w:w="2760" w:type="dxa"/>
            <w:vAlign w:val="bottom"/>
            <w:gridSpan w:val="7"/>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(258,375)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(146,425)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(32,184)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(111,950)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(114,241)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increased by $112.0 million to $258.4 million for the year ended March 31, 2025, compared to $146.4 million for the year ended March 31, 2024. This increase is primarily due to higher cash balances in our interest-bearing cash accounts.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increased by $114.2 million to $146.4 million for the year ended March 31, 2024, compared to $32.2 million for the year ended March 31, 2023. This increase is primarily due to higher cash balances in our interest-bearing cash accounts as well as higher interest rates.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240" w:type="dxa"/>
            <w:vAlign w:val="bottom"/>
          </w:tcPr>
          <w:p>
            <w:pPr>
              <w:spacing w:after="0"/>
              <w:rPr>
                <w:sz w:val="24"/>
                <w:szCs w:val="24"/>
                <w:color w:val="auto"/>
              </w:rPr>
            </w:pPr>
          </w:p>
        </w:tc>
        <w:tc>
          <w:tcPr>
            <w:tcW w:w="2760" w:type="dxa"/>
            <w:vAlign w:val="bottom"/>
            <w:gridSpan w:val="7"/>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21,503</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26,671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increased by $26.7 million to $48.2 million for the year ended March 31, 2025, compared to $21.5 million for the year ended March 31, 2024. Income tax expense increased by $17.4 million to $21.5 million for the year ended March 31, 2024, compared to $4.1 million for the year ended March 31, 2023. The increases were primarily due to our fluctuating earnings by legal entity in various jurisdictions over the periods. As disclosed, the tax expense for the year ended March 31, 2024 was impacted by the gain on sale of Telavant’s net assets, which qualifies for the substantial shareholding exemption in the U.K. and consequently is not subject to the corporation income tax.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tax</w:t>
            </w:r>
          </w:p>
        </w:tc>
        <w:tc>
          <w:tcPr>
            <w:tcW w:w="240" w:type="dxa"/>
            <w:vAlign w:val="bottom"/>
          </w:tcPr>
          <w:p>
            <w:pPr>
              <w:spacing w:after="0"/>
              <w:rPr>
                <w:sz w:val="20"/>
                <w:szCs w:val="20"/>
                <w:color w:val="auto"/>
              </w:rPr>
            </w:pPr>
          </w:p>
        </w:tc>
        <w:tc>
          <w:tcPr>
            <w:tcW w:w="2760" w:type="dxa"/>
            <w:vAlign w:val="bottom"/>
            <w:gridSpan w:val="7"/>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373,030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(315,147)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(226,391)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688,177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(88,756)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Income from discontinued operations, net of tax was $373.0 million for the year ended March 31, 2025 and reflects the gain on sale of subsidiary interests resulting from the sale of our entire equity interest in our majority-owned subsidiary, Dermavant, to Organon in October 2024, partially offset by Dermavant’s net losses. Loss from discontinued operations, net of tax was $315.1 million for the year ended March 31, 2024 and represents the financial results of Dermavant. Loss from discontinued operations, net of tax was $226.4 million for the year ended March 31, 2023 and represents the financial results of Dermavant, partially offset by the gain on sale of common shares of Myovant after Sumitovant’s acquisition of the remaining noncontrolling interest in Myovant in March 2023. Refer to Note 6, “Discontinued Operations” of our audited financial statements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years ended March 31, 2025, 2024 and 2023, we had a net loss from continuing operations of $729.8 million, net income from continuing operations of approximately $4.5 billion and a net loss from continuing operations of $889.1 million, respectively. As of March 31, 2025, we had cash, cash equivalents and marketable securities of approximately $4.9 billion and retained earnings of $116.1 million. We believe that our existing cash, cash equivalents and marketable securities will be sufficient to fund our operating expenses and capital expenditures for the foreseeable future. However, projections of future cash flows and operating expenses are inherently uncertain and subject to changes, as described under “Risk Factors” in Part I, Item 1A. of this Annual Report on Form 10-K. As a result, our existing cash, cash equivalents and marketable securities may not be sufficient to fund our operating expenses as anticipated, and we may need to raise additional capital to fund our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short-term and long-term liquidity requirements as of March 31, 2025 included:</w:t>
      </w:r>
    </w:p>
    <w:p>
      <w:pPr>
        <w:spacing w:after="0" w:line="225"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our leases (see Note 11, “Leases” of our audited financial statements); and</w:t>
      </w:r>
    </w:p>
    <w:p>
      <w:pPr>
        <w:spacing w:after="0" w:line="225" w:lineRule="exact"/>
        <w:rPr>
          <w:rFonts w:ascii="Times New Roman" w:cs="Times New Roman" w:eastAsia="Times New Roman" w:hAnsi="Times New Roman"/>
          <w:sz w:val="18"/>
          <w:szCs w:val="18"/>
          <w:color w:val="auto"/>
        </w:rPr>
      </w:pPr>
    </w:p>
    <w:p>
      <w:pPr>
        <w:ind w:left="980" w:right="80" w:hanging="324"/>
        <w:spacing w:after="0" w:line="254"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commitments to Samsung Biologics Co., Ltd. (“Samsung”) pursuant to a Product Service Agreement (“PSA”) entered into between Immunovant and Samsung pursuant to which Samsung will manufacture and supply Immunovant with batoclimab drug substance for commercial sale, if approved, and perform other manufacturing-related services with respect to batoclimab. Upon execution of the PSA, Immunovant committed to purchase process performance qualification batches of batoclimab and pre-approval inspection batches of batoclimab which may be used for regulatory submissions and, pending regulatory approval, commercial sale. In addition, Immunovant has a minimum obligation to purchase additional batches of batoclimab in the four-year period of 2026 through 2029. As of March 31, 2025, the remaining minimum purchase commitment related to this agreement was estimated to be approximately $43.6 million, of which $5.5 million, $10.1 million, $14.0 million and $14.0 million is expected to be paid during the fiscal years ending March 31, 2026, 2028, 2029 and 2030, respectively.</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purchase commitments do not represent all of our anticipated purchases, but instead represent only the contractually obligated minimum purchases or firm commitments of non-cancelable minimum amounts.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have certain payment obligations under various asset acquisition and license agreements. Under these agreements we are required to make milestone payments upon successful completion and achievement of certain development, regulatory and commercial milestones. The payment obligations under the asset acquisition and license agreements are contingent upon future events, such as our achievement of specified development, regulatory and commercial milestones, and the amount, timing and likelihood of such payments are not known. We will also be required to make milestone payments and royalty payments in connection with the sale of products developed under these agreements.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Potential material future milestone payments as of March 31, 2025 pursuant to certain key asset acquisition and license agreements are as follows:</w:t>
      </w:r>
    </w:p>
    <w:p>
      <w:pPr>
        <w:spacing w:after="0" w:line="221" w:lineRule="exact"/>
        <w:rPr>
          <w:sz w:val="20"/>
          <w:szCs w:val="20"/>
          <w:color w:val="auto"/>
        </w:rPr>
      </w:pPr>
    </w:p>
    <w:p>
      <w:pPr>
        <w:ind w:left="980" w:right="340" w:hanging="324"/>
        <w:spacing w:after="0" w:line="286"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Anti-FcRn franchise (Immunovant)</w:t>
      </w:r>
      <w:r>
        <w:rPr>
          <w:rFonts w:ascii="Times New Roman" w:cs="Times New Roman" w:eastAsia="Times New Roman" w:hAnsi="Times New Roman"/>
          <w:sz w:val="18"/>
          <w:szCs w:val="18"/>
          <w:color w:val="auto"/>
        </w:rPr>
        <w:t>: up to a maximum of $420.0 million to HanAll upon the achievement of certain regulatory and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milestone events.</w:t>
      </w:r>
    </w:p>
    <w:p>
      <w:pPr>
        <w:spacing w:after="0" w:line="154" w:lineRule="exact"/>
        <w:rPr>
          <w:rFonts w:ascii="Times New Roman" w:cs="Times New Roman" w:eastAsia="Times New Roman" w:hAnsi="Times New Roman"/>
          <w:sz w:val="18"/>
          <w:szCs w:val="18"/>
          <w:color w:val="auto"/>
        </w:rPr>
      </w:pPr>
    </w:p>
    <w:p>
      <w:pPr>
        <w:ind w:left="980" w:right="440" w:hanging="324"/>
        <w:spacing w:after="0" w:line="286"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Brepocitinib (Priovant Therapeutics, Inc.)</w:t>
      </w:r>
      <w:r>
        <w:rPr>
          <w:rFonts w:ascii="Times New Roman" w:cs="Times New Roman" w:eastAsia="Times New Roman" w:hAnsi="Times New Roman"/>
          <w:sz w:val="18"/>
          <w:szCs w:val="18"/>
          <w:color w:val="auto"/>
        </w:rPr>
        <w:t>: mid tens-of-millions sales milestone payment to Pfizer if aggregate net sales in a given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 a mid-hundreds-of-millions amount.</w:t>
      </w:r>
    </w:p>
    <w:p>
      <w:pPr>
        <w:spacing w:after="0" w:line="154" w:lineRule="exact"/>
        <w:rPr>
          <w:rFonts w:ascii="Times New Roman" w:cs="Times New Roman" w:eastAsia="Times New Roman" w:hAnsi="Times New Roman"/>
          <w:sz w:val="18"/>
          <w:szCs w:val="18"/>
          <w:color w:val="auto"/>
        </w:rPr>
      </w:pPr>
    </w:p>
    <w:p>
      <w:pPr>
        <w:ind w:left="980" w:right="620" w:hanging="324"/>
        <w:spacing w:after="0" w:line="286"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Mosliciguat (Pulmovant): </w:t>
      </w:r>
      <w:r>
        <w:rPr>
          <w:rFonts w:ascii="Times New Roman" w:cs="Times New Roman" w:eastAsia="Times New Roman" w:hAnsi="Times New Roman"/>
          <w:sz w:val="18"/>
          <w:szCs w:val="18"/>
          <w:color w:val="auto"/>
        </w:rPr>
        <w:t>up to a maximum of $280.0 million to Bayer upon the achievement of certain development, regulatory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milestone events.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Royalties are also due on net sales pursuant to these agreements. We have further commitments not reflected above relating to other asset acquisition and license agreements entered and expect to enter into additional asset acquisition and license agreements in the future, which may require upfront payments and long-term commitments of capital resources.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enter into agreements with contract service providers to assist in the performance of our research and development activities. Expenditures to contract research organizations and contract manufacturing organizations represent significant costs in the clinical development of our product candidates. Subject to required notice periods and certain obligations under binding purchase orders, we can elect to discontinue the work under these agreements at any time. We expect to enter into additional collaborative research, contract research, manufacturing and supplier agreements in the future, which may require upfront payments and long-term commitments of capital resources.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authorized a common share repurchase program, allowing for repurchases of common shares in an aggregate amount of up to $1.5 billion (excluding fees and expenses). The repurchase program is funded by available cash and cash equivalents on hand and does not have an expiration date. In April 2024, pursuant to the share repurchase program, we entered into a share repurchase agreement with Sumitomo and repurchased all 71,251,083 common shares held by Sumitomo at a purchase price per share of $9.10, for an aggregate purchase price of approximately $648.4 million. Subsequent to the repurchase of the common shares held by Sumitomo, additional repurchases of 57,110,703 shares were made in open market transactions under the share repurchase program during the year ended March 31, 2025 for an aggregate purchase price of approximately $644.8 million and together with the Sumitomo repurchase, approximately $1.3 billion of the $1.5 billion approved by our board of directors.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operations to date have been financed primarily through the sale of equity securities, sale of subsidiary interests, debt financings and revenue generated from licensing and collaboration arrangements, including the following completed during the years ended March 31, 2025,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RSL Equity Financing Transactions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2022, we completed an underwritten primary and secondary public offering of 30,000,000 of our common shares at a price to the public of $5.00 per share. Of these common shares, 20,000,000 were sold by us and 10,000,000 were sold by certain selling shareholders. Net proceeds to us were approximately $94.7 million after deducting underwriting discounts and commissions and offering expenses. We did not receive any proceeds from the sale of common shares by the selling shareholders in the offering.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2023, we completed an underwritten public offering of 30,666,665 of our common shares (including 3,999,999 common shares issued and sold upon the full exercise of the underwriters’ option to purchase additional shares) at a price to the public of $7.50 per share. Net proceeds to us were approximately $216.9 million after deducting underwriting discounts and commissions and offering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2023, we entered into common share purchase and sale agreements with certain institutional investors, pursuant to which we sold an aggregate of 19,600,685 of our common shares at a purchase price of $10.21 per share. Net proceeds to us were approximately $199.8 million after deducting offering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Vant Equity Financing Transactions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Immunovant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2022, Immunovant completed an underwritten public offering of 12,500,000 shares of its common stock (including 416,667 shares of common stock purchased by us) at a price to the public of $6.00 per share, for net proceeds to Immunovant of approximately $70.2 million after deducting underwriting discounts and commissions and offering expenses.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2023, Immunovant completed an underwritten public offering of 8,475,500 shares of its common stock (including 1,526,316 shares of common stock purchased by us on the same terms as other investors in the offering and the full exercise of the underwriters’ option to purchase 1,105,500 additional shares of common stock) at a price to the public of $38.00 per share. Concurrent with the public offering, we purchased 4,473,684 shares of Immunovant’s common stock in a private placement exempt from the registration requirements of the Securities Act of 1933, as amended, at the same price per share as investors in the public offering of $38.00 per share. The net proceeds to Immunovant were approximately $466.7 million after deducting underwriting discounts and commissions, placement agent fees and offering expenses.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2025, Immunovant entered into a share purchase agreement pursuant to which Immunovant issued 22,500,000 shares of its common stock (including 16,845,010 shares of common stock purchased by us) at a price of $20.00 per share in a private placement exempt from the registration requirements of the Securities Act of 1933, as amended (the “IMVT PIPE”). The gross proceeds to Immunovant in the IMVT PIPE were approximately $450.0 million, of which $336.9 million related to our participation.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 of Subsidiary Interests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Dermavant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28, 2024, we completed the sale of our entire equity interest in our majority-owned subsidiary, Dermavant, to Organon.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Organon agreed to acquire Dermavant for aggregate cash consideration comprising (i) a payment of $175.0 million payable at the closing of the Dermavant Transaction, subject to certain adjustments, (ii) a $75.0 million milestone payment payable upon FDA approval of VTAMA (the “Product”) for the treatment of atopic dermatitis (the “AD Approval Milestone”) and (iii) up to $950.0 million in additional milestone payments payable upon achievement of certain tiered net sales amounts (each less than or equal to $1.0 billion) with respect to the Product. Additionally, Organon agreed to make tiered royalty payments of (x) low-to-mid single digit percentages with respect to annual net sales of the Product up to $1.0 billion and (y) 30% with respect to annual net sales of the Product above $1.0 billion. Such consideration and royalty payments are subject to certain post-closing adjustments and are payable to all of Dermavant’s equity holders, including holders of Dermavant restricted stock units, options and warrants, on a pro rata basis relative to their ownership of Dermavant prior to the closing of the Dermavant Transaction (in each case, after giving effect to the liquidation preference of Dermavant’s preference shares, all of which are held by us, and otherwise in accordance with the applicable terms of such securities). Under the liquidation preference of Dermavant’s preference shares, we are entitled to receive 100% of the first $270.0 million of consideration paid pursuant to the Merger Agreement. We received $183.6 million in cash in October 2024 upon the closing of the Dermavant Transaction, subject to certain post-closing adjustments that are not expected to be significant. The AD Approval Milestone was achieved in December 2024, and the Company received payment of the $75.0 million AD Approval Milestone in January 2025, pursuant to the terms of the Merger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contemplated by the Merger Agreement, in connection with the closing of the Dermavant Transaction, Dermavant repaid all amounts outstanding or otherwise payable (including accrued interest and all premiums and exit fees) pursuant to a senior secured credit facility (the “Credit Facility”), dated as of May 14, 2021 and amended as of May 24, 2024, by and among Dermavant, certain subsidiaries of Dermavant, XYQ Luxco S.A.R.L. and U.S. Bank Trust Company, National Association, and terminated the Credit Facility in accordance with its terms.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closing of the Dermavant Transaction, all rights and obligations under each of (A) the Revenue Interest Purchase and Sale Agreement, dated as of May 14, 2021 and amended as of May 24, 2024, by and among Dermavant, Dermavant Sciences GmbH, XYQ Luxco S.A.R.L., NovaQuest Co-Investment Funds XVII, L.P., MAM Tapir Lender, LLC and U.S. Bank Trust Company, National Association and (B) the Funding Agreement, dated as of July 10, 2018 and amended as of May 24, 2024, by and among Dermavant, Dermavant Sciences GmbH and NovaQuest Co-Investment Fund VIII, L.P., were retained by Dermavant and its subsidiaries, which became indirect wholly owned subsidiaries of Organon. Refer to Note 6, “Discontinued Operations” of our audited financial statements for further information.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Proteovant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2023, we completed a transaction with SK Biopharmaceuticals Co., Ltd. (“SK Bio”), a subsidiary of SK, Inc., pursuant to which SK Bio purchased all of our shares in Proteovant in exchange for $47.5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Telavant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we completed the sale of our entire equity interest in our majority-owned subsidiary, Telavant, to Roche. The Roche Transaction was made pursuant to a Stock Purchase Agreement dated October 22, 2023 among us, Telavant, Pfizer and Roche. Telavant was jointly formed by us and Pfizer in November 2022 to develop and commercialize RVT-3101, an anti-TL1A antibody in development for ulcerative colitis (“UC”) and Crohn’s disease, in the U.S. and Japan. Prior to the Roche Transaction, we held 75% of the issued and outstanding shares of common stock and preferred stock of Telavant, and Pfizer owned the remaining 25%, in each case on an as-converted basis.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Stock Purchase Agreement, Roche acquired all of the issued and outstanding shares of capital stock of Telavant in exchange for approximately $7.1 billion in cash at the closing of the Roche Transaction in December 2023, as well as a one-time milestone payment of $150 million in cash, paid in August 2024 following the initiation of a Phase 3 trial in UC. The $7.1 billion in closing consideration and $150 million one-time milestone payment were paid to all of Telavant’s equity holders, including holders of Telavant restricted stock units, on a pro rata basis relative to their ownership of Telavant prior to the closing of the Roche Transaction. We received an upfront payment of approximately $5.2 billion in cash as our pro rata portion of the consideration upon closing of the Roche Transaction and a one-time milestone payment of approximately $110.4 million as our pro rata portion of the milestone payment following initiation of a Phase 3 trial in UC.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discovery efforts, preclinical activities, clinical trials and potential commercialization of our product candidates. Our operating results, including our net losses, may fluctuate significantly from quarter-to-quarter and year-to-year, depending on the timing of our planned clinical trials, our expenditures on other research and development activities and our commercialization efforts. We anticipate that our expenses will increase substantially as we:</w:t>
      </w:r>
    </w:p>
    <w:p>
      <w:pPr>
        <w:spacing w:after="0" w:line="180" w:lineRule="exact"/>
        <w:rPr>
          <w:sz w:val="20"/>
          <w:szCs w:val="20"/>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preclinical studies and clinical trials for our product candidates, which we are pursuing or may choose to pursue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manufacturing of drug substance and drug product of our product candidates in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develop and commercialize additional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activities related to the discovery of novel drugs and advancement of our internal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efforts;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under our agreements with third parties that will require us to make substantial payments to those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our sales, marketing and distribution infrastructure and scale up external manufacturing capabilities to commercialize any drug candidates for which we may obtain regulatory approval;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do not have a need for additional capital to continue our operations as a result of our current cash position, we may in the future require additional capital to fund our operations, pursue business opportunities or strategic transactions or to respond to challenges, competition or unforeseen circumstances. In that case, until such time, if ever, that we can generate substantial revenues, we may finance future cash needs through a combination of equity offerings, debt financings, strategic alliances and license and development agreements or other collaborations at Roivant and the Vants. To the extent that we raise additional capital by issuing equity securities at Roivant or the Vants, our existing shareholders’ ownership, or our ownership in the Vants, may experience substantial dilution, and the terms of these securities may include liquidation or other preferences that could harm the rights of our shareholders.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or strategic alliances or through marketing, distribution or licensing arrangements with third parties, we may have to relinquish valuable rights to our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if needed, or to pursue business opportunities, including potential acquisitions.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do not have a near-term need for additional capital as a result of our current cash position, we may in the future require additional capital, and if adequate funds are not available to us in that case, we may be required to forego potential in-licensing or acquisition opportunities, delay, limit or terminate one or more development or discovery programs, scale back marketing efforts for our product candidates or be unable to expand operations or otherwise capitalize on business opportunities, which could materially affect our business, prospects, financial condition and results of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as part of our ongoing business strategy we regularly evaluate new acquisition and in-licensing opportunities, as well as our capital structure. We may from time to time use our existing cash to fund such opportunities or to retire outstanding debt obligations or to return capital to shareholders though share repurchases or the issuance of cash dividends on our common shares to optimize our capital structure. See “Risk Factors—Risks Related to Our Business and Industry—We face risks associated with acquisitions, divestitures and other strategic transactions.” for more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9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ended March 31, 2025, 2024 and 2023: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(839,451)</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(765,268)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(843,393)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(1,766,291)</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5,203,623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(44,269)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(1,219,794)</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419,364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499,462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represents the cash receipts and disbursements related to all of our activities other than investing and financing activities. Cash flow from operating activities is derived from adjusting our net loss for non-cash items and changes in working capital.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March 31, 2025, cash used in operating activities increased by $74.2 million to $839.5 million compared to $765.3 million for the year ended March 31, 2024, largely reflecting greater cash requirements to advance our research and development programs during the year ended March 31, 2025.</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March 31, 2024, cash used in operating activities decreased by $78.1 million to $765.3 million compared to $843.4 million for the year ended March 31, 2023 due to greater cash requirements to fund operations during the year ended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March 31, 2025, cash flow from investing activities changed by approximately $7.0 billion to net cash used in investing activities of approximately $1.8 billion for the year ended March 31, 2025 from net cash provided by investing activities of $5.2 billion for the year ended March 31, 2024. This change in cash flow is primarily due to purchases of marketable securities, partially offset by maturities, during the year ended March 31, 2025 and the proceeds received upon closing of the Roche Transaction during the year ended March 31, 2024.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March 31, 2024, cash flow from investing activities changed by $5.2 billion to net cash provided by investing activities of $5.2 billion from net cash used in investing activities of $44.3 million for the year ended March 31, 2023. This change in cash flow from investing activities is primarily due to proceeds received upon closing of the Roche Transaction during the year ended March 31,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2025, cash flow from financing activities changed by approximately $1.6 billion to net cash used in financing activities of $1.2 billion for the year ended March 31, 2025 from net cash provided by financing activities of $419.4 million for the year ended March 31, 2024. During the year ended March 31, 2025, net cash used in financing activities was primarily driven by the repurchase of approximately $1.3 billion of our common shares, partially offset by the issuance of common shares of our majority-owned subsidiary Immunovant. During the year ended March 31, 2024, net proceeds were primarily generated by the issuance of common shares of our majority-owned subsidiary Immunovant as well as the issuance of our common shares pursuant to purchase and sale agreements entered into with certain institutional investors.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2024, cash provided by financing activities decreased by $80.1 million to $419.4 million compared to $499.5 million for the year ended March 31, 2023. During the year ended March 31, 2024, net proceeds were primarily generated by the issuance of common shares of our majority-owned subsidiary Immunovant as well as the issuance of our common shares pursuant to purchase and sale agreements entered with certain institutional investors. During the year ended March 31, 2023, proceeds were generated by funding pursuant to the terms of the RIPSA following the approval of VTAMA by the FDA in May 2022 as well as net proceeds from the issuance of our common shares and the common shares of our majority-owned subsidiary Immunovant.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(“U.S. GAAP”). The preparation of these financial statements requires us to make estimates, judgments and assumptions that affect the reported amounts of assets and liabilities, and disclosures of contingencies as of the dates of the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“Summary of Significant Accounting Policies” in our consolidated financial statements included elsewhere in this Annual Report on Form 10-K, we believe that the following accounting policies are those most critical to the judgments and estimates used in the preparation of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 Including Clinical Trial Accruals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We record accruals for estimated costs of research and development activities, including preclinical studies, clinical trials and contract manufacturing, conducted by third-party service providers. Our process for determining such estimates includes reviewing open contracts, vendor agreements and purchase orders; communicating with our internal personnel and external service providers to understand the progress or stage of completion of services performed on our behalf; and estimating the associated costs for these services when we have not yet been invoiced. We make estimates of our accrued expenses as of each balance sheet date in our financial statements based on facts and circumstances known to us at that time.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expenses related to clinical trials based on our estimates of the services received and efforts expended pursuant to contracts with multiple CROs that conduct and manage clinical trials on our behalf. The financial terms of these agreements are subject to negotiation and vary from contract to contract. This may result in uneven payment flows. There may be instances in which payments made to our vendors will exceed the level of services provided and result in a prepayment of the clinical expense. Payments under some of these contracts depend on various factors, including the successful enrollment of patients and the completion of clinical trial milestones. The majority of our service providers invoice us in arrears based on a pre-determined schedule or when contractual milestones are met. In making these estimates, we consider various factors, including status and timing of services performed, the number of patients enrolled and the rate of patient enrollment. If the actual timing of the performance of services or the level of effort varies from our estimate, the accrual or prepaid expense is adjusted accordingly.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examples of estimated accrued research and development expenses include fees paid to:</w:t>
      </w:r>
    </w:p>
    <w:p>
      <w:pPr>
        <w:spacing w:after="0" w:line="225" w:lineRule="exact"/>
        <w:rPr>
          <w:sz w:val="20"/>
          <w:szCs w:val="20"/>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in connection with clinical trials;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the production of product and clinical trial materials.</w:t>
      </w:r>
    </w:p>
    <w:p>
      <w:pPr>
        <w:sectPr>
          <w:pgSz w:w="11900" w:h="16838" w:orient="portrait"/>
          <w:cols w:equalWidth="0" w:num="1">
            <w:col w:w="11240"/>
          </w:cols>
          <w:pgMar w:left="320" w:top="115"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we have not experienced significant changes in our estimates of accrued research and development expenses after a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 in Datavant</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hold an equity method investment in Datavant, which is a privately-held company. We do not consolidate Datavant as we do not have a controlling financial interest. Our investment in Datavant is subject to the equity method of accounting, and we have elected the fair value option to continuously remeasure the investment to fair value each reporting period with changes in fair value reflected in earnings. We have engaged an independent valuation specialist to determine the fair value as of each reporting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 of our investment in Datavant uses significant unobservable inputs and is therefore classified as a Level 3 financial instrument. The estimate of fair value for this investment was determined using the income approach, market approach and implementation of the option pricing method (“OPM”). The income approach is based on the future expected cash flows, which are derived from certain assumptions attributable to Datavant including estimates of revenue growth rate, earnings before interest, taxes, depreciation and amortization and terminal growth rate. These expected cash flows are then discounted to their present value using a discount rate that reflects the risk and time value of money. The market approach estimates value by using valuation multiples derived from the stock prices of comparable publicly traded companies to determine the company’s equity value.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These amendments should be applied retrospectively to all prior periods presented in the financial statements. Beginning with this Annual Report on Form 10-K, we adopted this standard which resulted in incremental segment disclosures. Refer to Note 16, “Segment Information” for disclosure of the information required under ASU 2023-07.</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primarily related to interest rate and foreign currency sensitivities and equity price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March 31, 2025, we had cash, cash equivalents and marketable securities of approximately $4.9 billion. Our management team has broad discretion in respect of use of our cash, cash equivalents and marketable securities. The primary objective of our investment activities is to preserve capital to fund our operations. We may use all or a portion of such proceeds for one or more strategic transactions, including acquisitions of companies, asset purchases or sales or in-licensing of intellectual property, products or product candidates or technologies, as described above. We also seek to maximize income from our investments without assuming significant risk. To achieve our objectives, we maintain a portfolio of investments in a variety of securities of high credit quality and short-term duration, according to our board-approved investment policy. Interest income is sensitive to changes in the general level of interest rates; however, due to the nature of our account portfolio, a hypothetical 10% change in interest rates would not have a material effect on our financial condition or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Sensitivity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employees and our operations are currently primarily located in the U.S., and our expenses are generally denominated in U.S. dollars. We therefore are not currently exposed to significant market risk related to changes in foreign currency exchange rates. However, we are exposed to fluctuations in foreign currency exchange rate risk as a result of entering into transactions denominated in currencies other than U.S. dollars as we have contracted with and may continue to contract with foreign vendors and counterparties. A hypothetical 10% change in exchange rates during any of the periods presented would not have a material effect on our financial condition or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we were exposed to price risk on equity securities included in our portfolio of investments, the most significant of which were our investments in Arbutus and Datavant. Our investments in Arbutus and Datavant are measured at fair value with any changes in fair value recognized in our statements of operations, which therefore may increase the volatility of our earnings. A hypothetical 20% increase or decrease in the fair value of our investments in Arbutus and Datavant would have increased or decreased their fair value as of March 31, 2025 by approximately $61 million.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41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08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000" w:type="dxa"/>
            <w:vAlign w:val="bottom"/>
          </w:tcPr>
          <w:p>
            <w:pPr>
              <w:spacing w:after="0"/>
              <w:rPr>
                <w:sz w:val="24"/>
                <w:szCs w:val="24"/>
                <w:color w:val="auto"/>
              </w:rPr>
            </w:pPr>
          </w:p>
        </w:tc>
      </w:tr>
      <w:tr>
        <w:trPr>
          <w:trHeight w:val="410"/>
        </w:trPr>
        <w:tc>
          <w:tcPr>
            <w:tcW w:w="10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Roivant Sciences Ltd.</w:t>
            </w:r>
          </w:p>
        </w:tc>
        <w:tc>
          <w:tcPr>
            <w:tcW w:w="1000" w:type="dxa"/>
            <w:vAlign w:val="bottom"/>
          </w:tcPr>
          <w:p>
            <w:pPr>
              <w:spacing w:after="0"/>
              <w:rPr>
                <w:sz w:val="24"/>
                <w:szCs w:val="24"/>
                <w:color w:val="auto"/>
              </w:rPr>
            </w:pPr>
          </w:p>
        </w:tc>
      </w:tr>
      <w:tr>
        <w:trPr>
          <w:trHeight w:val="245"/>
        </w:trPr>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(PCAOB ID No. </w:t>
            </w:r>
            <w:r>
              <w:rPr>
                <w:rFonts w:ascii="Times New Roman" w:cs="Times New Roman" w:eastAsia="Times New Roman" w:hAnsi="Times New Roman"/>
                <w:sz w:val="18"/>
                <w:szCs w:val="18"/>
                <w:color w:val="000000"/>
              </w:rPr>
              <w:t>42)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131</w:t>
            </w:r>
          </w:p>
        </w:tc>
      </w:tr>
      <w:tr>
        <w:trPr>
          <w:trHeight w:val="216"/>
        </w:trPr>
        <w:tc>
          <w:tcPr>
            <w:tcW w:w="160" w:type="dxa"/>
            <w:vAlign w:val="bottom"/>
            <w:tcBorders>
              <w:top w:val="single" w:sz="8" w:color="CCEEFF"/>
            </w:tcBorders>
          </w:tcPr>
          <w:p>
            <w:pPr>
              <w:spacing w:after="0"/>
              <w:rPr>
                <w:sz w:val="18"/>
                <w:szCs w:val="18"/>
                <w:color w:val="auto"/>
              </w:rPr>
            </w:pPr>
          </w:p>
        </w:tc>
        <w:tc>
          <w:tcPr>
            <w:tcW w:w="552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4560" w:type="dxa"/>
            <w:vAlign w:val="bottom"/>
            <w:tcBorders>
              <w:top w:val="single" w:sz="8" w:color="CCEEFF"/>
            </w:tcBorders>
            <w:gridSpan w:val="5"/>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9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March 31, 2025 and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134</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March 31, 2025, 2024 and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135</w:t>
            </w: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Income for the Years Ended March 31, 2025, 2024 and 2023</w:t>
            </w:r>
          </w:p>
        </w:tc>
        <w:tc>
          <w:tcPr>
            <w:tcW w:w="18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136</w:t>
            </w:r>
          </w:p>
        </w:tc>
      </w:tr>
      <w:tr>
        <w:trPr>
          <w:trHeight w:val="175"/>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and Redeemable Noncontrolling Interest for the Years Ended March 31, 2025, 2024</w:t>
            </w:r>
          </w:p>
        </w:tc>
        <w:tc>
          <w:tcPr>
            <w:tcW w:w="1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23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137</w:t>
            </w: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March 31, 2025,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138</w:t>
            </w:r>
          </w:p>
        </w:tc>
      </w:tr>
      <w:tr>
        <w:trPr>
          <w:trHeight w:val="176"/>
        </w:trPr>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22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139</w:t>
            </w:r>
          </w:p>
        </w:tc>
      </w:tr>
      <w:tr>
        <w:trPr>
          <w:trHeight w:val="591"/>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tcPr>
          <w:p>
            <w:pPr>
              <w:spacing w:after="0"/>
              <w:rPr>
                <w:sz w:val="24"/>
                <w:szCs w:val="24"/>
                <w:color w:val="auto"/>
              </w:rPr>
            </w:pPr>
          </w:p>
        </w:tc>
        <w:tc>
          <w:tcPr>
            <w:tcW w:w="3480" w:type="dxa"/>
            <w:vAlign w:val="bottom"/>
            <w:gridSpan w:val="3"/>
          </w:tcPr>
          <w:p>
            <w:pPr>
              <w:jc w:val="right"/>
              <w:ind w:right="1220"/>
              <w:spacing w:after="0"/>
              <w:rPr>
                <w:sz w:val="20"/>
                <w:szCs w:val="20"/>
                <w:color w:val="auto"/>
              </w:rPr>
            </w:pPr>
            <w:r>
              <w:rPr>
                <w:rFonts w:ascii="Times New Roman" w:cs="Times New Roman" w:eastAsia="Times New Roman" w:hAnsi="Times New Roman"/>
                <w:sz w:val="14"/>
                <w:szCs w:val="14"/>
                <w:color w:val="auto"/>
              </w:rPr>
              <w:t>130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Roivant Sciences Ltd.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Roivant Sciences Ltd. (the Company) as of March 31, 2025 and 2024, the related consolidated statements of operations, comprehensive (loss) income, shareholders’ equity and redeemable noncontrolling interest and cash flows for each of the three years in the period ended March 31, 2025, and the related notes (collectively referred to as the “consolidated financial statements”). In our opinion, the consolidated financial statements present fairly, in all material respects, the financial position of the Company at March 31, 2025 and 2024, and the results of its operations and its cash flows for each of the three years in the period ended March 31, 2025,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31, 2025, based on criteria established in Internal Control-Integrated Framework issued by the Committee of Sponsoring Organizations of the Treadway Commission (2013 Framework) and our report dated May 29, 2025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Accrual</w:t>
      </w:r>
    </w:p>
    <w:p>
      <w:pPr>
        <w:spacing w:after="0" w:line="31"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discussed in Note 2 to the consolidated financial statements, the Company accrues costs for clinical trial activities based upon</w:t>
      </w:r>
    </w:p>
    <w:p>
      <w:pPr>
        <w:spacing w:after="0" w:line="9" w:lineRule="exact"/>
        <w:rPr>
          <w:sz w:val="20"/>
          <w:szCs w:val="20"/>
          <w:color w:val="auto"/>
        </w:rPr>
      </w:pPr>
    </w:p>
    <w:p>
      <w:pPr>
        <w:jc w:val="both"/>
        <w:ind w:left="1820" w:hanging="1819"/>
        <w:spacing w:after="0" w:line="255" w:lineRule="auto"/>
        <w:tabs>
          <w:tab w:leader="none" w:pos="18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estimates of the services received and related expenses incurred that have yet to be invoiced by contract research organizations. In making these estimates, the Company considers various factors, including status and timing of services performed, the number of patients enrolled and the rate of patient enrollment.</w:t>
      </w:r>
    </w:p>
    <w:p>
      <w:pPr>
        <w:spacing w:after="0" w:line="186" w:lineRule="exact"/>
        <w:rPr>
          <w:sz w:val="20"/>
          <w:szCs w:val="20"/>
          <w:color w:val="auto"/>
        </w:rPr>
      </w:pPr>
    </w:p>
    <w:p>
      <w:pPr>
        <w:jc w:val="both"/>
        <w:ind w:left="1820"/>
        <w:spacing w:after="0" w:line="258" w:lineRule="auto"/>
        <w:rPr>
          <w:sz w:val="20"/>
          <w:szCs w:val="20"/>
          <w:color w:val="auto"/>
        </w:rPr>
      </w:pPr>
      <w:r>
        <w:rPr>
          <w:rFonts w:ascii="Times New Roman" w:cs="Times New Roman" w:eastAsia="Times New Roman" w:hAnsi="Times New Roman"/>
          <w:sz w:val="18"/>
          <w:szCs w:val="18"/>
          <w:color w:val="auto"/>
        </w:rPr>
        <w:t>Auditing the Company’s accrual for clinical trial costs is complex due to the fact that information necessary to estimate the accruals is accumulated from clinical research organizations and the Company’s assessment of that information is subject to variability and uncertainty. In addition, in certain circumstances, the determination of the nature and amount of services that have been received during the reporting period requires judgment because the timing and pattern of vendor invoicing does not correspond to the level of services provided and there may be delays in invoicing from clinical study sites and other vendors.</w:t>
      </w:r>
    </w:p>
    <w:p>
      <w:pPr>
        <w:spacing w:after="0" w:line="181"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internal controls that addressed the</w:t>
      </w:r>
    </w:p>
    <w:p>
      <w:pPr>
        <w:spacing w:after="0" w:line="2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8"/>
          <w:szCs w:val="18"/>
          <w:color w:val="auto"/>
        </w:rPr>
        <w:t>identified risks related to the information used in the Company’s process for recording clinical trial accruals. For example, we</w:t>
      </w:r>
    </w:p>
    <w:p>
      <w:pPr>
        <w:spacing w:after="0" w:line="9" w:lineRule="exact"/>
        <w:rPr>
          <w:sz w:val="20"/>
          <w:szCs w:val="20"/>
          <w:color w:val="auto"/>
        </w:rPr>
      </w:pPr>
    </w:p>
    <w:p>
      <w:pPr>
        <w:ind w:left="1820" w:hanging="1819"/>
        <w:spacing w:after="0" w:line="260" w:lineRule="auto"/>
        <w:tabs>
          <w:tab w:leader="none" w:pos="180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tested controls over management’s review of clinical trial progress in comparison to information and invoices received from third parties, and over the completeness and accuracy of data used to calculate the accrual.</w:t>
      </w:r>
    </w:p>
    <w:p>
      <w:pPr>
        <w:spacing w:after="0" w:line="181" w:lineRule="exact"/>
        <w:rPr>
          <w:sz w:val="20"/>
          <w:szCs w:val="20"/>
          <w:color w:val="auto"/>
        </w:rPr>
      </w:pPr>
    </w:p>
    <w:p>
      <w:pPr>
        <w:jc w:val="both"/>
        <w:ind w:left="1820"/>
        <w:spacing w:after="0" w:line="254" w:lineRule="auto"/>
        <w:rPr>
          <w:sz w:val="20"/>
          <w:szCs w:val="20"/>
          <w:color w:val="auto"/>
        </w:rPr>
      </w:pPr>
      <w:r>
        <w:rPr>
          <w:rFonts w:ascii="Times New Roman" w:cs="Times New Roman" w:eastAsia="Times New Roman" w:hAnsi="Times New Roman"/>
          <w:sz w:val="18"/>
          <w:szCs w:val="18"/>
          <w:color w:val="auto"/>
        </w:rPr>
        <w:t>To test the clinical trial accrual, our audit procedures included, among others, reading a sample of the Company’s agreements with the service providers to understand key financial and contractual terms and testing the accuracy and completeness of the underlying data used in the accrual computations. We also evaluated management’s estimates of the vendor’s progress for a sample of clinical trials by making direct inquiries of the Company’s operations personnel overseeing the clinical trials and obtaining information directly from certain service providers about the service providers’ estimate of costs that had been incurred through March 31, 2025.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 in Datavant</w:t>
      </w:r>
    </w:p>
    <w:p>
      <w:pPr>
        <w:spacing w:after="0" w:line="31"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March 31, 2025, the fair value of the Company’s minority equity investment in Heracles Parent, L.L.C. (“Datavant”) was</w:t>
      </w:r>
    </w:p>
    <w:p>
      <w:pPr>
        <w:spacing w:after="0" w:line="9" w:lineRule="exact"/>
        <w:rPr>
          <w:sz w:val="20"/>
          <w:szCs w:val="20"/>
          <w:color w:val="auto"/>
        </w:rPr>
      </w:pPr>
    </w:p>
    <w:p>
      <w:pPr>
        <w:jc w:val="both"/>
        <w:ind w:left="1820" w:hanging="1819"/>
        <w:spacing w:after="0" w:line="252" w:lineRule="auto"/>
        <w:tabs>
          <w:tab w:leader="none" w:pos="18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$167.4 million and was classified as Level 3 within the fair value hierarchy. As discussed in Notes 4 and 14 to the consolidated financial statements, the Company has elected the fair value option to account for its investment in Datavant. Management determines the fair value of the Company’s investment in Datavant using the income approach, market approach, and implementation of the option pricing method, which uses significant unobservable inputs. Determining the fair value of the Company’s investment in Datavant requires management to make significant judgments about the valuation methodologies, including the unobservable inputs and other assumptions and estimates used in the measurements.</w:t>
      </w:r>
    </w:p>
    <w:p>
      <w:pPr>
        <w:spacing w:after="0" w:line="190" w:lineRule="exact"/>
        <w:rPr>
          <w:sz w:val="20"/>
          <w:szCs w:val="20"/>
          <w:color w:val="auto"/>
        </w:rPr>
      </w:pPr>
    </w:p>
    <w:p>
      <w:pPr>
        <w:ind w:left="1820" w:right="140"/>
        <w:spacing w:after="0" w:line="258" w:lineRule="auto"/>
        <w:rPr>
          <w:sz w:val="20"/>
          <w:szCs w:val="20"/>
          <w:color w:val="auto"/>
        </w:rPr>
      </w:pPr>
      <w:r>
        <w:rPr>
          <w:rFonts w:ascii="Times New Roman" w:cs="Times New Roman" w:eastAsia="Times New Roman" w:hAnsi="Times New Roman"/>
          <w:sz w:val="18"/>
          <w:szCs w:val="18"/>
          <w:color w:val="auto"/>
        </w:rPr>
        <w:t>Auditing the fair value of the Company’s investment in Datavant is especially complex and requires substantial auditor judgment due to the significant estimation required in determining the fair value of the investment in Datavant. In particular, to value its investment in Datavant, the Company used significant unobservable inputs such as the discount rate, revenue growth rate, earnings before interest, taxes, depreciation and amortization and terminal growth rate, which are affected by expectations about future market or economic conditions.</w:t>
      </w:r>
    </w:p>
    <w:p>
      <w:pPr>
        <w:spacing w:after="0" w:line="181"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controls over the process for valuing</w:t>
      </w:r>
    </w:p>
    <w:p>
      <w:pPr>
        <w:spacing w:after="0" w:line="2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 Matter in Our </w:t>
      </w:r>
      <w:r>
        <w:rPr>
          <w:rFonts w:ascii="Times New Roman" w:cs="Times New Roman" w:eastAsia="Times New Roman" w:hAnsi="Times New Roman"/>
          <w:sz w:val="18"/>
          <w:szCs w:val="18"/>
          <w:color w:val="auto"/>
        </w:rPr>
        <w:t>the Company’s investment in Datavant, including controls over management’s review of the significant inputs described above.</w:t>
      </w:r>
      <w:r>
        <w:rPr>
          <w:rFonts w:ascii="Times New Roman" w:cs="Times New Roman" w:eastAsia="Times New Roman" w:hAnsi="Times New Roman"/>
          <w:sz w:val="18"/>
          <w:szCs w:val="18"/>
          <w:i w:val="1"/>
          <w:iCs w:val="1"/>
          <w:color w:val="auto"/>
        </w:rPr>
        <w:t xml:space="preserve"> Audit</w:t>
      </w:r>
    </w:p>
    <w:p>
      <w:pPr>
        <w:spacing w:after="0" w:line="216" w:lineRule="exact"/>
        <w:rPr>
          <w:sz w:val="20"/>
          <w:szCs w:val="20"/>
          <w:color w:val="auto"/>
        </w:rPr>
      </w:pPr>
    </w:p>
    <w:p>
      <w:pPr>
        <w:jc w:val="both"/>
        <w:ind w:left="1820"/>
        <w:spacing w:after="0" w:line="251" w:lineRule="auto"/>
        <w:rPr>
          <w:sz w:val="20"/>
          <w:szCs w:val="20"/>
          <w:color w:val="auto"/>
        </w:rPr>
      </w:pPr>
      <w:r>
        <w:rPr>
          <w:rFonts w:ascii="Times New Roman" w:cs="Times New Roman" w:eastAsia="Times New Roman" w:hAnsi="Times New Roman"/>
          <w:sz w:val="18"/>
          <w:szCs w:val="18"/>
          <w:color w:val="auto"/>
        </w:rPr>
        <w:t>To test the fair value of the Company’s investment in Datavant, our audit procedures included, among others, assessing the valuation methodologies used and testing the significant unobservable inputs discussed above, including testing the completeness, accuracy and relevance of underlying data used by the Company in the valuation. We compared the significant inputs and underlying data used by management to current industry and economic trends, historical financial results, and other relevant factors. We analyzed the significant unobservable inputs to evaluate the change in the fair value of the Company’s investment in Datavant resulting from changes in the inputs. We also assessed the historical accuracy of the underlying financial projections developed by Datavant by comparing to actual historical results. In addition, we involved our valuation specialists to assist in evaluating the valuation methodology and significant unobservable inputs described above used to develop the fair value estimate. The valuation specialists’ procedures included independently developing fair value estimates and comparing them to the amounts recorded.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We have served as the Company’s auditor since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May 29, 2025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8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5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212529"/>
                <w:w w:val="98"/>
              </w:rPr>
              <w:t>ROIVANT SCIENCES LTD.</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752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212529"/>
                <w:w w:val="99"/>
              </w:rPr>
              <w:t>Consolidated Balance Sheets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p>
        </w:tc>
        <w:tc>
          <w:tcPr>
            <w:tcW w:w="7520" w:type="dxa"/>
            <w:vAlign w:val="bottom"/>
          </w:tcPr>
          <w:p>
            <w:pPr>
              <w:jc w:val="center"/>
              <w:ind w:left="1590"/>
              <w:spacing w:after="0"/>
              <w:rPr>
                <w:sz w:val="20"/>
                <w:szCs w:val="20"/>
                <w:color w:val="auto"/>
              </w:rPr>
            </w:pPr>
            <w:r>
              <w:rPr>
                <w:rFonts w:ascii="Times New Roman" w:cs="Times New Roman" w:eastAsia="Times New Roman" w:hAnsi="Times New Roman"/>
                <w:sz w:val="18"/>
                <w:szCs w:val="18"/>
                <w:i w:val="1"/>
                <w:iCs w:val="1"/>
                <w:color w:val="212529"/>
                <w:w w:val="99"/>
              </w:rPr>
              <w:t>(in thousands, except share and per share amounts)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12529"/>
              </w:rPr>
              <w:t>March 31, 2025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12529"/>
              </w:rPr>
              <w:t>March 31, 2024</w:t>
            </w:r>
          </w:p>
        </w:tc>
      </w:tr>
      <w:tr>
        <w:trPr>
          <w:trHeight w:val="198"/>
        </w:trPr>
        <w:tc>
          <w:tcPr>
            <w:tcW w:w="8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212529"/>
              </w:rPr>
              <w:t>Assets</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Current assets: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Cash and cash equivalents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2,715,411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6,494,953</w:t>
            </w:r>
          </w:p>
        </w:tc>
      </w:tr>
      <w:tr>
        <w:trPr>
          <w:trHeight w:val="216"/>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2,171,480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Other current assets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113,173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80,605</w:t>
            </w:r>
          </w:p>
        </w:tc>
      </w:tr>
      <w:tr>
        <w:trPr>
          <w:trHeight w:val="223"/>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 of discontinued operations (Note 6)</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156,270</w:t>
            </w:r>
          </w:p>
        </w:tc>
      </w:tr>
      <w:tr>
        <w:trPr>
          <w:trHeight w:val="216"/>
        </w:trPr>
        <w:tc>
          <w:tcPr>
            <w:tcW w:w="8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212529"/>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5,000,064</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6,731,828</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Property and equipment, net</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12,056</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15,322</w:t>
            </w: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12529"/>
              </w:rPr>
              <w:t>Operating lease right-of-use assets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89,021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44,002</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Investments measured at fair value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302,939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247,753</w:t>
            </w: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12529"/>
              </w:rPr>
              <w:t>Other assets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32,860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37,701</w:t>
            </w: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 (Note 6)</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145,876</w:t>
            </w:r>
          </w:p>
        </w:tc>
      </w:tr>
      <w:tr>
        <w:trPr>
          <w:trHeight w:val="257"/>
        </w:trPr>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212529"/>
              </w:rPr>
              <w:t>Total assets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5,436,940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7,222,482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Liabilities and Shareholders’ Equity</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12529"/>
              </w:rPr>
              <w:t>Current liabilities: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12529"/>
              </w:rPr>
              <w:t>Accounts payable</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212529"/>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23,691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21252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14,029</w:t>
            </w: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Accrued expenses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114,294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119,417</w:t>
            </w:r>
          </w:p>
        </w:tc>
      </w:tr>
      <w:tr>
        <w:trPr>
          <w:trHeight w:val="216"/>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12529"/>
              </w:rPr>
              <w:t>Operating lease liabilities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9,842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8,966</w:t>
            </w: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Other current liabilities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1,584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13,941</w:t>
            </w:r>
          </w:p>
        </w:tc>
      </w:tr>
      <w:tr>
        <w:trPr>
          <w:trHeight w:val="223"/>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 of discontinued operations (Note 6)</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110,405</w:t>
            </w:r>
          </w:p>
        </w:tc>
      </w:tr>
      <w:tr>
        <w:trPr>
          <w:trHeight w:val="216"/>
        </w:trPr>
        <w:tc>
          <w:tcPr>
            <w:tcW w:w="8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212529"/>
              </w:rPr>
              <w:t>Total 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149,411</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266,758</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Liability instruments measured at fair value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9,981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25,737</w:t>
            </w: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12529"/>
              </w:rPr>
              <w:t>Operating lease liabilities, noncurrent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90,328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45,020</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Other liabilities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2,493</w:t>
            </w:r>
          </w:p>
        </w:tc>
      </w:tr>
      <w:tr>
        <w:trPr>
          <w:trHeight w:val="223"/>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 (Note 6)</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433,945</w:t>
            </w:r>
          </w:p>
        </w:tc>
      </w:tr>
      <w:tr>
        <w:trPr>
          <w:trHeight w:val="223"/>
        </w:trPr>
        <w:tc>
          <w:tcPr>
            <w:tcW w:w="854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212529"/>
              </w:rPr>
              <w:t>Total liabilities</w:t>
            </w: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rPr>
              <w:t>249,742</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rPr>
              <w:t>773,953</w:t>
            </w:r>
          </w:p>
        </w:tc>
        <w:tc>
          <w:tcPr>
            <w:tcW w:w="100" w:type="dxa"/>
            <w:vAlign w:val="bottom"/>
            <w:tcBorders>
              <w:top w:val="single" w:sz="8" w:color="CCEEFF"/>
            </w:tcBorders>
          </w:tcPr>
          <w:p>
            <w:pPr>
              <w:spacing w:after="0"/>
              <w:rPr>
                <w:sz w:val="19"/>
                <w:szCs w:val="19"/>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12529"/>
              </w:rPr>
              <w:t>Commitments and contingencies (Note 12)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Shareholders’ equity:</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5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212529"/>
              </w:rPr>
              <w:t>Common shares, par value $0.0000000341740141 per share, 7,000,000,000 shares authorized and 695,938,323</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212529"/>
              </w:rPr>
              <w:t>and 806,677,954 shares issued and outstanding at March 31, 2025 and 2024, respectively</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r>
      <w:tr>
        <w:trPr>
          <w:trHeight w:val="216"/>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12529"/>
              </w:rPr>
              <w:t>Additional paid-in capital</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4,562,107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5,396,492</w:t>
            </w: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R</w:t>
            </w:r>
            <w:r>
              <w:rPr>
                <w:rFonts w:ascii="Times New Roman" w:cs="Times New Roman" w:eastAsia="Times New Roman" w:hAnsi="Times New Roman"/>
                <w:sz w:val="18"/>
                <w:szCs w:val="18"/>
                <w:color w:val="000000"/>
              </w:rPr>
              <w:t>etained earnings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116,060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576,172</w:t>
            </w:r>
          </w:p>
        </w:tc>
      </w:tr>
      <w:tr>
        <w:trPr>
          <w:trHeight w:val="223"/>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9,438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12529"/>
              </w:rPr>
              <w:t>(4,083)</w:t>
            </w:r>
          </w:p>
        </w:tc>
      </w:tr>
      <w:tr>
        <w:trPr>
          <w:trHeight w:val="216"/>
        </w:trPr>
        <w:tc>
          <w:tcPr>
            <w:tcW w:w="8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212529"/>
              </w:rPr>
              <w:t>Shareholders’ equity attributable to Roivant Sciences Ltd.</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4,687,605</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5,968,581</w:t>
            </w:r>
          </w:p>
        </w:tc>
        <w:tc>
          <w:tcPr>
            <w:tcW w:w="100" w:type="dxa"/>
            <w:vAlign w:val="bottom"/>
            <w:shd w:val="clear" w:color="auto" w:fill="CCEEFF"/>
          </w:tcPr>
          <w:p>
            <w:pPr>
              <w:spacing w:after="0"/>
              <w:rPr>
                <w:sz w:val="18"/>
                <w:szCs w:val="18"/>
                <w:color w:val="auto"/>
              </w:rPr>
            </w:pPr>
          </w:p>
        </w:tc>
      </w:tr>
      <w:tr>
        <w:trPr>
          <w:trHeight w:val="223"/>
        </w:trPr>
        <w:tc>
          <w:tcPr>
            <w:tcW w:w="8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212529"/>
              </w:rPr>
              <w:t>Noncontrolling interests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499,593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479,948</w:t>
            </w:r>
          </w:p>
        </w:tc>
      </w:tr>
      <w:tr>
        <w:trPr>
          <w:trHeight w:val="223"/>
        </w:trPr>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212529"/>
              </w:rPr>
              <w:t>Total shareholders’ equity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5,187,198</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6,448,529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212529"/>
              </w:rPr>
              <w:t>Total liabilities and shareholders’ equity</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21252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5,436,940</w:t>
            </w: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21252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7,222,482</w:t>
            </w:r>
          </w:p>
        </w:tc>
      </w:tr>
      <w:tr>
        <w:trPr>
          <w:trHeight w:val="21"/>
        </w:trPr>
        <w:tc>
          <w:tcPr>
            <w:tcW w:w="10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63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212529"/>
                <w:w w:val="98"/>
              </w:rPr>
              <w:t>ROIVANT SCIENCES LTD.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212529"/>
                <w:w w:val="99"/>
              </w:rPr>
              <w:t>Consolidated Statements of Operations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p>
        </w:tc>
        <w:tc>
          <w:tcPr>
            <w:tcW w:w="652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i w:val="1"/>
                <w:iCs w:val="1"/>
                <w:color w:val="212529"/>
                <w:w w:val="99"/>
              </w:rPr>
              <w:t>(in thousands, except share and per share amounts)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212529"/>
              </w:rPr>
              <w:t>Years Ended March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Operating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Cost of revenues</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911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1,599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3,034</w:t>
            </w:r>
          </w:p>
        </w:tc>
      </w:tr>
      <w:tr>
        <w:trPr>
          <w:trHeight w:val="198"/>
        </w:trPr>
        <w:tc>
          <w:tcPr>
            <w:tcW w:w="7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212529"/>
              </w:rPr>
              <w:t>Research and development (includes $39,780, $32,400 and $28,669 of share-based compensation</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212529"/>
              </w:rPr>
              <w:t>expense for the years ended March 31, 2025, 2024 and 2023, respectively)</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550,413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439,909</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454,062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Acquired in-process research and development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26,450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97,749</w:t>
            </w:r>
          </w:p>
        </w:tc>
      </w:tr>
      <w:tr>
        <w:trPr>
          <w:trHeight w:val="198"/>
        </w:trPr>
        <w:tc>
          <w:tcPr>
            <w:tcW w:w="7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212529"/>
              </w:rPr>
              <w:t>General and administrative (includes $239,505, $154,873 and $175,019 of share-based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212529"/>
              </w:rPr>
              <w:t>compensation expense for the years ended March 31, 2025, 2024 and 2023, respectively)</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591,410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416,133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383,448</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212529"/>
              </w:rPr>
              <w:t>Total 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1,142,734</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884,091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938,293</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5,348,410</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(1,003,294)</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4,497,032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Change in fair value of investments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(55,186)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47,973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20,815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18,386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Gain on deconsolidation of subsidiaries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(3,108)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(32,772)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(29,276)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(258,375)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(146,425)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10,721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13,562</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(681,590)</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4,567,856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(884,990)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Income tax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48,174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21,503</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4,082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(729,764)</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4,546,353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(889,072)</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(315,147)</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(226,391)</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(356,734)</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4,231,206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Net loss attributable to noncontrolling interests</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(184,753)</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(117,720)</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(106,433)</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Roivant Sciences Ltd.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12529"/>
                <w:w w:val="88"/>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(171,981)</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4,348,926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attributable to Roivant Sciences Ltd.:</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(545,166)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4,662,703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(784,351)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(313,777)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(224,679)</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attributable to Roivant Sciences Ltd.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(171,981)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4,348,926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(1,009,030)</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per common share, basic:</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12529"/>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12529"/>
              </w:rPr>
              <w:t>(0.24)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5.55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per common share, diluted: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725,395,624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783,248,906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712,791,115</w:t>
            </w:r>
          </w:p>
        </w:tc>
      </w:tr>
      <w:tr>
        <w:trPr>
          <w:trHeight w:val="23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725,395,624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831,049,444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712,791,115</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ROIVANT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12529"/>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212529"/>
              </w:rPr>
              <w:t>Years Ended March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(356,734)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12529"/>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4,231,206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(1,115,463)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debt due to change in subsidiary credit risk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Foreign currency translation adjustment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12529"/>
              </w:rPr>
              <w:t>(5,210)</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(936)</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Total other comprehensive income (loss)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13,459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(936)</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(343,275)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4,230,270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(1,116,953)</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212529"/>
              </w:rPr>
              <w:t>Comprehensive loss attributable to noncontrolling interests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12529"/>
              </w:rPr>
              <w:t>(184,815)</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(117,190)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(106,252)</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Roivant Sciences Ltd.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(158,460)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12529"/>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4,347,460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(1,010,701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9" w:name="page140"/>
    <w:bookmarkEnd w:id="13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10"/>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ROIVANT SCIENCES LTD.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60" w:type="dxa"/>
            <w:vAlign w:val="bottom"/>
            <w:gridSpan w:val="2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Shareholders’ Equity and Redeemable Noncontrolling Interest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10"/>
          </w:tcPr>
          <w:p>
            <w:pPr>
              <w:jc w:val="center"/>
              <w:ind w:right="56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data)</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8"/>
              </w:rPr>
              <w:t>Shareholders’ Equity</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7"/>
              </w:rPr>
              <w:t>Redeemable</w:t>
            </w:r>
          </w:p>
        </w:tc>
        <w:tc>
          <w:tcPr>
            <w:tcW w:w="20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Deficit)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21"/>
                <w:szCs w:val="21"/>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94"/>
        </w:trPr>
        <w:tc>
          <w:tcPr>
            <w:tcW w:w="15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March</w:t>
            </w: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5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22,491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694,975,965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4,421,614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(2,763,724)</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381,999</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2,038,943</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of issuance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50,666,665</w:t>
            </w:r>
          </w:p>
        </w:tc>
        <w:tc>
          <w:tcPr>
            <w:tcW w:w="180" w:type="dxa"/>
            <w:vAlign w:val="bottom"/>
          </w:tcPr>
          <w:p>
            <w:pPr>
              <w:spacing w:after="0"/>
              <w:rPr>
                <w:sz w:val="20"/>
                <w:szCs w:val="20"/>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311,683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311,683</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connection with</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incentive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plans and tax</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10,903,648</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(8,737)</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1,455,719</w:t>
            </w:r>
          </w:p>
        </w:tc>
        <w:tc>
          <w:tcPr>
            <w:tcW w:w="180" w:type="dxa"/>
            <w:vAlign w:val="bottom"/>
          </w:tcPr>
          <w:p>
            <w:pPr>
              <w:spacing w:after="0"/>
              <w:rPr>
                <w:sz w:val="20"/>
                <w:szCs w:val="20"/>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for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 acquisition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2,029,877</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8,836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8,948</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Company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contributions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majority-owned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issuance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19,599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48,129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67,728</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Subsidiary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87,500</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Deconsolidation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(22,491)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under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111,519</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184,897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32,884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217,781</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3"/>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(1,009,030)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(106,433)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(1,115,463)</w:t>
            </w:r>
          </w:p>
        </w:tc>
        <w:tc>
          <w:tcPr>
            <w:tcW w:w="0" w:type="dxa"/>
            <w:vAlign w:val="bottom"/>
          </w:tcPr>
          <w:p>
            <w:pPr>
              <w:spacing w:after="0"/>
              <w:rPr>
                <w:sz w:val="1"/>
                <w:szCs w:val="1"/>
                <w:color w:val="auto"/>
              </w:rPr>
            </w:pPr>
          </w:p>
        </w:tc>
      </w:tr>
      <w:tr>
        <w:trPr>
          <w:trHeight w:val="194"/>
        </w:trPr>
        <w:tc>
          <w:tcPr>
            <w:tcW w:w="15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March</w:t>
            </w: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5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760,143,393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4,933,137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(3,772,754)</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449,821</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1,607,587</w:t>
            </w:r>
          </w:p>
        </w:tc>
        <w:tc>
          <w:tcPr>
            <w:tcW w:w="0" w:type="dxa"/>
            <w:vAlign w:val="bottom"/>
          </w:tcPr>
          <w:p>
            <w:pPr>
              <w:spacing w:after="0"/>
              <w:rPr>
                <w:sz w:val="1"/>
                <w:szCs w:val="1"/>
                <w:color w:val="auto"/>
              </w:rPr>
            </w:pPr>
          </w:p>
        </w:tc>
      </w:tr>
      <w:tr>
        <w:trPr>
          <w:trHeight w:val="198"/>
        </w:trPr>
        <w:tc>
          <w:tcPr>
            <w:tcW w:w="158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of issuance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19,600,685</w:t>
            </w:r>
          </w:p>
        </w:tc>
        <w:tc>
          <w:tcPr>
            <w:tcW w:w="180" w:type="dxa"/>
            <w:vAlign w:val="bottom"/>
          </w:tcPr>
          <w:p>
            <w:pPr>
              <w:spacing w:after="0"/>
              <w:rPr>
                <w:sz w:val="20"/>
                <w:szCs w:val="20"/>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199,822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199,822</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18,926,077</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10,857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10,857</w:t>
            </w:r>
          </w:p>
        </w:tc>
        <w:tc>
          <w:tcPr>
            <w:tcW w:w="0" w:type="dxa"/>
            <w:vAlign w:val="bottom"/>
          </w:tcPr>
          <w:p>
            <w:pPr>
              <w:spacing w:after="0"/>
              <w:rPr>
                <w:sz w:val="1"/>
                <w:szCs w:val="1"/>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3" w:right="339" w:bottom="0" w:gutter="0" w:footer="0" w:header="0"/>
        </w:sectPr>
      </w:pPr>
    </w:p>
    <w:bookmarkStart w:id="140" w:name="page141"/>
    <w:bookmarkEnd w:id="14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in</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connection with</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incentive</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plans, net of</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 and tax</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to</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7,554,549</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83,264</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83,264</w:t>
            </w: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313,023</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employee</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140,227</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951</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issuance</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129,763</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108,970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238,733</w:t>
            </w: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Subsidiary stock</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3,192</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5,742</w:t>
            </w: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to</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Company and</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contributions</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majority-owned</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(106,531)</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106,531</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Deconsolidation of</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(35,148)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(35,148)</w:t>
            </w: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declared by</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Disposition of</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Telavant</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(87,500)</w:t>
            </w: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142,037</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57,914</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199,951</w:t>
            </w: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w:t>
            </w:r>
          </w:p>
        </w:tc>
      </w:tr>
      <w:tr>
        <w:trPr>
          <w:trHeight w:val="223"/>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4,348,926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(117,720)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4,231,206</w:t>
            </w:r>
          </w:p>
        </w:tc>
      </w:tr>
      <w:tr>
        <w:trPr>
          <w:trHeight w:val="194"/>
        </w:trPr>
        <w:tc>
          <w:tcPr>
            <w:tcW w:w="160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March</w:t>
            </w: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45"/>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806,677,954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$ 5,396,492</w:t>
            </w: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576,172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479,948</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6,448,529</w:t>
            </w: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in</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connection with</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incentive</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plans, net of</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 and tax</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17,503,515</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7,354</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7,354</w:t>
            </w: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77,267</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47,162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124,429</w:t>
            </w: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interests in</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(48,079)</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(48,079)</w:t>
            </w: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Subsidiary stock</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2,852</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5,027</w:t>
            </w: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the</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118,640</w:t>
            </w:r>
          </w:p>
        </w:tc>
        <w:tc>
          <w:tcPr>
            <w:tcW w:w="3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1,028</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1,028</w:t>
            </w: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employee</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306"/>
        </w:trPr>
        <w:tc>
          <w:tcPr>
            <w:tcW w:w="1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bl>
    <w:p>
      <w:pPr>
        <w:sectPr>
          <w:pgSz w:w="11900" w:h="16900" w:orient="portrait"/>
          <w:cols w:equalWidth="0" w:num="1">
            <w:col w:w="11240"/>
          </w:cols>
          <w:pgMar w:left="320" w:top="130" w:right="339" w:bottom="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to</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 and</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contributions</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majority-owned</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(142,100)</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Deconsolidation of</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(3,706)</w:t>
            </w:r>
          </w:p>
        </w:tc>
      </w:tr>
      <w:tr>
        <w:trPr>
          <w:trHeight w:val="198"/>
        </w:trPr>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of the</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Company’s common</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(128,361,786)</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(1,005,101)</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(288,131)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(1,293,232)</w:t>
            </w:r>
          </w:p>
        </w:tc>
      </w:tr>
      <w:tr>
        <w:trPr>
          <w:trHeight w:val="198"/>
        </w:trPr>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224,315</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64,808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289,123</w:t>
            </w:r>
          </w:p>
        </w:tc>
      </w:tr>
      <w:tr>
        <w:trPr>
          <w:trHeight w:val="198"/>
        </w:trPr>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debt due to</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subsidiary credit</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w:t>
            </w: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r>
      <w:tr>
        <w:trPr>
          <w:trHeight w:val="198"/>
        </w:trPr>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(5,148)</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(5,210)</w:t>
            </w:r>
          </w:p>
        </w:tc>
      </w:tr>
      <w:tr>
        <w:trPr>
          <w:trHeight w:val="198"/>
        </w:trPr>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accumulated</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w:t>
            </w:r>
          </w:p>
        </w:tc>
        <w:tc>
          <w:tcPr>
            <w:tcW w:w="5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19,869</w:t>
            </w:r>
          </w:p>
        </w:tc>
        <w:tc>
          <w:tcPr>
            <w:tcW w:w="2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19,869</w:t>
            </w:r>
          </w:p>
        </w:tc>
      </w:tr>
      <w:tr>
        <w:trPr>
          <w:trHeight w:val="22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(171,981)</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(184,753)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(356,734)</w:t>
            </w:r>
          </w:p>
        </w:tc>
      </w:tr>
      <w:tr>
        <w:trPr>
          <w:trHeight w:val="194"/>
        </w:trPr>
        <w:tc>
          <w:tcPr>
            <w:tcW w:w="164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March</w:t>
            </w:r>
          </w:p>
        </w:tc>
        <w:tc>
          <w:tcPr>
            <w:tcW w:w="5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695,938,323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$ 4,562,107</w:t>
            </w: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9,438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116,060</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499,593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5,187,198</w:t>
            </w:r>
          </w:p>
        </w:tc>
      </w:tr>
      <w:tr>
        <w:trPr>
          <w:trHeight w:val="20"/>
        </w:trPr>
        <w:tc>
          <w:tcPr>
            <w:tcW w:w="1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63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212529"/>
                <w:w w:val="98"/>
              </w:rPr>
              <w:t>ROIVANT SCIENCES LTD.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212529"/>
              </w:rPr>
              <w:t>Consolidated Statements of Cash Flows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i w:val="1"/>
                <w:iCs w:val="1"/>
                <w:color w:val="212529"/>
              </w:rPr>
              <w:t>(in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(356,734)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4,231,206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(1,115,463)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acquired in-process research and development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87,749</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217,781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(55,186)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20,815</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(113,078)</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78,001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subsidiary interests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(376,506)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(3,108)</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(29,276)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(110,387)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(5,348,410)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recovery of contingent consideration</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(114,561)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discount and amortization of premium on marketable securities, net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(69,959)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14,071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18,857</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(21,206)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assets and liabilities, net of effects from acquisition and divestiture: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(25,070)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(31,670)</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(8,758)</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(17,416)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(18,168)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4,359</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(10,070)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38,956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(8,604)</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18,571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(9,280)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2,149</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(839,451)</w:t>
            </w: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(765,268)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(843,393)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(4,061,521)</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Telavant net assets, net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110,387</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5,233,396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subsidiary interests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decrease upon deconsolidation of subsidiaries</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(31,223)</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Myovant Top-Up Shares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114,561</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Milestone payments</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(140,136)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(4,599)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(12,690)</w:t>
            </w: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(1,766,291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5,203,623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the Company’s common shares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(1,293,232)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the Company’s common shares, net of issuance costs paid</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199,822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311,981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subsidiary common shares, net of issuance costs paid</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112,782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238,733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67,727</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subsidiary debt financings, net of financing costs paid</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159,899</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 by subsidiary</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(51,979)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(29,452)</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offering costs and loan origination costs</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the Company’s and subsidiary stock options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49,597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2,814</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(37,216)</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the Company’s common shares under employee stock purchase plan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on principal portion of finance lease obligations</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subsidiary dividend</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exercise of the Company’s warrants</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redemptions of the Company’s warrants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(1,219,794)</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419,364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499,462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6,281</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(3,824,789)</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4,858,335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(381,919)</w:t>
            </w:r>
          </w:p>
        </w:tc>
      </w:tr>
      <w:tr>
        <w:trPr>
          <w:trHeight w:val="223"/>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6,550,450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2,725,661</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6,550,450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1,692,115</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exercise of the Company’s warrants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83,258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subsidiary shares in connection with debt renegotiation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obtained and exchanged for operating lease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51,364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4,224</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the Company’s common shares and other consideration for an acquisition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9,694</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6,636</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paid: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61,910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5,128</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5,303</w:t>
            </w:r>
          </w:p>
        </w:tc>
      </w:tr>
    </w:tbl>
    <w:p>
      <w:pPr>
        <w:sectPr>
          <w:pgSz w:w="11900" w:h="16838" w:orient="portrait"/>
          <w:cols w:equalWidth="0" w:num="1">
            <w:col w:w="11240"/>
          </w:cols>
          <w:pgMar w:left="320" w:top="113" w:right="339" w:bottom="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9019"/>
          </w:cols>
          <w:pgMar w:left="1440" w:top="1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ROIVANT SCIENCES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1—Description of Business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(A) 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Roivant Sciences Ltd. (inclusive of its consolidated subsidiaries, the “Company” or “RSL”) aims to improve the lives of patients by accelerating the development and commercialization of medicines that matter. The Company does this by creating nimble subsidiaries or “Vants” to develop and commercialize its medicines and technologies. Beyond therapeutics, the Company also incubates discovery-stage companies and health technology startups complementary to its biopharmaceutical business. The Company was founded on April 7, 2014 as a Bermuda exempted limited company.</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The Company’s subsidiaries are wholly owned subsidiaries and majority-owned or controlled subsidiaries. Refer to Note 4, “Equity Method Investments” for further discussion of the Company’s investments in unconsolidated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(B) Liquidity</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12529"/>
        </w:rPr>
        <w:t>Historically, the Company has incurred significant operating losses and negative cash flows from operations since its inception. In December 2023, the Company sold its entire equity interest in its majority-owned subsidiary Telavant Holdings, Inc. (“Telavant”). At closing, the Company received approximately $5.2 billion in cash. As of March 31, 2025, the Company had cash, cash equivalents and marketable securities of approximately $4.9 billion and retained earnings of $116.1 million. For the years ended March 31, 2025, 2024 and 2023, the Company had a net loss from continuing operations of $729.8 million, net income from continuing operations of approximately $4.5 billion, and a net loss from continuing operations of $889.1 million, respectively. The Company has historically financed its operations primarily through the sale of equity securities, sale of subsidiary interests, debt financings and revenue generated from licensing and collaboration arrangements.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The Company is subject to risks common to companies in the biopharmaceutical industry including, but not limited to, uncertainties related to commercialization of products, regulatory approvals to market its product candidates, dependence on key products, dependence on third-party service providers, such as contract research organizations, and protection of intellectual property rights. Management expects to incur additional losses in the future to fund its operations and conduct product research and development and may require additional capital to fully implement its business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(A) Basis of Presentation and Principles of Consolidation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The Company’s fiscal year ends on March 31, and its fiscal quarters end on June 30, September 30 and December 31.</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The accompanying audited consolidated financial statements and notes thereto have been prepared in accordance with accounting principles generally accepted in the United States (“U.S. GAAP”).</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Any references in these notes to applicable accounting guidance are meant to refer to the authoritative U.S. GAAP as found in the Accounting Standards Codification (“ASC”) and Accounting Standards Updates (“ASU”) of the Financial Accounting Standards Board (“FASB”). The consolidated financial statements include the accounts of RSL and the subsidiaries in which it has a controlling financial interest, most often through a majority voting interest. All intercompany balances and transactions have been eliminated in consolidation.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For consolidated entities where the Company owns or is exposed to less than 100% of the economics, the Company records net loss attributable to noncontrolling interests in its consolidated statements of operations equal to the noncontrolling interest’s proportionate share of the respective operations. The Company presents noncontrolling interests as a component of shareholders’ equity on its consolidated balance sheets.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212529"/>
        </w:rPr>
        <w:t>In September 2024, the Company’s subsidiary, Dermavant Sciences Ltd. (“Dermavant”), entered into an Agreement and Plan of Merger (the “Merger Agreement”) with Organon &amp; Co. (“Organon”), Organon Bermuda Ltd., an indirect wholly owned subsidiary of Organon (“Merger Sub”), and the Company, solely in its capacity as the representative of the securityholders of Dermavant, pursuant to which Organon agreed to acquire Dermavant (the “Dermavant Transaction”). The Dermavant Transaction was completed in October 2024. The Company determined that the acquisition of Dermavant by Organon met the held for sale and discontinued operations accounting criteria in the second fiscal quarter of 2024. Accordingly, the Company classified the results of Dermavant as discontinued operations in its consolidated statements of operations for all periods presented. Additionally, Dermavant’s assets and liabilities are classified as held for sale and discontinued operations in the consolidated balance sheets for March 31, 2024. The cash flows related to discontinued operations have not been segregated and are included in the consolidated statements of cash flows. The discussions in these notes to the consolidated financial statements relate solely to the Company’s continuing operations, unless otherwise noted. For further discussion of the discontinued operations related to Dermavant, refer to Note 6, “Discontinued Operations.”</w:t>
      </w:r>
    </w:p>
    <w:p>
      <w:pPr>
        <w:sectPr>
          <w:pgSz w:w="11900" w:h="16838" w:orient="portrait"/>
          <w:cols w:equalWidth="0" w:num="1">
            <w:col w:w="11240"/>
          </w:cols>
          <w:pgMar w:left="320" w:top="115"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(B) Use of Estimates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 Concentrations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Financial instruments that potentially subject the Company to concentration of credit risk include cash, cash equivalents and marketable securities. The Company maintains cash deposits and cash equivalents in, and invests in marketable securities through, highly-rated, federally-insured financial institutions in excess of federally insured limits. The Company has established guidelines regarding diversification and maturities to maintain safety and liquidity. The Company has not experienced any credit losses related to these financial instruments and does not believe that it is exposed to any significant credit risk related to these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Segment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in deciding how to allocate resources and in assessing performance. The Company’s chief operating decision maker views the operations and manages the business in a single operating and reportable segment focused on the discovery, development and commercialization of medicines and technologies. The accounting policies of the segment are the same as those described in this Note 2, “Summary of Significant Accounting Policies.” See Note 16, “Segment Information” for further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(E) Cash, Cash Equivalents and Restricted Cash</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Cash and cash equivalents include cash deposits in banks and all highly liquid investments that are readily convertible to cash. The Company considers all highly liquid investments purchased with original maturities of three months or less to be cash equivalents. Cash equivalents consist of amounts invested in money market funds.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Cash as reported in the accompanying consolidated statements of cash flows includes the aggregate amounts of cash, cash equivalents, and restricted cash as presented on the accompanying consolidated balance sheets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4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6"/>
        </w:trPr>
        <w:tc>
          <w:tcPr>
            <w:tcW w:w="85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2,715,411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6,494,953</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3,067</w:t>
            </w:r>
          </w:p>
        </w:tc>
      </w:tr>
      <w:tr>
        <w:trPr>
          <w:trHeight w:val="223"/>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2,725,661</w:t>
            </w: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6,506,189</w:t>
            </w:r>
          </w:p>
        </w:tc>
      </w:tr>
      <w:tr>
        <w:trPr>
          <w:trHeight w:val="20"/>
        </w:trPr>
        <w:tc>
          <w:tcPr>
            <w:tcW w:w="8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12529"/>
        </w:rPr>
        <w:t>Cash and restricted cash held by Dermavant are included in assets of discontinued operations at March 31, 2024 and as such are not reported in the table above. Refer to Note 6, “Discontinued Operations”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Marketable Securities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in securities with original maturities of greater than three months at the time of purchase to be marketable securities. Marketable securities consist of amounts invested in United States (“U.S.”) Treasury securities. As of March 31, 2025, all of the Company’s marketable securities had maturities less than one year from the date of purchase. All of the Company’s marketable securities are classified as held-to-maturity as the Company has the ability and intent to hold to maturity and are reported at amortized cost. Interest income is recorded as earned within “Interest income” in the consolidated statements of operations.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(G) Contingencies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contingent loss, including an estimable range, if possible.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(H) Property and Equipment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12529"/>
        </w:rPr>
        <w:t>Property and equipment, consisting primarily of computers, laboratory and other equipment, furniture and fixtures, software and leasehold improvements, is recorded at cost, less accumulated depreciation. Maintenance and repairs that do not improve or extend the lives of the respective assets are expensed to operations as incurred. Upon disposal, retirement or sale, the related cost and accumulated depreciation is removed from the accounts and any resulting gain or loss is included in the results of operations. Depreciation of property and equipment is recorded using the straight-line method over the estimated useful lives of the related assets once the asset has been placed in service. Leasehold improvements are amortized using the straight-line method over the estimated useful life or remaining lease term, whichever is shorter. The following table provides the range of estimated useful lives used for each asset type: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212529"/>
              </w:rPr>
              <w:t>Property and Equipment</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212529"/>
              </w:rPr>
              <w:t>Estimated Useful Life</w:t>
            </w: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Computers</w:t>
            </w: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3 years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212529"/>
              </w:rPr>
              <w:t>Laboratory and other equipment</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212529"/>
              </w:rPr>
              <w:t>5 - 10 years</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Furniture and fixtures</w:t>
            </w: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212529"/>
              </w:rPr>
              <w:t>7 years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212529"/>
              </w:rPr>
              <w:t>Software</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212529"/>
              </w:rPr>
              <w:t>3 years</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Leasehold improvements</w:t>
            </w: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212529"/>
              </w:rPr>
              <w:t>Lesser of estimated useful life or remaining lease term</w:t>
            </w: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The Company reviews the recoverability of all long-lived assets, including the related useful lives, whenever events or changes in circumstances indicate that the carrying amount of a long-lived asset might not be recoverable. Recoverability is measured by comparison of the book values of the assets to the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 Investments in 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Investments in equity securities for which the Company does not have control or significant influence may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The Company has elected the fair value option to account for certain investments over which the Company has significant influence. The Company believes the fair value option best reflects the underlying economics of these investments. See Note 4, “Equity Method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(J) Fair Value Measurements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12529"/>
        </w:rPr>
        <w:t>The Company utilizes fair value measurement guidance prescribed by U.S. GAAP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are based on inputs that are unobservable (supported by little or no market activity) and significant to the overall fair value measurement.</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The Company’s financial instruments include shares of common stock of Arbutus Biopharma Corporation (“Arbutus”) and Class A units of Heracles Parent, L.L.C. (“Datavant”). The Company’s financial instruments also include liability instruments issued, including the earn-out share liabilities issued in connection with the Company’s business combination (the “Business Combination”) with Montes Archimedes Corp. (“MAAC”) (as discussed in Note 13, “Earn-Out Shares, Public Warrants and Private Placement Warrants”); its investments in other entities; cash; cash equivalents, consisting of money market funds; marketable securities, consisting of U.S. Treasury securities; and accounts payable.</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shares of Arbutus common stock and investments in common stock with a readily determinable fair value are classified as Level 1, and their fair value is determined based upon quoted market prices in an active market. The Class A units of Datavant and liability instruments issued are classified as Level 3 within the fair value hierarchy as the assumptions and estimates used in the valuations are unobservable in the market. Cash and accounts payable are stated at their respective historical carrying amounts, which approximate fair value due to their short-term nature. Money market funds are included in Level 1 of the fair value hierarchy and are valued at the closing price reported by an actively traded exchange. Held-to-maturity securities are recorded at amortized cost.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(K) Research and Development Expenses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12529"/>
        </w:rPr>
        <w:t>Research and development (“R&amp;D”) costs are expensed as incurred. R&amp;D expenses primarily consist of costs associated with preclinical studies and clinical trials as well as employee-related expenses, such as salaries, share-based compensation and benefits, for employees engaged in R&amp;D activities. The Company records accruals for estimated costs of R&amp;D activities, including preclinical studies, clinical trials and contract manufacturing, conducted by third-party service providers. The Company determines the estimates by reviewing open contracts, vendor agreements and purchase orders; communicating with internal personnel and external service providers to understand the progress or stage of completion of services performed on its behalf; and estimating the associated costs for these services that have not yet been invoiced. If the actual timing of the performance of services or the level of effort varies from the estimate, the accrual or prepaid expense is adjusted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(L) Acquired In-Process Research and Development Expenses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Company evaluates in-licensed agreements for IPR&amp;D projects to determine if the acquired set meets the definition of a business and thus should be accounted for as a business combination. If the acquired set does not meet the definition of a business and the assets have not reached technological feasibility and have no alternative future use, the Company expenses payments made under such license agreements as acquired in-process research and development expense in its consolidated statements of operations. In those cases, payments for milestones achieved and payments for a product license prior to regulatory approval of the product are expensed in the period incurred. Payments made in connection with regulatory and sales-based milestones are capitalized and amortized to cost of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(M) General and Administrative Expenses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General and administrative (“G&amp;A”) expenses consist primarily of employee-related expenses, such as salaries, share-based compensation and benefits for employees engaged in G&amp;A activities. G&amp;A employees include those responsible for the identification and acquisition or in-license of new drug candidates as well as for managing Vant operations and facilitating the use of the Company’s platform and technologies at the Vants. G&amp;A expenses also consist of legal and accounting fees, consulting services and other operating costs relating to corporate matters and daily operations. Additionally, G&amp;A expenses include costs incurred relating to the identification, acquisition or in-license and technology transfer of promising drug candidates.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 Leases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212529"/>
        </w:rPr>
        <w:t>The Company determines if an arrangement includes a lease at the inception of the agreement. Leases are classified at lease commencement as either operating leases or finance leases. Operating leases are included in “Operating lease right-of-use assets,” “Operating lease liabilities” and “Operating lease liabilities, noncurrent” on the accompanying consolidated balance sheets. Commitments under finance leases are not significant and are included in “Property and equipment, net,” “Other current liabilities” and “Other liabilities” on the accompanying consolidated balance sheets. For each of the Company’s lease arrangements, the Company records a right-of-use asset representing the Company’s right to use an underlying asset for the lease term and a lease liability representing the Company’s obligation to make lease payments. Lease right-of-use assets and lease liabilities are recognized at the lease commencement date based on the estimated present value of fixed lease payments over the expected lease term. If the interest rate implicit in the Company’s leases is not readily determinable, in determining the weighted-average discount rate used to calculate the net present value of lease payments, the Company utilizes an estimate of its incremental borrowing rate. The Company’s incremental borrowing rates are determined based on the term of the lease, the economic environment of the lease, and the effect of collateralization. Lease expense for the Company’s leases is recognized on a straight-line basis over the lease term and variable lease costs are expensed as incurred.</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Company elected the practical expedient not to apply the recognition and measurement requirements to short-term leases, which are any leases with a term of one year or less as of the lease commencement date. Leases may require the Company to pay additional amounts for taxes, insurance, maintenance and other expenses, which are generally referred to as non-lease components. The Company has elected the practical expedient to combine lease and non-lease components. If a lease includes options to extend the lease term, the Company does not assume the option will be exercised in its initial lease term assessment unless there is reasonable certainty that the Company will renew based on an assessment of relevant factors present as of the lease commencement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(O) Income Taxes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12529"/>
        </w:rPr>
        <w:t>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the Company’s deferred tax assets will be realizable. If the Company determines that it would be able to realize its deferred tax assets in the future in excess of its net recorded amount, the Company would make an adjustment to the deferred tax asset valuation allowance, which would reduce the provision for income taxes.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Company’s policy is to recognize interest and/or penalties related to income tax matters in provision for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(P) Share-Based Compensation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12529"/>
        </w:rPr>
        <w:t>Share-based awards to employees, directors and consultants, including stock options, restricted stock units (“RSUs”), performance options, performance restricted stock units (“PSUs”) and capped value appreciation rights (“CVARs”), are measured at fair value on the date of the grant and that fair value is recognized as share-based compensation expense in the Company’s consolidated statements of operations over the requisite service period of the respective award. The estimated fair value of awards that contain performance conditions is expensed when the Company concludes that it is probable that the performance condition will be achieved. The Company may grant awards with graded-vesting features. When such awards have only service vesting requirements, the Company elected to record share-based compensation expense on a straight-line basis. If awards with graded-vesting features contain performance or market conditions, then the Company records share-based compensation expense using the accelerated attribution method.</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The Company measures the fair value of its stock options that only have service vesting requirements or performance-based options without market conditions using the Black-Scholes option pricing model. For performance-based awards with market conditions, the Company determines the fair value of the awards as of the grant date using a Monte Carlo simulation model. When determining the grant-date fair value of stock-based awards, management further considers whether an adjustment is required to the observable market price or volatility of the Company’s common stock that is used in the valuation as a result of material non-public information, if that information is expected to result in a material increase in share price.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12529"/>
        </w:rPr>
        <w:t>Certain assumptions need to be made with respect to utilizing the Black-Scholes option pricing model, including the expected life of the award, volatility of the underlying shares, the risk-free interest rate and the fair value of the Company’s shares of common stock. Since the Company has limited option exercise history, it has generally elected to estimate the expected life of an award based upon the “simplified method” with the continued use of this method extended until such time the Company has sufficient exercise history. The risk-free interest rate is based on the rates paid on securities issued by the U.S. Treasury with a term approximating the expected life of the equity award. The expected share price volatility for the Company’s common shares is estimated by taking the average historical price volatility for industry peers. The Company accounts for pre-vesting award forfeitures when they occur.One of the inputs to the Black-Scholes option pricing model is the fair value of the Company’s common shares. As RSL’s common shares are publicly traded, the Company determines the fair value of each common share underlying share-based awards based on the closing price of its common shares as reported by Nasdaq on the date of grant.</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The Company applies similar methodology to measure the fair value of share-based awards issued by its Vants. Certain assumptions vary based on circumstances specific to each Vant. For privately held Vants, the fair value of the shares of common stock underlying share-based awards on each grant date is estimated, given the absence of a public trading market.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Stock options may be settled in cash or in shares of common stock, including a net issuance using shares otherwise purchasable under the option to pay the exercise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(Q) Foreign Currency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Assets and liabilities of foreign operations are translated into U.S. dollars using exchange rates in effect at the balance sheet date and their results of operations are translated using average exchange rates for the year. Adjustments resulting from the translation of the financial statements of the Company’s foreign functional currency subsidiaries into U.S. dollars are excluded from the determination of net loss and are accumulated in a separate component of shareholders’ equity. Certain transactions of the Company and its subsidiaries are denominated in currencies other than their functional currency. Foreign exchange transaction gains and losses are included in “Other expense, net” in the Company’s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 Revenue Recognition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The Company recognizes revenue when its customer obtains control of promised goods or services, in an amount that reflects the consideration which the Company expects to receive in exchange for those goods or services. To determine revenue recognition for its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The Company applies significant judgment when evaluating whether contractual obligations represent distinct performance obligations, allocating the transaction price to performance obligations within a contract, determining when performance obligations have been satisfied, assessing the recognition and likelihood of reversal of variable consideration and determining and applying appropriate methods of measuring progress for performance obligations satisfied over time. These judgments are discussed in more detail below.</w:t>
      </w:r>
    </w:p>
    <w:p>
      <w:pPr>
        <w:spacing w:after="0" w:line="178" w:lineRule="exact"/>
        <w:rPr>
          <w:sz w:val="20"/>
          <w:szCs w:val="20"/>
          <w:color w:val="auto"/>
        </w:rPr>
      </w:pPr>
    </w:p>
    <w:p>
      <w:pPr>
        <w:jc w:val="both"/>
        <w:ind w:left="660" w:hanging="328"/>
        <w:spacing w:after="0" w:line="256" w:lineRule="auto"/>
        <w:tabs>
          <w:tab w:leader="none" w:pos="660" w:val="left"/>
        </w:tabs>
        <w:numPr>
          <w:ilvl w:val="0"/>
          <w:numId w:val="8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i w:val="1"/>
          <w:iCs w:val="1"/>
          <w:color w:val="212529"/>
        </w:rPr>
        <w:t>Licenses of intellectual property</w:t>
      </w:r>
      <w:r>
        <w:rPr>
          <w:rFonts w:ascii="Times New Roman" w:cs="Times New Roman" w:eastAsia="Times New Roman" w:hAnsi="Times New Roman"/>
          <w:sz w:val="18"/>
          <w:szCs w:val="18"/>
          <w:color w:val="212529"/>
        </w:rPr>
        <w:t>: If a license to intellectual property is determined to be distinct from the other performance obligations identified</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in the arrangement, the Company recognizes revenue from the portion of the transaction price allocated to the license when the license is transferred to the licensee and the licensee is able to use and benefit from the license. For licenses that are not distinct from other promises, the Company applies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182" w:lineRule="exact"/>
        <w:rPr>
          <w:rFonts w:ascii="Times New Roman" w:cs="Times New Roman" w:eastAsia="Times New Roman" w:hAnsi="Times New Roman"/>
          <w:sz w:val="18"/>
          <w:szCs w:val="18"/>
          <w:color w:val="212529"/>
        </w:rPr>
      </w:pPr>
    </w:p>
    <w:p>
      <w:pPr>
        <w:jc w:val="both"/>
        <w:ind w:left="660" w:hanging="328"/>
        <w:spacing w:after="0" w:line="254" w:lineRule="auto"/>
        <w:tabs>
          <w:tab w:leader="none" w:pos="660" w:val="left"/>
        </w:tabs>
        <w:numPr>
          <w:ilvl w:val="0"/>
          <w:numId w:val="8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i w:val="1"/>
          <w:iCs w:val="1"/>
          <w:color w:val="212529"/>
        </w:rPr>
        <w:t>Milestone payments</w:t>
      </w:r>
      <w:r>
        <w:rPr>
          <w:rFonts w:ascii="Times New Roman" w:cs="Times New Roman" w:eastAsia="Times New Roman" w:hAnsi="Times New Roman"/>
          <w:sz w:val="18"/>
          <w:szCs w:val="18"/>
          <w:color w:val="212529"/>
        </w:rPr>
        <w:t>: At the inception of each arrangement that includes research, development or regulatory milestone payments, the Company</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on a cumulative catch-up basis in earnings in the period of the adjustment.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ind w:left="660" w:hanging="328"/>
        <w:spacing w:after="0" w:line="261" w:lineRule="auto"/>
        <w:tabs>
          <w:tab w:leader="none" w:pos="660" w:val="left"/>
        </w:tabs>
        <w:numPr>
          <w:ilvl w:val="0"/>
          <w:numId w:val="89"/>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i w:val="1"/>
          <w:iCs w:val="1"/>
          <w:color w:val="212529"/>
        </w:rPr>
        <w:t>Royalties and commercial milestone payments</w:t>
      </w:r>
      <w:r>
        <w:rPr>
          <w:rFonts w:ascii="Times New Roman" w:cs="Times New Roman" w:eastAsia="Times New Roman" w:hAnsi="Times New Roman"/>
          <w:sz w:val="18"/>
          <w:szCs w:val="18"/>
          <w:color w:val="212529"/>
        </w:rPr>
        <w:t>: For arrangements that include sales-based royalties, including commercial milestone</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payments based on a pre-specified level of sales, the Company 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w:t>
      </w:r>
    </w:p>
    <w:p>
      <w:pPr>
        <w:spacing w:after="0" w:line="18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is also generated from certain technology-focused contracts from subscription and service-based fees recognized for the use of certain internally developed technology. Subscription revenue is recognized ratably over the contract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Trade Receivables, Net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The Company monitors the financial performance and creditworthiness of its customers so that it can properly assess and respond to changes in customer credit profiles. The Company reserves against trade receivables for estimated losses that may arise from a customer’s inability to pay, and any amounts determined to be uncollectible are written off against the reserve when it is probable that the receivable will not be collected. The reserve amount for estimated losses was de minimis as of March 31, 2025 and 2024. Trade receivables, net is included in “Other current assets” on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(S) Recently Adopted Accounting Pronouncements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In November 2023, the FASB issued ASU 2023-07, “Segment Reporting (Topic 280): Improvements to Reportable Segment Disclosures,”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These amendments should be applied retrospectively to all prior periods presented in the financial statements. Beginning with this Annual Report on Form 10-K, the Company adopted this standard, which resulted in incremental segment disclosures. Refer to Note 16, “Segment Information” for disclosure of the information required under ASU 2023-07.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Recently Issued Accounting Pronouncements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and are applicable to the Company’s fiscal year beginning April 1, 2025, with early adoption permitted. The amendments should be applied prospectively, however retrospective application is permitted. The Company is currently evaluating the impact of adopting this ASU on its consolidated financial statements.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of certain costs and expenses on an interim and annual basis in the notes to the financial statements. The amendments are effective for fiscal years beginning after December 15, 2026 and for interim periods within fiscal years beginning after December 15, 2027. This ASU is applicable to the Company’s Annual Report on Form 10-K for the fiscal year ended March 31, 2028, and subsequent interim periods, with early adoption permitted. The amendments can be adopted either (i) prospectively to financial statements issued for reporting periods after the effective date of this ASU or (ii) retrospectively to any or all prior periods presented in the financial statements. The Company is currently evaluating the impact of adopting this ASU on its consolidated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3—Cash, Cash Equivalents and Marketable Securities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5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Cash, cash equivalents and marketable securities consisted of the following (in thousands):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93,954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182,665</w:t>
            </w:r>
          </w:p>
        </w:tc>
      </w:tr>
      <w:tr>
        <w:trPr>
          <w:trHeight w:val="22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2,621,457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6,312,288</w:t>
            </w:r>
          </w:p>
        </w:tc>
      </w:tr>
      <w:tr>
        <w:trPr>
          <w:trHeight w:val="223"/>
        </w:trPr>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2,715,411</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2,171,480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2,171,480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4,886,891</w:t>
            </w: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6,494,953</w:t>
            </w:r>
          </w:p>
        </w:tc>
      </w:tr>
      <w:tr>
        <w:trPr>
          <w:trHeight w:val="20"/>
        </w:trPr>
        <w:tc>
          <w:tcPr>
            <w:tcW w:w="10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that was held by Dermavant is included in assets of discontinued operations at March 31, 2024. Refer to Note 6, “Discontinued Operations” for further details.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unrealized positions for the Company’s held-to-maturity securities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64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52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2,171,480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(463)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classified its marketable securities as Level 2 measurements within the fair value hierarchy. As of March 31, 2025, the contractual maturities of all marketable securities were less than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4—Equity Method Investments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Company maintains equity method investments in certain entities. As of March 31, 2025 and 2024, the most significant of these were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Company’s investments in Arbutus and Datavant, which are accounted for using the fair value option.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The Company determined that it does not control these entities and as a result does not consolidate these entities. Due to the Company’s significant influence over operating and financial policies of these entities, the entities are considered related parties of the Company.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holds an investment in Arbutus in the form of 38,847,462 common shares of Arbutus.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additionally holds an investment in Class A units of Datavant. The fair value of the Company’s investment in Datavant was determined using valuation models that incorporate significant unobservable inputs and is classified as a Level 3 measurement within the fair value hierarchy. Refer to Note 14, “Fair Value Measurements” for more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20" w:type="dxa"/>
            <w:vAlign w:val="bottom"/>
          </w:tcPr>
          <w:p>
            <w:pPr>
              <w:spacing w:after="0"/>
              <w:rPr>
                <w:sz w:val="20"/>
                <w:szCs w:val="20"/>
                <w:color w:val="auto"/>
              </w:rPr>
            </w:pPr>
            <w:r>
              <w:rPr>
                <w:rFonts w:ascii="Times New Roman" w:cs="Times New Roman" w:eastAsia="Times New Roman" w:hAnsi="Times New Roman"/>
                <w:sz w:val="18"/>
                <w:szCs w:val="18"/>
                <w:i w:val="1"/>
                <w:iCs w:val="1"/>
                <w:color w:val="212529"/>
              </w:rPr>
              <w:t>Summarized Equity Method Investment Details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212529"/>
              </w:rPr>
              <w:t>Details regarding significant equity method investments are as follows: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820" w:type="dxa"/>
            <w:vAlign w:val="bottom"/>
          </w:tcPr>
          <w:p>
            <w:pPr>
              <w:spacing w:after="0"/>
              <w:rPr>
                <w:sz w:val="24"/>
                <w:szCs w:val="24"/>
                <w:color w:val="auto"/>
              </w:rPr>
            </w:pPr>
          </w:p>
        </w:tc>
        <w:tc>
          <w:tcPr>
            <w:tcW w:w="27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Fair Value (in millions)</w:t>
            </w:r>
          </w:p>
        </w:tc>
      </w:tr>
      <w:tr>
        <w:trPr>
          <w:trHeight w:val="223"/>
        </w:trPr>
        <w:tc>
          <w:tcPr>
            <w:tcW w:w="582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9"/>
                <w:szCs w:val="19"/>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19"/>
                <w:szCs w:val="19"/>
                <w:color w:val="auto"/>
              </w:rPr>
            </w:pPr>
          </w:p>
        </w:tc>
      </w:tr>
      <w:tr>
        <w:trPr>
          <w:trHeight w:val="256"/>
        </w:trPr>
        <w:tc>
          <w:tcPr>
            <w:tcW w:w="5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Datavant</w:t>
            </w:r>
            <w:r>
              <w:rPr>
                <w:rFonts w:ascii="Times New Roman" w:cs="Times New Roman" w:eastAsia="Times New Roman" w:hAnsi="Times New Roman"/>
                <w:sz w:val="29"/>
                <w:szCs w:val="29"/>
                <w:color w:val="auto"/>
                <w:vertAlign w:val="superscript"/>
              </w:rPr>
              <w:t>(1)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Arbutus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w:t>
            </w:r>
          </w:p>
        </w:tc>
      </w:tr>
    </w:tbl>
    <w:p>
      <w:pPr>
        <w:spacing w:after="0" w:line="179" w:lineRule="exact"/>
        <w:rPr>
          <w:sz w:val="20"/>
          <w:szCs w:val="20"/>
          <w:color w:val="auto"/>
        </w:rPr>
      </w:pPr>
    </w:p>
    <w:p>
      <w:pPr>
        <w:jc w:val="both"/>
        <w:ind w:left="460" w:hanging="452"/>
        <w:spacing w:after="0" w:line="210" w:lineRule="auto"/>
        <w:tabs>
          <w:tab w:leader="none" w:pos="460"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ownership percentage represents the Company’s equity interest in the outstanding Class A units of Datavant. Datavant’s capital structure includes several classes of preferred units that, among other features, have liquidation preferences and conversion features. Upon conversion of such preferred units into Class A units, the Company’s ownership interest would be diluted. Refer above for additional information regarding investment.</w:t>
      </w:r>
    </w:p>
    <w:p>
      <w:pPr>
        <w:spacing w:after="0" w:line="200"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212529"/>
        </w:rPr>
        <w:t>The Company recognized unrealized (gains) losses on its significant equity method investments in the accompanying consolidated statements of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4040" w:type="dxa"/>
            <w:vAlign w:val="bottom"/>
            <w:gridSpan w:val="9"/>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Unrealized (Gain) Loss on Investment (in millions)</w:t>
            </w:r>
          </w:p>
        </w:tc>
      </w:tr>
      <w:tr>
        <w:trPr>
          <w:trHeight w:val="223"/>
        </w:trPr>
        <w:tc>
          <w:tcPr>
            <w:tcW w:w="720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Datavant</w:t>
            </w:r>
          </w:p>
        </w:tc>
        <w:tc>
          <w:tcPr>
            <w:tcW w:w="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31.1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Arbutus</w:t>
            </w:r>
          </w:p>
        </w:tc>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ectPr>
          <w:pgSz w:w="11900" w:h="16838" w:orient="portrait"/>
          <w:cols w:equalWidth="0" w:num="1">
            <w:col w:w="11240"/>
          </w:cols>
          <w:pgMar w:left="320" w:top="113" w:right="339" w:bottom="1159"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159"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92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212529"/>
              </w:rPr>
              <w:t>Summarized consolidated financial information of Datavant, reported on a one quarter lag, is as follows (in thousands):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gridSpan w:val="10"/>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23"/>
        </w:trPr>
        <w:tc>
          <w:tcPr>
            <w:tcW w:w="10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991,107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873,435</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461,521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376,593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354,561</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(105,025)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(395,195)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(190,243)</w:t>
            </w:r>
          </w:p>
        </w:tc>
      </w:tr>
      <w:tr>
        <w:trPr>
          <w:trHeight w:val="439"/>
        </w:trPr>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10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635,653</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2,340,701</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1,988,138</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329,614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311,074</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1,237,271</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668,642</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1,267,290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1,366,654</w:t>
            </w:r>
          </w:p>
        </w:tc>
      </w:tr>
      <w:tr>
        <w:trPr>
          <w:trHeight w:val="432"/>
        </w:trPr>
        <w:tc>
          <w:tcPr>
            <w:tcW w:w="7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212529"/>
              </w:rPr>
              <w:t>Summarized consolidated financial information of Arbutus is as follows (in thousands):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Twelve Months Ended March 31,</w:t>
            </w:r>
          </w:p>
        </w:tc>
      </w:tr>
      <w:tr>
        <w:trPr>
          <w:trHeight w:val="223"/>
        </w:trPr>
        <w:tc>
          <w:tcPr>
            <w:tcW w:w="10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(82,655)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(80,053)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(71,895)</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(76,571)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(74,385)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(70,030)</w:t>
            </w:r>
          </w:p>
        </w:tc>
      </w:tr>
      <w:tr>
        <w:trPr>
          <w:trHeight w:val="439"/>
        </w:trPr>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23"/>
        </w:trPr>
        <w:tc>
          <w:tcPr>
            <w:tcW w:w="10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135,872</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14,418</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19,431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20,296</w:t>
            </w:r>
          </w:p>
        </w:tc>
      </w:tr>
      <w:tr>
        <w:trPr>
          <w:trHeight w:val="23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18,422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5—</w:t>
      </w:r>
      <w:r>
        <w:rPr>
          <w:rFonts w:ascii="Times New Roman" w:cs="Times New Roman" w:eastAsia="Times New Roman" w:hAnsi="Times New Roman"/>
          <w:sz w:val="18"/>
          <w:szCs w:val="18"/>
          <w:b w:val="1"/>
          <w:bCs w:val="1"/>
          <w:color w:val="000000"/>
        </w:rPr>
        <w:t>Recent Transactions and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(A) Telavant Disposition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212529"/>
        </w:rPr>
        <w:t>On December 14, 2023 (the “Transaction Date”), the Company completed the sale of its entire equity interest in its majority-owned subsidiary Telavant to Roche Holdings, Inc. (“Roche”) (the “Roche Transaction”). The Roche Transaction was made pursuant to a Stock Purchase Agreement dated October 22, 2023 among the Company, Telavant, Pfizer Inc. (“Pfizer”) and Roche (the “Stock Purchase Agreement”). Telavant was jointly formed by the Company and Pfizer in November 2022 to develop and commercialize RVT-3101, an anti-TL1A antibody in development for ulcerative colitis (“UC”) and Crohn’s disease, in the U.S. and Japan. Telavant’s in-license of RVT-3101 from Pfizer was accounted for as an asset acquisition as the acquired assets did not meet the definition of a business. The fair value of consideration transferred was $87.7 million, primarily consisting of preferred stock issued to Pfizer. The acquired rights were determined to have no alternative future use. Accordingly, the Company recorded $87.7 million as acquired in process research and development expense in the accompanying consolidated statements of operations for the year ended March 31, 2023. Prior to the Roche Transaction, the Company held 75% of the issued and outstanding shares of common stock and preferred stock of Telavant, and Pfizer owned the remaining 25%, in each case on an as-converted basis.</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12529"/>
        </w:rPr>
        <w:t xml:space="preserve">Pursuant to the Stock Purchase Agreement, Roche acquired all of the issued and outstanding shares of capital stock of Telavant in exchange for approximately $7.1 billion in cash at the closing of the Roche Transaction in December 2023, as well as a one-time milestone payment of $150 million in cash, paid in August 2024 following the initiation of a Phase 3 trial in UC. The $7.1 billion in closing consideration and $150 million one-time milestone payment were paid to all of Telavant’s equity holders, including holders of Telavant RSUs, on a pro rata basis relative to their ownership of Telavant prior to the closing of the Roche Transaction. The Company received an upfront payment of approximately $5.2 billion in cash as its pro rata portion of the consideration upon closing of the Roche Transaction and a one-time milestone payment of approximately $110.4 million as its pro rata portion of the milestone payment </w:t>
      </w:r>
      <w:r>
        <w:rPr>
          <w:rFonts w:ascii="Times New Roman" w:cs="Times New Roman" w:eastAsia="Times New Roman" w:hAnsi="Times New Roman"/>
          <w:sz w:val="18"/>
          <w:szCs w:val="18"/>
          <w:color w:val="000000"/>
        </w:rPr>
        <w:t>following initiation of a Phase 3 trial in UC</w:t>
      </w:r>
      <w:r>
        <w:rPr>
          <w:rFonts w:ascii="Times New Roman" w:cs="Times New Roman" w:eastAsia="Times New Roman" w:hAnsi="Times New Roman"/>
          <w:sz w:val="18"/>
          <w:szCs w:val="18"/>
          <w:color w:val="212529"/>
        </w:rPr>
        <w: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At the closing of the Roche Transaction, Roche acquired the full rights to further develop and manufacture RVT- 3101 and commercialize it in the U.S. and Japan. Outside of the U.S. and Japan, Pfizer holds commercialization rights. In addition, following the closing of the Roche Transaction, Roche acquired Telavant’s option to enter into a global collaboration with Pfizer on a next generation p40/TL1A directed bispecific antibody.</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12529"/>
        </w:rPr>
        <w:t xml:space="preserve">The Telavant entity that was sold did not meet the definition of a business, and therefore the Company concluded that the Roche Transaction was a sale of non-financial assets, with control transferred at closing. The sale of Telavant did not meet the criteria for reporting discontinued operations as the sale does not represent a strategic shift in the Company’s business. The Company recognized a gain on sale of Telavant net assets of approximately $5.3 billion during the year ended March 31, 2024 in the accompanying consolidated statements of operations. The gain does not include the Company’s portion of the one-time milestone payment, which was recognized when the milestone was achieved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212529"/>
        </w:rPr>
        <w:t xml:space="preserve"> June 2024. Accordingly, the Company recognized a gain on sale of Telavant net assets of $110.4 million for its pro rata portion of the one-time milestone payment during the year ended March 31, 2025. The gain on sale of Telavant net assets qualifies under the substantial shareholding exemption in the United Kingdom (“U.K.”) and consequently is not subject to the corporation income tax. The table below summarizes the calculation of the gain recognized during the year ended March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Upfront cash payment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5,234,373</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Carrying amount of noncontrolling interest derecognized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5,321,873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sold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transferred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29,790</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liabilities sold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(26,537)</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Gain on sale of Telavant net assets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5,348,410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12529"/>
        </w:rPr>
        <w:t>The pretax loss generated by Telavant was $71.1 million for the period from April 1, 2023 to the Transaction Date and $101.9 million for the period from inception on November 14, 2022 to March 31, 2023. The entirety of the Telavant pretax losses was attributable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(B) Asset Acquisition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In July 2023, Pulmovant Inc. (“Pulmovant”), a wholly-owned subsidiary of the Company, in-licensed certain intellectual property rights in exchange for a $14.0 million upfront cash payment. The transaction was accounted for as an asset acquisition as the acquired assets did not meet the definition of a business. The acquired rights represent in-process research and development assets, which were determined to have no alternative future use. Accordingly, the Company recorded $14.0 million as acquired in-process research and development expense in the accompanying consolidated statements of operations for the year ended March 31, 2024.</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Additionally, Pulmovant agreed to pay up to $280 million of future development, regulatory and commercial milestone payments and tiered high-single digit sales-based royalties.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 Deconsolidation of Subsidiaries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In July 2023, VantAI Holdings, Inc. (“VantAI”), a wholly-owned subsidiary of the Company, completed a transaction pursuant to which SK, Inc. (“SK”) contributed $6.0 million to VantAI in exchange for preferred shares in VantAI (the “VantAI Preferred Financing”). In August 2023, the Company and SK Biopharmaceuticals Co., Ltd. (“SK Bio”), a subsidiary of SK, completed a transaction pursuant to which SK Bio purchased all of the Company’s shares in Proteovant Sciences, Inc. (“Proteovant”) in exchange for $47.5 million.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As a result of changes in governance and voting rights, the Company determined that it no longer held a controlling financial interest in VantAI. Accordingly, the Company deconsolidated VantAI as of July 2023. The Company recorded a $17.4 million gain on deconsolidation of Proteovant and VantAI in the accompanying consolidated statements of operations for the year ended March 31,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Upon deconsolidation, the Company recorded its $9.0 million retained investment in VantAI based upon the fair value of the preferred shares held by the Company. Due to the Company’s significant influence over the operating and financial policies of VantAI, the Company accounts for its retained interest under the equity method of accounting.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Dermavant Transaction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October 28, 2024, the Company completed the sale of its entire equity interest in its majority-owned subsidiary, Dermavant, to Organon.</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Organon agreed to acquire Dermavant for aggregate cash consideration comprising (i) a payment of $175.0 million payable at the closing of the Dermavant Transaction, subject to certain adjustments, (ii) a $75.0 million milestone payment payable upon FDA approval of VTAMA (the “Product”) for the treatment of atopic dermatitis (the “AD Approval Milestone”) and (iii) up to $950.0 million in additional milestone payments payable upon achievement of certain tiered net sales amounts (each less than or equal to $1.0 billion) with respect to the Product. Additionally, Organon agreed to make tiered royalty payments of (x) low-to-mid single digit percentages with respect to annual net sales of the Product up to $1.0 billion and (y) 30% with respect to annual net sales of the Product above $1.0 billion. Such consideration and royalty payments are subject to certain post-closing adjustments and are payable to all of Dermavant’s equity holders, including holders of Dermavant RSUs, options and warrants, on a pro rata basis relative to their ownership of Dermavant prior to the closing of the Dermavant Transaction (in each case, after giving effect to the liquidation preference of Dermavant’s preference shares, all of which are held by the Company, and otherwise in accordance with the applicable terms of such securities). Under the liquidation preference of Dermavant’s preference shares, the Company is entitled to receive 100% of the first $270.0 million of consideration paid pursuant to the Merger Agreement. The Company received $183.6 million in cash in October 2024 upon the closing of the Dermavant Transaction, subject to certain post-closing adjustments that are not expected to be significant. The AD Approval Milestone was achieved in December 2024, and the Company received payment of the $75.0 million AD Approval Milestone in January 2025, pursuant to the terms of the Merger Agreement.</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contemplated by the Merger Agreement, in connection with the closing of the Dermavant Transaction, Dermavant repaid all amounts outstanding or otherwise payable (including accrued interest and all premiums and exit fees) pursuant to a senior secured credit facility (the “Credit Facility”), dated as of May 14, 2021 and amended as of May 24, 2024, by and among Dermavant, certain subsidiaries of Dermavant, XYQ Luxco S.A.R.L. and U.S. Bank Trust Company, National Association, and terminated the Credit Facility in accordance with its terms.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Following the closing of the Dermavant Transaction, all rights and obligations under each of (A) the Revenue Interest Purchase and Sale Agreement, dated as of May 14, 2021 and amended as of May 24, 2024, by and among Dermavant, Dermavant Sciences GmbH, XYQ Luxco S.A.R.L., NovaQuest Co-Investment Funds XVII, L.P., MAM Tapir Lender, LLC and U.S. Bank Trust Company, National Association and (B) the Funding Agreement, dated as of July 10, 2018 and amended as of May 24, 2024, by and among Dermavant, Dermavant Sciences GmbH and NovaQuest Co-Investment Fund VIII, L.P., were retained by Dermavant and its subsidiaries, which became indirect wholly owned subsidiaries of Organon.</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Dermavant Transaction, the Company accounted for the assets and liabilities of Dermavant as assets and liabilities of discontinued operations at March 31, 2024. Assets and liabilities of Dermavant are presented as “Current assets of discontinued operations,” “Noncurrent assets of discontinued operations,” “Current liabilities of discontinued operations” and “Noncurrent liabilities of discontinued operations” on the accompanying consolidated balance sheets as of March 31, 2024.</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Financial results of Dermavant through closing of the Dermavant Transaction are presented as “Income (loss) from discontinued operations, net of tax” in the accompanying consolidated statements of operations for the years ended March 31, 2025, 2024 and 2023. As a result of the Dermavant Transaction, the Company recognized a gain of $376.5 million for the year ended March 31, 2025, of which $301.5 million was recognized upon the deconsolidation of Dermavant and $75.0 million was subsequently recognized upon achievement of the first milestone. The gain recognized is subject to certain post-closing adjustments that are not expected to be significant.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EE"/>
        </w:rPr>
        <w:t>Table of Contents</w:t>
      </w:r>
    </w:p>
    <w:p>
      <w:pPr>
        <w:spacing w:after="0" w:line="17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discontinued operations related to the Dermavant Transaction included in “Income (loss) from discontinued operations, net of tax”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License, milestone and other revenue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17,025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w:t>
            </w: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92,082</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10,094</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71,153</w:t>
            </w: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271,310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217,058</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347,098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298,305</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(255,016)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Gain on sale of subsidiary interests</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(376,506)</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(97,322)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59,615</w:t>
            </w: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30,556</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34,778</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(16,294)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(314,426)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(339,844)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373,030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(315,147)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(340,952)</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 attributable to noncontrolling interests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(1,707)</w:t>
            </w: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(loss) from discontinued operations before income taxes attributable to Roivant Sciences</w:t>
            </w:r>
          </w:p>
        </w:tc>
        <w:tc>
          <w:tcPr>
            <w:tcW w:w="2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2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373,819</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(313,059)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(338,137)</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373,664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(314,426)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(339,844)</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Gain on sale of subsidiary interests includes the release of accumulated other comprehensive loss of $19.9 million, primarily associated with the realization of Dermavant’s cumulative translation adjustments.</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Interest expense consists of interest payments related to outstanding debt held by Dermavant as well as the associated non-cash amortization of debt discounts and issuance costs. Additionally, for the year ended March 31, 2025, interest expense includes an $8.8 million loss on extinguishment of the Credit Facility.</w:t>
      </w:r>
    </w:p>
    <w:p>
      <w:pPr>
        <w:spacing w:after="0" w:line="20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classes of Dermavant’s assets and liabilities at March 31, 2024 that were reclassified as assets and liabilities of discontinued operations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6520" w:type="dxa"/>
            <w:vAlign w:val="bottom"/>
          </w:tcPr>
          <w:p>
            <w:pPr>
              <w:spacing w:after="0"/>
              <w:rPr>
                <w:sz w:val="24"/>
                <w:szCs w:val="24"/>
                <w:color w:val="auto"/>
              </w:rPr>
            </w:pPr>
          </w:p>
        </w:tc>
        <w:tc>
          <w:tcPr>
            <w:tcW w:w="4720" w:type="dxa"/>
            <w:vAlign w:val="bottom"/>
            <w:gridSpan w:val="4"/>
          </w:tcPr>
          <w:p>
            <w:pPr>
              <w:ind w:left="3240"/>
              <w:spacing w:after="0"/>
              <w:rPr>
                <w:sz w:val="20"/>
                <w:szCs w:val="20"/>
                <w:color w:val="auto"/>
              </w:rPr>
            </w:pPr>
            <w:r>
              <w:rPr>
                <w:rFonts w:ascii="Times New Roman" w:cs="Times New Roman" w:eastAsia="Times New Roman" w:hAnsi="Times New Roman"/>
                <w:sz w:val="18"/>
                <w:szCs w:val="18"/>
                <w:b w:val="1"/>
                <w:bCs w:val="1"/>
                <w:color w:val="auto"/>
              </w:rPr>
              <w:t>March 31, 2024</w:t>
            </w:r>
            <w:r>
              <w:rPr>
                <w:rFonts w:ascii="Times New Roman" w:cs="Times New Roman" w:eastAsia="Times New Roman" w:hAnsi="Times New Roman"/>
                <w:sz w:val="29"/>
                <w:szCs w:val="29"/>
                <w:b w:val="1"/>
                <w:bCs w:val="1"/>
                <w:color w:val="auto"/>
                <w:vertAlign w:val="superscript"/>
              </w:rPr>
              <w:t>(1)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3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80" w:type="dxa"/>
            <w:vAlign w:val="bottom"/>
            <w:gridSpan w:val="2"/>
            <w:shd w:val="clear" w:color="auto" w:fill="CCEEFF"/>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40,753</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137,842</w:t>
            </w:r>
          </w:p>
        </w:tc>
        <w:tc>
          <w:tcPr>
            <w:tcW w:w="100" w:type="dxa"/>
            <w:vAlign w:val="bottom"/>
          </w:tcPr>
          <w:p>
            <w:pPr>
              <w:spacing w:after="0"/>
              <w:rPr>
                <w:sz w:val="18"/>
                <w:szCs w:val="18"/>
                <w:color w:val="auto"/>
              </w:rPr>
            </w:pPr>
          </w:p>
        </w:tc>
      </w:tr>
      <w:tr>
        <w:trPr>
          <w:trHeight w:val="223"/>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368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302,146</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8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39,196</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56,169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442,591</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r>
      <w:tr>
        <w:trPr>
          <w:trHeight w:val="256"/>
        </w:trPr>
        <w:tc>
          <w:tcPr>
            <w:tcW w:w="6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3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87"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both current and non-current assets and liabilities of discontinued operations.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EE"/>
        </w:rPr>
        <w:t>Table of Contents</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accompanying consolidated statements of cash flows, the cash flows from discontinued operations are not separately classified. The following table summarizes significant non-cash operating and investing items from discontinued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subsidiary interests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(97,322)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59,615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Myovant Transaction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March 2023, Sumitovant Biopharma Ltd. (“Sumitovant”), a wholly-owned subsidiary of Sumitomo Pharma Co., Ltd. (“Sumitomo”), completed its acquisition of Myovant Sciences Ltd. (“Myovant”), pursuant to an agreement by which Sumitovant acquired all outstanding shares of Myovant not already owned by Sumitovant for $27.00 per share in cash (the “Myovant Transaction”). Shortly prior to the closing of the Myovant Transaction, RSL received 4,243,005 common shares of Myovant (the “Myovant Top-Up Shares”) from Sumitovant. RSL was entitled to the Myovant Top-Up Shares pursuant to the December 2019 transaction with Sumitomo (the “Sumitomo Transaction”) that included, among other things, the transfer of RSL’s ownership interest in five Vants—Myovant, Urovant Sciences Ltd., Enzyvant Therapeutics Ltd., Altavant Sciences Ltd., and Spirovant Sciences Ltd.—to Sumitovant. The Sumitomo Transaction was presented as discontinued operations during the year ending March 31, 2020, and the right to receive the Myovant Top-Up Shares was treated as a contingent consideration upon a sale of the business and accounted for as a gain contingency.</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part of the Myovant Transaction, the Myovant Top-Up Shares were subsequently acquired back by Sumitovant for $27.00 per share. The total amount received of $114.6 million was recorded as gain on sale of common shares of Myovant and presented as “Income from discontinued operations, net of tax” in the accompanying consolidated statements of operations for the year ended March 31, 2023.</w:t>
      </w:r>
    </w:p>
    <w:p>
      <w:pPr>
        <w:spacing w:after="0" w:line="17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In the accompanying consolidated statements of cash flows, the cash flows from discontinued operations are not separately classified. The cash flow item from discontinued operations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0" w:type="dxa"/>
            <w:vAlign w:val="bottom"/>
          </w:tcPr>
          <w:p>
            <w:pPr>
              <w:spacing w:after="0"/>
              <w:rPr>
                <w:sz w:val="1"/>
                <w:szCs w:val="1"/>
                <w:color w:val="auto"/>
              </w:rPr>
            </w:pPr>
          </w:p>
        </w:tc>
      </w:tr>
      <w:tr>
        <w:trPr>
          <w:trHeight w:val="216"/>
        </w:trPr>
        <w:tc>
          <w:tcPr>
            <w:tcW w:w="8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recovery of contingent consideration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Myovant Top-Up Shares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12529"/>
              </w:rPr>
              <w:t>Note 7—Certain Balance Sheet Components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Accrued Expenses</w:t>
            </w: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Accrued expenses at March 31, 2025 and 2024 consisted of the following (in thousands):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00" w:type="dxa"/>
            <w:vAlign w:val="bottom"/>
            <w:gridSpan w:val="2"/>
            <w:shd w:val="clear" w:color="auto" w:fill="CCEEFF"/>
          </w:tcPr>
          <w:p>
            <w:pPr>
              <w:ind w:left="5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Compensation-related expenses</w:t>
            </w: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600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 Other Current Liabilities</w:t>
            </w:r>
          </w:p>
        </w:tc>
        <w:tc>
          <w:tcPr>
            <w:tcW w:w="5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900" w:type="dxa"/>
            <w:vAlign w:val="bottom"/>
            <w:vMerge w:val="continue"/>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liabilities at March</w:t>
            </w: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 2025 and 2024 consisted of the following (in thousands):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6000" w:type="dxa"/>
            <w:vAlign w:val="bottom"/>
            <w:gridSpan w:val="2"/>
            <w:shd w:val="clear" w:color="auto" w:fill="CCEEFF"/>
          </w:tcPr>
          <w:p>
            <w:pPr>
              <w:ind w:left="5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5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5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2900" w:type="dxa"/>
            <w:vAlign w:val="bottom"/>
          </w:tcPr>
          <w:p>
            <w:pPr>
              <w:spacing w:after="0"/>
              <w:rPr>
                <w:sz w:val="24"/>
                <w:szCs w:val="24"/>
                <w:color w:val="auto"/>
              </w:rPr>
            </w:pPr>
          </w:p>
        </w:tc>
        <w:tc>
          <w:tcPr>
            <w:tcW w:w="564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151</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900" w:type="dxa"/>
            <w:vAlign w:val="bottom"/>
            <w:tcBorders>
              <w:bottom w:val="single" w:sz="8" w:color="auto"/>
            </w:tcBorders>
          </w:tcPr>
          <w:p>
            <w:pPr>
              <w:spacing w:after="0"/>
              <w:rPr>
                <w:sz w:val="3"/>
                <w:szCs w:val="3"/>
                <w:color w:val="auto"/>
              </w:rPr>
            </w:pPr>
          </w:p>
        </w:tc>
        <w:tc>
          <w:tcPr>
            <w:tcW w:w="5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8—Shareholders’ Equity</w:t>
      </w:r>
    </w:p>
    <w:p>
      <w:pPr>
        <w:spacing w:after="0" w:line="225" w:lineRule="exact"/>
        <w:rPr>
          <w:sz w:val="20"/>
          <w:szCs w:val="20"/>
          <w:color w:val="auto"/>
        </w:rPr>
      </w:pPr>
    </w:p>
    <w:p>
      <w:pPr>
        <w:ind w:left="300" w:hanging="292"/>
        <w:spacing w:after="0"/>
        <w:tabs>
          <w:tab w:leader="none" w:pos="300" w:val="left"/>
        </w:tabs>
        <w:numPr>
          <w:ilvl w:val="0"/>
          <w:numId w:val="93"/>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b w:val="1"/>
          <w:bCs w:val="1"/>
          <w:color w:val="auto"/>
        </w:rPr>
        <w:t>At-the-Market Equity Offering Program</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19, 2022, the Company entered into a sales agreement with Cowen and Company, LLC (“Cowen”) to sell its common shares having an aggregate offering price of up to $400.0 million from time to time through an “at-the-market” equity offering program under which Cowen acts as the Company’s agent (the “ATM Facility”).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the Company had $400.0 million of remaining capacity available under the ATM Facility.</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 Share Repurchase Program</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authorized a common share repurchase program, allowing for repurchases of common shares in an aggregate amount of up to $1.5 billion (excluding fees and expenses). The repurchase program is funded by available cash and cash equivalents on hand and does not have an expiration date. In April 2024, pursuant to the share repurchase program, the Company entered into a share repurchase agreement with Sumitomo and repurchased all 71,251,083 common shares held by Sumitomo at a purchase price per share of $9.10, for an aggregate purchase price of approximately $648.4 million. Subsequent to the repurchase of the common shares held by Sumitomo, additional repurchases of 57,110,703 shares were made in open market transactions under the share repurchase program during the year ended March 31, 2025 for an aggregate purchase price of approximately $644.8 million and together with the Sumitomo repurchase, approximately $1.3 billion of the $1.5 billion approved by the Company’s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Underwritten Public Offerings of Common Shares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2022, the Company completed an underwritten primary and secondary public offering of 30,000,000 common shares of RSL at a price to the public of $5.00 per share. Of these common shares, 20,000,000 were sold by RSL and 10,000,000 were sold by certain selling shareholders. Net proceeds to the Company were approximately $94.7 million after deducting underwriting discounts and commissions and offering expenses. The Company did not receive any proceeds from the sale of common shares by the selling shareholders in the offering.</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2023, the Company completed an underwritten public offering of 30,666,665 common shares of RSL (including 3,999,999 common shares issued and sold upon the full exercise of the underwriters’ option to purchase additional shares) at a price to the public of $7.50 per share. Net proceeds to the Company were approximately $216.9 million after deducting underwriting discounts and commissions and offering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Common Share Purchase and Share Agreements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September 2023, the Company entered into common share purchase and sale agreements with certain institutional investors, pursuant to which the Company sold an aggregate of 19,600,685 of its common shares at a purchase price of $10.21 per share. Net proceeds to the Company were approximately $199.8 million after deducting offering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Disposal of Cytovant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July 2022, the Company exited its operations in Cytovant Sciences HK Limited (“Cytovant”) by transferring all of its equity interest to certain investors holding Series A-1 preference shares of Cytovant in exchange for nominal consideration. As a result of this transaction, the Company deconsolidated Cytovant and recorded a gain on deconsolidation of $16.8 million, primarily as a result of relieving its redeemable noncontrolling interest, in the accompanying consolidated statements of operations for the year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Consolidated Vant Equity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October 2022, the Company’s subsidiary, Immunovant, Inc. (“Immunovant”), completed an underwritten public offering of 12,500,000 shares of its common stock (including 416,667 shares of common stock purchased by RSL) at a price to the public of $6.00 per share, for net proceeds to Immunovant of approximately $70.2 million after deducting underwriting discounts and commissions and offering expenses.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October 2023, Immunovant completed an underwritten public offering of 8,475,500 shares of its common stock (including 1,526,316 shares of common stock purchased by the Company on the same terms as other investors in the offering and the full exercise of the underwriters’ option to purchase 1,105,500 additional shares of common stock) at a price to the public of $38.00 per share. Concurrent with the public offering, the Company purchased 4,473,684 shares of Immunovant’s common stock in a private placement exempt from the registration requirements of the Securities Act of 1933, as amended, at the same price per share as investors in the public offering of $38.00 per share. The net proceeds to Immunovant were approximately $466.7 million after deducting underwriting discounts and commissions, placement agent fees and offering expenses.</w:t>
      </w:r>
    </w:p>
    <w:p>
      <w:pPr>
        <w:sectPr>
          <w:pgSz w:w="11900" w:h="16838" w:orient="portrait"/>
          <w:cols w:equalWidth="0" w:num="1">
            <w:col w:w="11240"/>
          </w:cols>
          <w:pgMar w:left="320" w:top="116"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January 2025, Immunovant entered into a share purchase agreement pursuant to which Immunovant issued 22,500,000 shares of its common stock (including 16,845,010 shares of common stock purchased by the Company) at a price of $20.00 per share in a private placement exempt from the registration requirements of the Securities Act of 1933, as amended (the “IMVT PIPE”). The gross proceeds to Immunovant in the IMVT PIPE were approximately $450.0 million, of which $336.9 million related to the Company’s participation. Following the IMVT PIPE and giving effect to the issuance of shares of Immunovant common stock in that transaction, the Company’s ownership interest in Immunovant increased to approximately 57%, and the Company continues to consolidate Immunovant.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9—Share-Based Compensation and Other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(A) RSL Equity Incentive Plans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212529"/>
        </w:rPr>
        <w:t>RSL has three equity incentive plans: the Roivant Sciences Ltd. 2021 Equity Incentive Plan (the “RSL 2021 EIP”), the Roivant Sciences Ltd. Amended and Restated 2015 Equity Incentive Plan (the “RSL 2015 EIP”) and the Roivant Sciences Ltd. Amended and Restated 2015 Restricted Stock Unit Plan (the “2015R Plan”) (collectively, the “RSL Equity Plans”). The RSL 2021 EIP was approved and adopted in connection with the Business Combination and became effective immediately prior to closing. Since the effective date of the RSL 2021 EIP, no further stock awards have been or will be made under the RSL 2015 EIP. Additionally, no further stock awards will be made under the 2015R Plan. As of March 31, 2025, 182,389,866 of the Company’s common shares were reserved for issuance under the RSL 2021 EIP. The number of common shares reserved for issuance under the RSL 2021 EIP will automatically increase on April 1 of each year by an amount equal to the lesser of (i) 5% of the common shares outstanding as of the last day of the immediately preceding fiscal year and (ii) such number of common shares as determined by the board of directors in its discretion. Prior to April 1, 2025, the Company’s board of directors resolved not to increase the number of common shares reserved for issuance under the RSL 2021 EIP on April 1, 2025, but instead to defer until later during the year ending March 31, 2026 the decision as to whether to increase the reserve by up to 5% of the common shares outstanding as of March 31, 2025. The RSL 2021 EIP has a ten-year term. The Company’s employees, directors and consultants are eligible to receive incentive stock options, nonqualified stock options, stock appreciation rights, restricted stock awards, RSUs and other stock awards under the RSL 2021 EIP. At March 31, 2025, a total of 41,801,628 common shares were available for future grants under the RSL 2021 EIP.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Stock Options and Performance 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Activity for stock options and performance stock options under the RSL Equity Plans for the year ended March 31, 2025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7"/>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212529"/>
              </w:rPr>
              <w:t>Weighted</w:t>
            </w: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Remaining</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212529"/>
              </w:rPr>
              <w:t>Aggregate</w:t>
            </w:r>
          </w:p>
        </w:tc>
      </w:tr>
      <w:tr>
        <w:trPr>
          <w:trHeight w:val="216"/>
        </w:trPr>
        <w:tc>
          <w:tcPr>
            <w:tcW w:w="56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212529"/>
              </w:rPr>
              <w:t>Number of</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12529"/>
              </w:rPr>
              <w:t>Average Exercise</w:t>
            </w: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212529"/>
                <w:w w:val="99"/>
              </w:rPr>
              <w:t>Contractual Life</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12529"/>
              </w:rPr>
              <w:t>Intrinsic Value</w:t>
            </w:r>
          </w:p>
        </w:tc>
      </w:tr>
      <w:tr>
        <w:trPr>
          <w:trHeight w:val="245"/>
        </w:trPr>
        <w:tc>
          <w:tcPr>
            <w:tcW w:w="5660" w:type="dxa"/>
            <w:vAlign w:val="bottom"/>
          </w:tcPr>
          <w:p>
            <w:pPr>
              <w:spacing w:after="0"/>
              <w:rPr>
                <w:sz w:val="21"/>
                <w:szCs w:val="21"/>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212529"/>
              </w:rPr>
              <w:t>Options</w:t>
            </w: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212529"/>
              </w:rPr>
              <w:t>Price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(in years)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212529"/>
              </w:rPr>
              <w:t>(in thousands)</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Options outstanding at March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147,068,607</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8.03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5.70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499,487</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212529"/>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4,815,932</w:t>
            </w:r>
          </w:p>
        </w:tc>
        <w:tc>
          <w:tcPr>
            <w:tcW w:w="2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212529"/>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12529"/>
                <w:w w:val="98"/>
              </w:rPr>
              <w:t>10.76</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Exercised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12529"/>
              </w:rPr>
              <w:t>(12,207,713)</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12529"/>
              </w:rPr>
              <w:t>4.11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212529"/>
              </w:rPr>
              <w:t>Forfeited/Canceled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(264,728)</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212529"/>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12529"/>
              </w:rPr>
              <w:t>6.90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Options outstanding at March 31, 2025</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139,412,098</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12529"/>
              </w:rPr>
              <w:t>8.46</w:t>
            </w:r>
          </w:p>
        </w:tc>
        <w:tc>
          <w:tcPr>
            <w:tcW w:w="1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4.69</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384,006</w:t>
            </w: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212529"/>
              </w:rPr>
              <w:t>Options exercisable at March 31, 2025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rPr>
              <w:t>110,692,263</w:t>
            </w:r>
          </w:p>
        </w:tc>
        <w:tc>
          <w:tcPr>
            <w:tcW w:w="2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212529"/>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12529"/>
              </w:rPr>
              <w:t>9.16</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212529"/>
              </w:rPr>
              <w:t>4.00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21252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256,167</w:t>
            </w:r>
          </w:p>
        </w:tc>
      </w:tr>
      <w:tr>
        <w:trPr>
          <w:trHeight w:val="21"/>
        </w:trPr>
        <w:tc>
          <w:tcPr>
            <w:tcW w:w="5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The aggregate intrinsic value is calculated as the difference between the exercise price of all outstanding and exercisable options and the fair value of the Company’s common stock at March 31, 2025. At March 31, 2025, total unrecognized compensation expense related to non-vested stock options was approximately $95.4 million and is expected to be recognized over a weighted-average period of approximately 1.40 years. All performance stock options have been fully expensed as of December 2023.</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The Company estimated the fair value of each stock option on the date of grant using the Black-Scholes closed form option-pricing model applying the weighted average assumptions in the following table. No performance stock options were granted during the years ended March 31, 2025,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298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Years Ended March 31,</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72.22%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Expected risk free interest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Additional information regarding stock options and performance stock options is set forth below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212529"/>
              </w:rPr>
              <w:t>Years Ended March 31,</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12529"/>
              </w:rPr>
              <w:t>2025</w:t>
            </w: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12529"/>
              </w:rPr>
              <w:t>2024</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Intrinsic value of options exercised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90,542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68,673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212529"/>
              </w:rPr>
              <w:t>Grant date fair value of options vested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12529"/>
                <w:w w:val="88"/>
              </w:rPr>
              <w:t>$</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212529"/>
              </w:rPr>
              <w:t>100,639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122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212529"/>
              </w:rPr>
              <w:t>157,359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165,702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Weighted-average grant date fair value per share of stock options granted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w w:val="88"/>
              </w:rPr>
              <w:t>$</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12529"/>
              </w:rPr>
              <w:t>7.22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122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rPr>
              <w:t>5.98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212529"/>
              </w:rPr>
              <w:t>Restricted Stock Units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212529"/>
              </w:rPr>
              <w:t>Activity for RSUs under the RSL Equity Plans for the year ended March 31, 2025 was as follows: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212529"/>
              </w:rPr>
              <w:t>Weighted Average</w:t>
            </w:r>
          </w:p>
        </w:tc>
      </w:tr>
      <w:tr>
        <w:trPr>
          <w:trHeight w:val="216"/>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212529"/>
                <w:w w:val="99"/>
              </w:rPr>
              <w:t>Grant Date Fair</w:t>
            </w:r>
          </w:p>
        </w:tc>
      </w:tr>
      <w:tr>
        <w:trPr>
          <w:trHeight w:val="245"/>
        </w:trPr>
        <w:tc>
          <w:tcPr>
            <w:tcW w:w="7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2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212529"/>
              </w:rPr>
              <w:t>Number of RSUs</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212529"/>
                <w:w w:val="97"/>
              </w:rPr>
              <w:t>Value</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Non-vested balance at March 31, 2024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98"/>
              </w:rPr>
              <w:t>11,355,746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7.50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212529"/>
              </w:rPr>
              <w:t>Granted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12529"/>
                <w:w w:val="97"/>
              </w:rPr>
              <w:t>9,789,877</w:t>
            </w:r>
          </w:p>
        </w:tc>
        <w:tc>
          <w:tcPr>
            <w:tcW w:w="140" w:type="dxa"/>
            <w:vAlign w:val="bottom"/>
          </w:tcPr>
          <w:p>
            <w:pPr>
              <w:spacing w:after="0"/>
              <w:rPr>
                <w:sz w:val="18"/>
                <w:szCs w:val="18"/>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12529"/>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10.90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Vested</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12529"/>
              </w:rPr>
              <w:t>(6,085,404)</w:t>
            </w: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212529"/>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8.11</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212529"/>
              </w:rPr>
              <w:t>Forfeited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12529"/>
              </w:rPr>
              <w:t>(940,270)</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12529"/>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6.95</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Non-vested balance at March 31, 2025</w:t>
            </w: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98"/>
              </w:rPr>
              <w:t>14,119,949</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212529"/>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9.63</w:t>
            </w: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12529"/>
        </w:rPr>
        <w:t>The total fair value of RSUs vested during the years ended March 31, 2025, 2024 and 2023 was $49.3 million, $49.1 million and $67.6 million, respectively. RSUs vest upon the achievement of time-based service requirements.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12529"/>
        </w:rPr>
        <w:t>At March 31, 2025, total unrecognized compensation expense related to non-vested RSUs was approximately $115.4 million. Unrecognized compensation expense relating to RSUs is expected to be recognized over a weighted-average period of approximately 3.27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40" w:type="dxa"/>
            <w:vAlign w:val="bottom"/>
          </w:tcPr>
          <w:p>
            <w:pPr>
              <w:ind w:left="500"/>
              <w:spacing w:after="0"/>
              <w:rPr>
                <w:sz w:val="20"/>
                <w:szCs w:val="20"/>
                <w:color w:val="auto"/>
              </w:rPr>
            </w:pPr>
            <w:r>
              <w:rPr>
                <w:rFonts w:ascii="Times New Roman" w:cs="Times New Roman" w:eastAsia="Times New Roman" w:hAnsi="Times New Roman"/>
                <w:sz w:val="18"/>
                <w:szCs w:val="18"/>
                <w:color w:val="212529"/>
              </w:rPr>
              <w:t>Activity for PSUs under the RSL Equity Plans for the year ended March 31, 2025 was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8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824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Number of PSUs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5,422,465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31,450,000</w:t>
            </w:r>
          </w:p>
        </w:tc>
        <w:tc>
          <w:tcPr>
            <w:tcW w:w="12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36,872,465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During the years ended March 31, 2025, 2024 and 2023, no PSUs vested. The vesting of PSUs requires that certain performance or market conditions be achieved during the performance period.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At March 31, 2025, total unrecognized compensation expense related to non-vested PSUs was approximately $259.7 million. Unrecognized compensation expense relating to PSUs, excluding those deemed improbable of vesting as of March 31, 2025, is expected to be recognized over a weighted-average period of approximately 2.21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Senior Executive Compensation Program</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In July 2024, the Compensation Committee of the board of directors approved a multi-year incentive compensation program for each of Matthew Gline, Chief Executive Officer; Mayukh Sukhatme, President and Chief Investment Officer; and Eric Venker, President and Chief Operating Officer (the “2024 Senior Executive Compensation Program”). The program primarily consists of two key components: (i) one-time cash retention awards (refer below for further details regarding the one-time cash retention awards) and (ii) long-term equity incentive awards granted in the form of PSUs with both a performance- and a time-vesting component, time-vesting restricted stock units and time-vesting stock options.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A summary of the long-term equity incentive awards approved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5"/>
        </w:trPr>
        <w:tc>
          <w:tcPr>
            <w:tcW w:w="28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43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(at max)</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1"/>
                <w:szCs w:val="21"/>
                <w:color w:val="auto"/>
              </w:rPr>
            </w:pPr>
          </w:p>
        </w:tc>
      </w:tr>
      <w:tr>
        <w:trPr>
          <w:trHeight w:val="216"/>
        </w:trPr>
        <w:tc>
          <w:tcPr>
            <w:tcW w:w="28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Gline</w:t>
            </w:r>
          </w:p>
        </w:tc>
        <w:tc>
          <w:tcPr>
            <w:tcW w:w="4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14,450,000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2,754,821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Mayukh Sukhatme</w:t>
            </w:r>
          </w:p>
        </w:tc>
        <w:tc>
          <w:tcPr>
            <w:tcW w:w="4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President and Chief Investment Officer</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17,000,000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1,836,547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Venker</w:t>
            </w:r>
          </w:p>
        </w:tc>
        <w:tc>
          <w:tcPr>
            <w:tcW w:w="4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409,000</w:t>
            </w:r>
          </w:p>
        </w:tc>
      </w:tr>
    </w:tbl>
    <w:p>
      <w:pPr>
        <w:spacing w:after="0" w:line="198" w:lineRule="exact"/>
        <w:rPr>
          <w:sz w:val="20"/>
          <w:szCs w:val="20"/>
          <w:color w:val="auto"/>
        </w:rPr>
      </w:pPr>
    </w:p>
    <w:p>
      <w:pPr>
        <w:ind w:right="20" w:firstLine="8"/>
        <w:spacing w:after="0" w:line="282" w:lineRule="auto"/>
        <w:tabs>
          <w:tab w:leader="none" w:pos="1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Company entered into a letter agreement pursuant to which Dr. Venker may be granted up to 11,900,000 PSUs in the future, in the sole discretion of the Compensation Committee of the board of directors.</w:t>
      </w:r>
    </w:p>
    <w:p>
      <w:pPr>
        <w:spacing w:after="0" w:line="16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212529"/>
        </w:rPr>
        <w:t>The stock options and performance stock options table above includes the stock options granted to Dr. Venker pursuant to the 2024 Senior Executive Compensation Program with a total grant date fair value of $2.9 million. The Restricted Stock Units and Performance Restricted Stock Units tables above include the RSUs granted to Mr. Gline, Dr. Sukhatme and Dr. Venker and the PSUs granted to Mr. Gline and Dr. Sukhatme pursuant to the 2024 Senior Executive Compensation Program with total grant date fair values of $51.8 million and $278.2 million, respectively.</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The PSUs granted to Mr. Gline and Dr. Sukhatme consist of six vesting tranches, with the number of PSUs allocated to each such tranche set forth in the table below. Each tranche of PSUs will vest on the first date that both of the “Service Condition” and the “Performance Condition” applicable to such tranche has been satisfied. The “Performance Condition” will be deemed satisfied for each tranche on the first date, during the performance period ending on the five-year anniversary of the grant date (the “Performance Period”), when the Company’s trailing 30-day volume weighted average trading price per share (“30-Day VWAP”) for trading days during the Performance Period exceeds the specified share price hurdle set forth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Tranche</w:t>
            </w:r>
          </w:p>
        </w:tc>
        <w:tc>
          <w:tcPr>
            <w:tcW w:w="100" w:type="dxa"/>
            <w:vAlign w:val="bottom"/>
          </w:tcPr>
          <w:p>
            <w:pPr>
              <w:spacing w:after="0"/>
              <w:rPr>
                <w:sz w:val="21"/>
                <w:szCs w:val="21"/>
                <w:color w:val="auto"/>
              </w:rPr>
            </w:pP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of PSUs</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Share Price</w:t>
            </w:r>
          </w:p>
        </w:tc>
        <w:tc>
          <w:tcPr>
            <w:tcW w:w="100" w:type="dxa"/>
            <w:vAlign w:val="bottom"/>
          </w:tcPr>
          <w:p>
            <w:pPr>
              <w:spacing w:after="0"/>
              <w:rPr>
                <w:sz w:val="21"/>
                <w:szCs w:val="2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Tranche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Second Tranche</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Tranche</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Fourth Tranche</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Tranche</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Sixth Tranche</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1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The “Service Condition” with respect to each tranche will be deemed satisfied on the first anniversary of the date on which the Performance Condition is first satisfied with respect to such tranche, subject to the executive’s continuous service through such anniversary. Following the achievement of the Service Condition and the vesting of any tranche of the PSUs, the common shares underlying the applicable vested tranche of PSUs are subject to a further two-year holding period before such common shares may be sold by the executive (subject to certain exceptions).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The Company estimated the fair value of the PSUs on the date of grant using a Monte Carlo simulation applying the assumptions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860" w:type="dxa"/>
            <w:vAlign w:val="bottom"/>
            <w:shd w:val="clear" w:color="auto" w:fill="000000"/>
          </w:tcPr>
          <w:p>
            <w:pPr>
              <w:spacing w:after="0" w:line="20" w:lineRule="exact"/>
              <w:rPr>
                <w:sz w:val="1"/>
                <w:szCs w:val="1"/>
                <w:color w:val="auto"/>
              </w:rPr>
            </w:pPr>
          </w:p>
        </w:tc>
        <w:tc>
          <w:tcPr>
            <w:tcW w:w="6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38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stock price volatility</w:t>
            </w:r>
          </w:p>
        </w:tc>
        <w:tc>
          <w:tcPr>
            <w:tcW w:w="6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70.0%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risk free interest rate</w:t>
            </w:r>
          </w:p>
        </w:tc>
        <w:tc>
          <w:tcPr>
            <w:tcW w:w="65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date of grant</w:t>
            </w:r>
          </w:p>
        </w:tc>
        <w:tc>
          <w:tcPr>
            <w:tcW w:w="6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r>
      <w:tr>
        <w:trPr>
          <w:trHeight w:val="570"/>
        </w:trPr>
        <w:tc>
          <w:tcPr>
            <w:tcW w:w="3860" w:type="dxa"/>
            <w:vAlign w:val="bottom"/>
          </w:tcPr>
          <w:p>
            <w:pPr>
              <w:spacing w:after="0"/>
              <w:rPr>
                <w:sz w:val="24"/>
                <w:szCs w:val="24"/>
                <w:color w:val="auto"/>
              </w:rPr>
            </w:pPr>
          </w:p>
        </w:tc>
        <w:tc>
          <w:tcPr>
            <w:tcW w:w="6500" w:type="dxa"/>
            <w:vAlign w:val="bottom"/>
          </w:tcPr>
          <w:p>
            <w:pPr>
              <w:jc w:val="right"/>
              <w:ind w:right="4539"/>
              <w:spacing w:after="0"/>
              <w:rPr>
                <w:sz w:val="20"/>
                <w:szCs w:val="20"/>
                <w:color w:val="auto"/>
              </w:rPr>
            </w:pPr>
            <w:r>
              <w:rPr>
                <w:rFonts w:ascii="Times New Roman" w:cs="Times New Roman" w:eastAsia="Times New Roman" w:hAnsi="Times New Roman"/>
                <w:sz w:val="14"/>
                <w:szCs w:val="14"/>
                <w:color w:val="auto"/>
              </w:rPr>
              <w:t>155</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386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As the PSUs are subject to the market performance of the Company’s stock price, share-based compensation expense is recognized over the requisite service period regardless of whether the market condition is ultimately satisfied, subject to continued service over the period. The Company has not recognized share-based compensation expense for potential PSU awards to Dr. Venker as these PSUs have not been granted by the Compensation Committee of the board of directors.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The grant date fair value of the PSUs is sensitive to the expected stock price volatility of the Company’s shares. The Company selected a volatility estimate of 70.0% based on the observed historical volatility of the Company’s shares. If a higher volatility estimate of 80.0% were selected, the total grant date fair value of the PSUs would be approximately $292.9 million. If a lower volatility estimate based on the implied volatility of the Company’s shares of 41.6% were selected, the total grant date fair value of the PSUs would be approximately $202.4 million. If a volatility estimate based on an average of the historical and implied volatility of 55.8% were selected, the total grant date fair value of the PSUs would be approximately $247.3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Capped Value Appreciation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12529"/>
        </w:rPr>
        <w:t>March 2020 CVAR Grants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CVARs granted in March 2020 settle into a number of common shares equal to the excess of (a) the lesser of (i) the fair market value of a common share as of the settlement date or (ii) the cap of $12.68, over (b) the hurdle price of either $6.40 or $11.50, as applicable to each grant. CVARs with the lower hurdle price of $6.40 were subject to a condition (the “Knock-In Condition”) pursuant to which in the event the fair market value of a common share was greater than $6.40 per share but less than $9.20 per share as of the relevant date of determination, the award of CVARs remained outstanding unless and until the Knock-In Condition was satisfied as of any applicable monthly measurement date before the expiration date of the CVARs. As of March 31, 2025 and 2024, all of the CVARs with the lower hurdle price of $6.40 have satisfied the hurdle price and Knock-In Condition.</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In the event any CVARs have satisfied the time-based service and liquidity event vesting requirements (“service-vested CVARs”) but have not satisfied the hurdle price on an applicable measurement date, then such CVARs will be deemed to remain outstanding and the applicable award holder will be provided the right to earn such CVARs if the hurdle price is satisfied on subsequent annual “hurdle measurement dates” prior to the original expiration date of the CVARs, being March 31, 2026. The “hurdle measurement dates” are March 30 of each of years 2023 through 2026. If the hurdle price is not satisfied on any such subsequent annual hurdle measurement date prior to the expiration date of the CVARs, then the CVARs will be forfeited in their entirety on the expiration date.</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During the year ended March 31, 2025, no service-vested CVARs satisfied their applicable hurdle price on the applicable measurement date. During the year ended March 31, 2024, 14,482,570 service-vested CVARs satisfied their applicable hurdle price and the Knock-In Condition, if relevant, on the applicable measurement date, and as a result, 5,366,815 common shares were issued upon their settlement. As of March 31, 2025, 17,548,368 CVARs granted in March 2020 remain outstanding. These CVARs have met the service vesting condition but have not satisfied the $11.50 hurdle price on an applicable hurdle measurement date. The total fair value of CVARs that service-vested during the years ended March 31, 2024 and 2023 was $2.1 million and $16.7 million, respectively. All March 2020 CVARs have been fully expensed since December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12529"/>
        </w:rPr>
        <w:t>November 2021 CVAR Grants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In November 2021, the Company made one-time grants of 6,317,350 CVARs in the aggregate under the RSL 2021 EIP to eligible participants. The CVARs are eligible to vest based on the satisfaction of service-based and performance-based vesting requirements. The performance-based vesting requirement was achieved in December 2021. Vested CVARs will be settled in common shares, up to a specified cap price.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Activity for CVARs under the RSL 2021 EIP for the year ended March 31, 2025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212529"/>
              </w:rPr>
              <w:t>Weighted Average</w:t>
            </w:r>
          </w:p>
        </w:tc>
      </w:tr>
      <w:tr>
        <w:trPr>
          <w:trHeight w:val="216"/>
        </w:trPr>
        <w:tc>
          <w:tcPr>
            <w:tcW w:w="4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Grant Date Fair</w:t>
            </w:r>
          </w:p>
        </w:tc>
      </w:tr>
      <w:tr>
        <w:trPr>
          <w:trHeight w:val="245"/>
        </w:trPr>
        <w:tc>
          <w:tcPr>
            <w:tcW w:w="41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212529"/>
                <w:w w:val="96"/>
              </w:rPr>
              <w:t>Number of CVARs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212529"/>
                <w:w w:val="97"/>
              </w:rPr>
              <w:t>Value</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Non-vested balance at March 31, 2024</w:t>
            </w:r>
          </w:p>
        </w:tc>
        <w:tc>
          <w:tcPr>
            <w:tcW w:w="39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1,782,078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4.89</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212529"/>
              </w:rPr>
              <w:t>Granted</w:t>
            </w:r>
          </w:p>
        </w:tc>
        <w:tc>
          <w:tcPr>
            <w:tcW w:w="39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12529"/>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12529"/>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(1,186,418)</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212529"/>
              </w:rPr>
              <w:t>Forfeited</w:t>
            </w:r>
          </w:p>
        </w:tc>
        <w:tc>
          <w:tcPr>
            <w:tcW w:w="5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212529"/>
              </w:rPr>
              <w:t>(247,133)</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12529"/>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4.38</w:t>
            </w:r>
          </w:p>
        </w:tc>
      </w:tr>
      <w:tr>
        <w:trPr>
          <w:trHeight w:val="25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Non-vested balance at March 31, 2025</w:t>
            </w:r>
          </w:p>
        </w:tc>
        <w:tc>
          <w:tcPr>
            <w:tcW w:w="39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348,527</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212529"/>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4.89</w:t>
            </w:r>
          </w:p>
        </w:tc>
      </w:tr>
      <w:tr>
        <w:trPr>
          <w:trHeight w:val="564"/>
        </w:trPr>
        <w:tc>
          <w:tcPr>
            <w:tcW w:w="4160" w:type="dxa"/>
            <w:vAlign w:val="bottom"/>
          </w:tcPr>
          <w:p>
            <w:pPr>
              <w:spacing w:after="0"/>
              <w:rPr>
                <w:sz w:val="24"/>
                <w:szCs w:val="24"/>
                <w:color w:val="auto"/>
              </w:rPr>
            </w:pPr>
          </w:p>
        </w:tc>
        <w:tc>
          <w:tcPr>
            <w:tcW w:w="3920" w:type="dxa"/>
            <w:vAlign w:val="bottom"/>
          </w:tcPr>
          <w:p>
            <w:pPr>
              <w:jc w:val="right"/>
              <w:ind w:right="2256"/>
              <w:spacing w:after="0"/>
              <w:rPr>
                <w:sz w:val="20"/>
                <w:szCs w:val="20"/>
                <w:color w:val="auto"/>
              </w:rPr>
            </w:pPr>
            <w:r>
              <w:rPr>
                <w:rFonts w:ascii="Times New Roman" w:cs="Times New Roman" w:eastAsia="Times New Roman" w:hAnsi="Times New Roman"/>
                <w:sz w:val="14"/>
                <w:szCs w:val="14"/>
                <w:color w:val="auto"/>
              </w:rPr>
              <w:t>156</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1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The total fair value of CVARs that vested during the years ended March 31, 2025, 2024 and 2023 was $5.9 million, $6.2 million and $13.0 million, respectively. During the year ended March 31, 2025, 1,186,418 common shares were issued upon their settlement.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At March 31, 2025, total unrecognized compensation expense related to non-vested CVARs was approximately $44 thousand and is expected to be recognized over a weighted-average period of approximately 0.12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Separation Agreement with former Chairman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In February 2023, the Company entered into a Separation and Mutual Release Agreement with its former Chairman. Pursuant to the terms of this agreement, all non-vested performance stock options were accelerated and deemed fully vested, and the time-based service requirement for all non-vested CVARs was accelerated and deemed satisfied, in each case as of the separation date. Share-based compensation expense included in G&amp;A expense for the year ended March 31, 2023 includes a reversal of expense of $20.8 million related to the modification of these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(B) Employee Stock Purchase Plan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In September 2021, the Company adopted the Roivant Sciences Ltd. Employee Stock Purchase Plan (the “RSL ESPP”), which provides eligible employees, as defined by the RSL ESPP, the opportunity to purchase stock under the RSL ESPP at a price equal to 85% of the lower of the closing price on</w:t>
      </w:r>
    </w:p>
    <w:p>
      <w:pPr>
        <w:jc w:val="both"/>
        <w:ind w:firstLine="8"/>
        <w:spacing w:after="0" w:line="255" w:lineRule="auto"/>
        <w:tabs>
          <w:tab w:leader="none" w:pos="228" w:val="left"/>
        </w:tabs>
        <w:numPr>
          <w:ilvl w:val="0"/>
          <w:numId w:val="9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first trading day, or (ii) the last trading day of each offering period. Contributions under the RSL ESPP are limited to a maximum of 15% of an employee’s base salary during the offering period and an annual maximum of $25 thousand. The Company opened enrollment in August 2022 for a three-month initial offering period, beginning October 2022, with additional six-month offering periods following thereafter.</w:t>
      </w:r>
    </w:p>
    <w:p>
      <w:pPr>
        <w:spacing w:after="0" w:line="1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During the years ended March 31, 2025, 2024 and 2023, 118,640, 140,227 and 111,519 common shares were purchased and issued under the RSL ESPP, respectively. Share-based compensation expense recorded was approximately $0.5 million, $0.5 million and $0.3 million for the years ended March 31,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 Subsidiary Equity Incentive Plans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Certain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The Company recorded share-based compensation expense of $56.1 million, $54.9 million and $36.5 million for the years ended March 31, 2025, 2024 and 2023, respectively, related to subsidiary EIPs. At March 31, 2025, total unrecognized compensation expense related to subsidiary equity was approximately $109.1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(D) Cash Bonus Program</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During the year ended March 31, 2024, the Company approved a special one-time cash retention bonus award to its employees in the aggregate amount of $79.7 million (the “Cash Bonus Program”). During the years ended March 31, 2025 and 2024, the Company recognized general and administrative expense of $21.2 million and $35.6 million, respectively, and research and development expense of $5.8 million and $9.9 million, respectively, relating to the Cash Bonus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(E) 2024 Senior Executive Compensation Program Cash Awards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Pursuant to the 2024 Senior Executive Compensation Program, the Compensation Committee of the board of directors approved the following one-time cash retention awards in July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Cash Awards</w:t>
            </w:r>
          </w:p>
        </w:tc>
      </w:tr>
      <w:tr>
        <w:trPr>
          <w:trHeight w:val="245"/>
        </w:trPr>
        <w:tc>
          <w:tcPr>
            <w:tcW w:w="492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tcPr>
          <w:p>
            <w:pPr>
              <w:spacing w:after="0"/>
              <w:rPr>
                <w:sz w:val="21"/>
                <w:szCs w:val="21"/>
                <w:color w:val="auto"/>
              </w:rPr>
            </w:pPr>
          </w:p>
        </w:tc>
        <w:tc>
          <w:tcPr>
            <w:tcW w:w="49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Gline</w:t>
            </w:r>
          </w:p>
        </w:tc>
        <w:tc>
          <w:tcPr>
            <w:tcW w:w="100" w:type="dxa"/>
            <w:vAlign w:val="bottom"/>
            <w:shd w:val="clear" w:color="auto" w:fill="CCEEFF"/>
          </w:tcPr>
          <w:p>
            <w:pPr>
              <w:spacing w:after="0"/>
              <w:rPr>
                <w:sz w:val="18"/>
                <w:szCs w:val="18"/>
                <w:color w:val="auto"/>
              </w:rPr>
            </w:pPr>
          </w:p>
        </w:tc>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Mayukh Sukhatme</w:t>
            </w:r>
          </w:p>
        </w:tc>
        <w:tc>
          <w:tcPr>
            <w:tcW w:w="1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Investment Officer</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80,550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Venker</w:t>
            </w:r>
          </w:p>
        </w:tc>
        <w:tc>
          <w:tcPr>
            <w:tcW w:w="1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7,465</w:t>
            </w: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Mr. Gline and Dr. Venker received 75% of their respective cash retention awards as of March 31, 2025. The remaining 25% of the award will vest and become payable on or about September 19, 2025, in each case subject to the executive’s continuous service through the applicable vesting date.</w:t>
      </w:r>
    </w:p>
    <w:p>
      <w:pPr>
        <w:spacing w:after="0" w:line="34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3" w:name="page164"/>
    <w:bookmarkEnd w:id="163"/>
    <w:p>
      <w:pPr>
        <w:ind w:left="50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cash retention award provided to Dr. Sukhatme was paid in full as of March 31, 2025. If a Recoupment Event (as defined below) occurs on or prior to September 30, 2025, Dr. Sukhatme will be required to repay to the Company $15.0 million of the retention award. A “Recoupment Event” will be deemed to occur if (x) Dr. Sukhatme’s employment in good standing is terminated or otherwise ceases for any reason (except as provided in the following sentence) or (y) Dr. Sukhatme breaches any of his restrictive covenant obligations. In the event Dr. Sukhatme’s employment is terminated by the Company without “cause” (as defined in Dr. Sukhatme’s employment agreement) or due to death or disability, no portion of the cash retention award will be subject to repayment, provided that Dr. Sukhatme executes and does not revoke a release of claims. No Recoupment Event had occurred as of March 31, 2025.</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As a result of the cash retention rewards, the Company recognized general and administrative expense of $86.4 million during the year ended March 31, 2025. The remaining portion of $7.3 million as of March 31, 2025 will be recognized over the applicable service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10—Income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The (</w:t>
      </w:r>
      <w:r>
        <w:rPr>
          <w:rFonts w:ascii="Times New Roman" w:cs="Times New Roman" w:eastAsia="Times New Roman" w:hAnsi="Times New Roman"/>
          <w:sz w:val="18"/>
          <w:szCs w:val="18"/>
          <w:color w:val="000000"/>
        </w:rPr>
        <w:t>loss) income before income taxes and the related expense (benefit)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8"/>
                <w:szCs w:val="18"/>
                <w:b w:val="1"/>
                <w:bCs w:val="1"/>
                <w:color w:val="212529"/>
              </w:rPr>
              <w:t>Years Ended March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212529"/>
              </w:rPr>
              <w:t>2024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12529"/>
              </w:rPr>
              <w:t>2023</w:t>
            </w:r>
          </w:p>
        </w:tc>
        <w:tc>
          <w:tcPr>
            <w:tcW w:w="100" w:type="dxa"/>
            <w:vAlign w:val="bottom"/>
          </w:tcPr>
          <w:p>
            <w:pPr>
              <w:spacing w:after="0"/>
              <w:rPr>
                <w:sz w:val="19"/>
                <w:szCs w:val="19"/>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212529"/>
              </w:rPr>
              <w:t>(Loss) income before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212529"/>
              </w:rPr>
              <w:t>Bermuda</w:t>
            </w:r>
            <w:r>
              <w:rPr>
                <w:rFonts w:ascii="Times New Roman" w:cs="Times New Roman" w:eastAsia="Times New Roman" w:hAnsi="Times New Roman"/>
                <w:sz w:val="25"/>
                <w:szCs w:val="25"/>
                <w:color w:val="212529"/>
                <w:vertAlign w:val="superscript"/>
              </w:rPr>
              <w:t>(1)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(80,590)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12529"/>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12529"/>
              </w:rPr>
              <w:t>5,189,812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12529"/>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12529"/>
              </w:rPr>
              <w:t>(40,738)</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United States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(174,763)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12529"/>
              </w:rPr>
              <w:t>(232,592)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12529"/>
              </w:rPr>
              <w:t>(437,944)</w:t>
            </w: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Switzerland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(426,478)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212529"/>
              </w:rPr>
              <w:t>(389,948)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12529"/>
              </w:rPr>
              <w:t>(402,611)</w:t>
            </w:r>
          </w:p>
        </w:tc>
      </w:tr>
      <w:tr>
        <w:trPr>
          <w:trHeight w:val="22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Other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12529"/>
              </w:rPr>
              <w:t>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12529"/>
              </w:rPr>
              <w:t>(3,697)</w:t>
            </w:r>
          </w:p>
        </w:tc>
      </w:tr>
      <w:tr>
        <w:trPr>
          <w:trHeight w:val="257"/>
        </w:trPr>
        <w:tc>
          <w:tcPr>
            <w:tcW w:w="7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212529"/>
              </w:rPr>
              <w:t>Total (loss) income from continuing operations before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12529"/>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4,567,856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12529"/>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(884,990)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87" w:lineRule="exact"/>
        <w:rPr>
          <w:sz w:val="20"/>
          <w:szCs w:val="20"/>
          <w:color w:val="auto"/>
        </w:rPr>
      </w:pPr>
    </w:p>
    <w:p>
      <w:pPr>
        <w:ind w:left="440" w:hanging="432"/>
        <w:spacing w:after="0"/>
        <w:tabs>
          <w:tab w:leader="none" w:pos="440" w:val="left"/>
        </w:tabs>
        <w:numPr>
          <w:ilvl w:val="0"/>
          <w:numId w:val="96"/>
        </w:numPr>
        <w:rPr>
          <w:rFonts w:ascii="Times New Roman" w:cs="Times New Roman" w:eastAsia="Times New Roman" w:hAnsi="Times New Roman"/>
          <w:sz w:val="30"/>
          <w:szCs w:val="30"/>
          <w:color w:val="212529"/>
          <w:vertAlign w:val="superscript"/>
        </w:rPr>
      </w:pPr>
      <w:r>
        <w:rPr>
          <w:rFonts w:ascii="Times New Roman" w:cs="Times New Roman" w:eastAsia="Times New Roman" w:hAnsi="Times New Roman"/>
          <w:sz w:val="18"/>
          <w:szCs w:val="18"/>
          <w:color w:val="212529"/>
        </w:rPr>
        <w:t>Primarily entities which are centrally managed and controlled in the U.K. and are subject to U.K. taxes.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212529"/>
              </w:rPr>
              <w:t>Years Ended March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12529"/>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212529"/>
              </w:rPr>
              <w:t>2023</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212529"/>
              </w:rPr>
              <w:t>Current taxes: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Bermuda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r>
      <w:tr>
        <w:trPr>
          <w:trHeight w:val="257"/>
        </w:trPr>
        <w:tc>
          <w:tcPr>
            <w:tcW w:w="73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212529"/>
              </w:rPr>
              <w:t>United States</w:t>
            </w:r>
            <w:r>
              <w:rPr>
                <w:rFonts w:ascii="Times New Roman" w:cs="Times New Roman" w:eastAsia="Times New Roman" w:hAnsi="Times New Roman"/>
                <w:sz w:val="29"/>
                <w:szCs w:val="29"/>
                <w:color w:val="212529"/>
                <w:vertAlign w:val="superscript"/>
              </w:rPr>
              <w:t>(1)</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48,174</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21,813</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4,204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Switzerland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Other</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(310)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12529"/>
              </w:rPr>
              <w:t>(122)</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12529"/>
              </w:rPr>
              <w:t>Total current tax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21,503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4,082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212529"/>
              </w:rPr>
              <w:t>Deferred taxes: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Bermuda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United States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Switzerland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Other</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212529"/>
              </w:rPr>
              <w:t>Total deferred tax benefit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212529"/>
              </w:rPr>
              <w:t>Total income tax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21,503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4,082</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440" w:hanging="432"/>
        <w:spacing w:after="0"/>
        <w:tabs>
          <w:tab w:leader="none" w:pos="440" w:val="left"/>
        </w:tabs>
        <w:numPr>
          <w:ilvl w:val="0"/>
          <w:numId w:val="97"/>
        </w:numPr>
        <w:rPr>
          <w:rFonts w:ascii="Times New Roman" w:cs="Times New Roman" w:eastAsia="Times New Roman" w:hAnsi="Times New Roman"/>
          <w:sz w:val="30"/>
          <w:szCs w:val="30"/>
          <w:color w:val="212529"/>
          <w:vertAlign w:val="superscript"/>
        </w:rPr>
      </w:pPr>
      <w:r>
        <w:rPr>
          <w:rFonts w:ascii="Times New Roman" w:cs="Times New Roman" w:eastAsia="Times New Roman" w:hAnsi="Times New Roman"/>
          <w:sz w:val="18"/>
          <w:szCs w:val="18"/>
          <w:color w:val="auto"/>
        </w:rPr>
        <w:t>Inclusive of the state and local income taxes.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212529"/>
        </w:rPr>
        <w:t>A reconciliation of income tax expense computed at the Bermuda statutory rate to income tax expense reflected in the consolidated financial statements is as follows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5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212529"/>
              </w:rPr>
              <w:t>March 31, 2024</w:t>
            </w:r>
          </w:p>
        </w:tc>
        <w:tc>
          <w:tcPr>
            <w:tcW w:w="5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212529"/>
              </w:rPr>
              <w:t>March 31, 2023</w:t>
            </w:r>
          </w:p>
        </w:tc>
        <w:tc>
          <w:tcPr>
            <w:tcW w:w="5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12529"/>
              </w:rPr>
              <w:t>Income tax expense at Bermuda statutory</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212529"/>
              </w:rPr>
              <w:t>tax rate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12529"/>
                <w:w w:val="88"/>
              </w:rPr>
              <w:t>$</w:t>
            </w:r>
          </w:p>
        </w:tc>
        <w:tc>
          <w:tcPr>
            <w:tcW w:w="16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212529"/>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12529"/>
                <w:w w:val="88"/>
              </w:rPr>
              <w:t>$</w:t>
            </w:r>
          </w:p>
        </w:tc>
        <w:tc>
          <w:tcPr>
            <w:tcW w:w="1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21252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w:t>
            </w:r>
          </w:p>
        </w:tc>
      </w:tr>
      <w:tr>
        <w:trPr>
          <w:trHeight w:val="216"/>
        </w:trPr>
        <w:tc>
          <w:tcPr>
            <w:tcW w:w="31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212529"/>
              </w:rPr>
              <w:t>Foreign rate differential</w:t>
            </w:r>
            <w:r>
              <w:rPr>
                <w:rFonts w:ascii="Times New Roman" w:cs="Times New Roman" w:eastAsia="Times New Roman" w:hAnsi="Times New Roman"/>
                <w:sz w:val="25"/>
                <w:szCs w:val="25"/>
                <w:color w:val="212529"/>
                <w:vertAlign w:val="superscript"/>
              </w:rPr>
              <w:t>(1)</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(112,413)</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16.49%</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12529"/>
              </w:rPr>
              <w:t>1,196,877</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26.20%</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(163,093)</w:t>
            </w:r>
          </w:p>
        </w:tc>
        <w:tc>
          <w:tcPr>
            <w:tcW w:w="5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12529"/>
              </w:rPr>
              <w:t>18.43%</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Permanent disallowed IPR&amp;D</w:t>
            </w:r>
          </w:p>
        </w:tc>
        <w:tc>
          <w:tcPr>
            <w:tcW w:w="2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212529"/>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17,714</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(2.00)%</w:t>
            </w: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212529"/>
              </w:rPr>
              <w:t>Tax effect of changes in the fair value of</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12529"/>
              </w:rPr>
              <w:t>investments and loss from equity method</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12529"/>
              </w:rPr>
              <w:t>investments</w:t>
            </w:r>
          </w:p>
        </w:tc>
        <w:tc>
          <w:tcPr>
            <w:tcW w:w="2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(12,813)</w:t>
            </w:r>
          </w:p>
        </w:tc>
        <w:tc>
          <w:tcPr>
            <w:tcW w:w="5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12529"/>
              </w:rPr>
              <w:t>15,431</w:t>
            </w:r>
          </w:p>
        </w:tc>
        <w:tc>
          <w:tcPr>
            <w:tcW w:w="5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0.34%</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4,118</w:t>
            </w:r>
          </w:p>
        </w:tc>
        <w:tc>
          <w:tcPr>
            <w:tcW w:w="5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(0.47)%</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Substantial shareholding exemption</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(27,597)</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(1,337,102)</w:t>
            </w:r>
          </w:p>
        </w:tc>
        <w:tc>
          <w:tcPr>
            <w:tcW w:w="5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(29.27)%</w:t>
            </w:r>
          </w:p>
        </w:tc>
        <w:tc>
          <w:tcPr>
            <w:tcW w:w="2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12529"/>
              </w:rPr>
              <w:t>Nondeductible executive compensation</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12529"/>
              </w:rPr>
              <w:t>19,727</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0.43%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20,558</w:t>
            </w:r>
          </w:p>
        </w:tc>
        <w:tc>
          <w:tcPr>
            <w:tcW w:w="5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(2.32)%</w:t>
            </w: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12529"/>
              </w:rPr>
              <w:t>Tax deficiencies (excess tax benefits)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from stock-based compensation</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(16,676)</w:t>
            </w:r>
          </w:p>
        </w:tc>
        <w:tc>
          <w:tcPr>
            <w:tcW w:w="5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212529"/>
              </w:rPr>
              <w:t>(21,668)</w:t>
            </w:r>
          </w:p>
        </w:tc>
        <w:tc>
          <w:tcPr>
            <w:tcW w:w="5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(0.47)%</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3,311</w:t>
            </w:r>
          </w:p>
        </w:tc>
        <w:tc>
          <w:tcPr>
            <w:tcW w:w="5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(0.37)%</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12529"/>
              </w:rPr>
              <w:t>Other permanent adjustments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12529"/>
              </w:rPr>
              <w:t>40,085</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0.88%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12,065</w:t>
            </w:r>
          </w:p>
        </w:tc>
        <w:tc>
          <w:tcPr>
            <w:tcW w:w="5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(1.36)%</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Research tax credits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(31,840)</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212529"/>
              </w:rPr>
              <w:t>(22,863)</w:t>
            </w:r>
          </w:p>
        </w:tc>
        <w:tc>
          <w:tcPr>
            <w:tcW w:w="5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(0.50)%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12529"/>
              </w:rPr>
              <w:t>(12,217)</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212529"/>
              </w:rPr>
              <w:t>1.38%</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12529"/>
              </w:rPr>
              <w:t>Valuation allowance</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134,855</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12529"/>
              </w:rPr>
              <w:t>43,754</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0.96%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108,000</w:t>
            </w:r>
          </w:p>
        </w:tc>
        <w:tc>
          <w:tcPr>
            <w:tcW w:w="5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(12.20)%</w:t>
            </w:r>
          </w:p>
        </w:tc>
      </w:tr>
      <w:tr>
        <w:trPr>
          <w:trHeight w:val="257"/>
        </w:trPr>
        <w:tc>
          <w:tcPr>
            <w:tcW w:w="31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212529"/>
              </w:rPr>
              <w:t>Reversal of certain deferred tax assets</w:t>
            </w:r>
            <w:r>
              <w:rPr>
                <w:rFonts w:ascii="Times New Roman" w:cs="Times New Roman" w:eastAsia="Times New Roman" w:hAnsi="Times New Roman"/>
                <w:sz w:val="29"/>
                <w:szCs w:val="29"/>
                <w:color w:val="212529"/>
                <w:vertAlign w:val="superscript"/>
              </w:rPr>
              <w:t>(2)</w:t>
            </w: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25,062</w:t>
            </w: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87,262</w:t>
            </w:r>
          </w:p>
        </w:tc>
        <w:tc>
          <w:tcPr>
            <w:tcW w:w="56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11,630</w:t>
            </w:r>
          </w:p>
        </w:tc>
        <w:tc>
          <w:tcPr>
            <w:tcW w:w="5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12529"/>
              </w:rPr>
              <w:t>Other</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(2,058)</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18"/>
                <w:szCs w:val="18"/>
                <w:color w:val="auto"/>
              </w:rPr>
            </w:pPr>
          </w:p>
        </w:tc>
        <w:tc>
          <w:tcPr>
            <w:tcW w:w="16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21252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1,996</w:t>
            </w:r>
          </w:p>
        </w:tc>
        <w:tc>
          <w:tcPr>
            <w:tcW w:w="5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(0.23)%</w:t>
            </w:r>
          </w:p>
        </w:tc>
      </w:tr>
      <w:tr>
        <w:trPr>
          <w:trHeight w:val="27"/>
        </w:trPr>
        <w:tc>
          <w:tcPr>
            <w:tcW w:w="3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Total income tax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12529"/>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21,503</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12529"/>
              </w:rPr>
              <w:t>0.47%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12529"/>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4,082</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(0.46)%</w:t>
            </w: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87" w:lineRule="exact"/>
        <w:rPr>
          <w:sz w:val="20"/>
          <w:szCs w:val="20"/>
          <w:color w:val="auto"/>
        </w:rPr>
      </w:pPr>
    </w:p>
    <w:p>
      <w:pPr>
        <w:ind w:left="440" w:hanging="432"/>
        <w:spacing w:after="0"/>
        <w:tabs>
          <w:tab w:leader="none" w:pos="440" w:val="left"/>
        </w:tabs>
        <w:numPr>
          <w:ilvl w:val="0"/>
          <w:numId w:val="98"/>
        </w:numPr>
        <w:rPr>
          <w:rFonts w:ascii="Times New Roman" w:cs="Times New Roman" w:eastAsia="Times New Roman" w:hAnsi="Times New Roman"/>
          <w:sz w:val="30"/>
          <w:szCs w:val="30"/>
          <w:color w:val="212529"/>
          <w:vertAlign w:val="superscript"/>
        </w:rPr>
      </w:pPr>
      <w:r>
        <w:rPr>
          <w:rFonts w:ascii="Times New Roman" w:cs="Times New Roman" w:eastAsia="Times New Roman" w:hAnsi="Times New Roman"/>
          <w:sz w:val="18"/>
          <w:szCs w:val="18"/>
          <w:color w:val="212529"/>
        </w:rPr>
        <w:t>Primarily related to operations in the U.S., Switzerland, the U.K., and other jurisdictions with statutory tax rates different than the Bermuda rate.</w:t>
      </w:r>
    </w:p>
    <w:p>
      <w:pPr>
        <w:spacing w:after="0" w:line="1" w:lineRule="exact"/>
        <w:rPr>
          <w:rFonts w:ascii="Times New Roman" w:cs="Times New Roman" w:eastAsia="Times New Roman" w:hAnsi="Times New Roman"/>
          <w:sz w:val="30"/>
          <w:szCs w:val="30"/>
          <w:color w:val="212529"/>
          <w:vertAlign w:val="superscript"/>
        </w:rPr>
      </w:pPr>
    </w:p>
    <w:p>
      <w:pPr>
        <w:ind w:left="440" w:right="180" w:hanging="432"/>
        <w:spacing w:after="0" w:line="187" w:lineRule="auto"/>
        <w:tabs>
          <w:tab w:leader="none" w:pos="440" w:val="left"/>
        </w:tabs>
        <w:numPr>
          <w:ilvl w:val="0"/>
          <w:numId w:val="9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Primarily relates to deferred tax assets associated with entities no longer included in the consolidated financial statements (i.e., sold, deconsolidated or liquidated) and Switzerland expiring net operating losses.</w:t>
      </w:r>
    </w:p>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Company’s effective tax rate for the years ended March 31, 2025, 2024 and 2023 was (7.07)%, 0.47% and (0.46)%, respectively. The effective tax rate for the year ended March 31, 2025 is driven by earnings by jurisdiction and a valuation allowance that eliminates the Company’s global net deferred tax assets. The effective tax rate for the year ended March 31, 2024 is driven by the Company’s gain on sale of Telavant net assets, which qualifies for the substantial shareholding exemption in the U.K. and consequently is not subject to the corporation income tax, as well as earnings by jurisdiction and a valuation allowance that eliminates the Company’s global net deferred tax assets. The effective tax rate for the year ended March 31, 2023 is driven by the earnings by jurisdiction and a valuation allowance that eliminates the Company’s global net deferred tax assets.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Deferred taxes reflect the tax effects of the differences between the amounts recorded as assets and liabilities for financial reporting purposes and the comparable amounts recorded for income tax purposes. Significant components of the deferred tax assets (liabilities) at March 31, 2025 and 2024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4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12529"/>
              </w:rPr>
              <w:t>March 31, 2025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12529"/>
              </w:rPr>
              <w:t>March 31, 2024</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212529"/>
              </w:rPr>
              <w:t>Deferred tax assets</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tax credits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54,101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39,536</w:t>
            </w: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Intangible assets</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16,939</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18,167</w:t>
            </w: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41,387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32,124</w:t>
            </w: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Net operating loss</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469,339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359,971</w:t>
            </w: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Share-based compensation</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95,624</w:t>
            </w: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Lease liabilities</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21,687</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12,229</w:t>
            </w:r>
          </w:p>
        </w:tc>
      </w:tr>
      <w:tr>
        <w:trPr>
          <w:trHeight w:val="223"/>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Other assets</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18,001</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14,256</w:t>
            </w:r>
          </w:p>
        </w:tc>
      </w:tr>
      <w:tr>
        <w:trPr>
          <w:trHeight w:val="216"/>
        </w:trPr>
        <w:tc>
          <w:tcPr>
            <w:tcW w:w="854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212529"/>
              </w:rPr>
              <w:t>Subtotal</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724,969</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571,907</w:t>
            </w:r>
          </w:p>
        </w:tc>
        <w:tc>
          <w:tcPr>
            <w:tcW w:w="100" w:type="dxa"/>
            <w:vAlign w:val="bottom"/>
            <w:tcBorders>
              <w:top w:val="single" w:sz="8" w:color="CCEEFF"/>
            </w:tcBorders>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Valuation allowance</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(701,219)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12529"/>
              </w:rPr>
              <w:t>(558,868)</w:t>
            </w:r>
          </w:p>
        </w:tc>
      </w:tr>
      <w:tr>
        <w:trPr>
          <w:trHeight w:val="216"/>
        </w:trPr>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12529"/>
              </w:rPr>
              <w:t>Deferred tax liabilities</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Depreciation</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Right-of-use assets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(19,270)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(10,008)</w:t>
            </w:r>
          </w:p>
        </w:tc>
      </w:tr>
      <w:tr>
        <w:trPr>
          <w:trHeight w:val="223"/>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Other liabilities</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(3,919)</w:t>
            </w:r>
          </w:p>
        </w:tc>
        <w:tc>
          <w:tcPr>
            <w:tcW w:w="3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(2,386)</w:t>
            </w:r>
          </w:p>
        </w:tc>
      </w:tr>
      <w:tr>
        <w:trPr>
          <w:trHeight w:val="257"/>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Total deferred tax assets/(liabilities)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Company has net operating losses in Switzerland, the U.S. and the U.K. in the amount of $2,582.9 million, $223.3 million and $342.0 million, respectively. The Switzerland net operating losses will expire in varying amounts between March 31, 2026 and March 31, 2032. The U.S. net operating losses can be carried forward indefinitely with utilization limited to 80% of future taxable income for tax years beginning on or after January 1, 2021, while the U.K. and other net operating losses can be carried forward indefinitely as well, with an annual limitation on utilization. The Company has $47.1 million of federal research tax credit carryforwards in the U.S., which will expire in varying amounts between March 31, 2039 and March 31, 2045. Additionally, credits of $7.0 million are related to various states and Canada.</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12529"/>
        </w:rPr>
        <w:t>The Company assesses the realizability of the deferred tax assets at each balance sheet date based on available positive and negative evidence in order to determine the amount which is more likely than not to be realized and record a valuation allowance as necessary. Due to the Company’s cumulative loss position which provides significant negative evidence difficult to overcome, the Company has recorded a valuation allowance of $701.2 million as of March 31, 2025, representing the portion of the deferred tax asset that is not more likely than not to be realized. For the period April 1, 2024 through March 31, 2025, the valuation allowance increased by $142.4 million, primarily as a result of corresponding increases in our global net operating losses. The amount of the deferred tax asset considered realizable could be adjusted for future factors that would impact the assessment of the objective and subjective evidence of the Company. The Company will continue to assess the realizability of deferred tax assets at each balance sheet date in order to determine the amount, if any, required for a valuation allowance.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There are outside basis differences related to the Company’s investment in subsidiaries for which no deferred taxes have been recorded, as these would not be subject to tax on repatriation, as Bermuda has no tax regime for Bermuda exempted limited companies, and the U.K. tax regime relating to company distributions and sales generally provides for exemption from tax for most overseas profits, subject to certain exceptions.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The Company is subject to tax and is required to file U.S., U.K. and Switzerland federal income tax returns, as well as income tax returns in various state, local and foreign jurisdictions. The Company is subject to tax examinations for tax years ended March 31, 2019 and forward in major taxing jurisdictions. Tax audits and examinations can involve complex issues, interpretations and judgments. The resolution of matters may span multiple years particularly if subject to litigation or negotiation. The Company believes it has appropriately recorded its tax position using reasonable estimates and assumptions, however, the potential tax benefits may impact the results of operations or cash flows in the period of resolution, settlement or when the statutes of limitations expire.</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The Company’s unrecognized tax benefit activity during the years ended March 31, 2025, 2024 and 2023 were not material to the Company’s consolidated financial statements. No interest and penalties related to unrecognized tax benefits were recorded as of March 31, 2025, 2024 or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11—Leases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The Company’s operating leases consist primarily of real estate leases, including those entered into by certain wholly owned and majority-owned or controlled subsidiaries of RSL.</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12529"/>
        </w:rPr>
        <w:t>In September 2024, the Company’s subsidiary, Roivant Sciences, Inc. (“RSI”), entered into a lease agreement with One Penn Plaza LLC for office space in New York, NY to serve as the future U.S. corporate headquarters of RSI (the “One Penn Lease”). The One Penn Lease commenced in December 2024 and will expire in August 2041. The lease contains an option to early terminate in August 2036 and an option to extend the term for one additional period of 5 years or 10 years at then-market rates in August 2041. The options to early terminate or extend the lease term were not included in the lease term as it was not reasonably certain that they would be exercised at lease commencement. The lease is classified as an operating lease and includes a period of free rent and tenant improvement incentives. Upon lease commencement, the Company recognized an operating right-of-use asset and lease liability of approximately $49.1 million, net of lease incentives received.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The components of operating lease expense for the Company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212529"/>
              </w:rPr>
              <w:t>Years Ended March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12529"/>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212529"/>
              </w:rPr>
              <w:t>2023</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Operating lease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10,648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10,879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212529"/>
              </w:rPr>
              <w:t>Short-term lease cost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193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Variable lease cost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1,107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2,099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212529"/>
              </w:rPr>
              <w:t>Total operating lease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11,819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13,171</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Information related to the Company’s operating lease right-of-use assets and lease liabilities was as follows (in thousands, except periods and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212529"/>
              </w:rPr>
              <w:t>Years Ended March 31,</w:t>
            </w:r>
          </w:p>
        </w:tc>
        <w:tc>
          <w:tcPr>
            <w:tcW w:w="8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212529"/>
              </w:rPr>
              <w:t>2024</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212529"/>
              </w:rPr>
              <w:t>2023</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Cash paid for operating lease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11,561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11,684</w:t>
            </w:r>
          </w:p>
        </w:tc>
        <w:tc>
          <w:tcPr>
            <w:tcW w:w="100" w:type="dxa"/>
            <w:vAlign w:val="bottom"/>
            <w:shd w:val="clear" w:color="auto" w:fill="CCEEFF"/>
          </w:tcPr>
          <w:p>
            <w:pPr>
              <w:spacing w:after="0"/>
              <w:rPr>
                <w:sz w:val="18"/>
                <w:szCs w:val="18"/>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212529"/>
              </w:rPr>
              <w:t>Operating lease right-of-use assets obtained in exchange for operating lease liabilities</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51,364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12529"/>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719</w:t>
            </w:r>
          </w:p>
        </w:tc>
        <w:tc>
          <w:tcPr>
            <w:tcW w:w="4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212529"/>
              </w:rPr>
              <w:t>$</w:t>
            </w: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212529"/>
              </w:rPr>
              <w:t>4,224</w:t>
            </w:r>
          </w:p>
        </w:tc>
      </w:tr>
      <w:tr>
        <w:trPr>
          <w:trHeight w:val="421"/>
        </w:trPr>
        <w:tc>
          <w:tcPr>
            <w:tcW w:w="6980" w:type="dxa"/>
            <w:vAlign w:val="bottom"/>
          </w:tcPr>
          <w:p>
            <w:pPr>
              <w:spacing w:after="0"/>
              <w:rPr>
                <w:sz w:val="24"/>
                <w:szCs w:val="24"/>
                <w:color w:val="auto"/>
              </w:rPr>
            </w:pPr>
          </w:p>
        </w:tc>
        <w:tc>
          <w:tcPr>
            <w:tcW w:w="2820" w:type="dxa"/>
            <w:vAlign w:val="bottom"/>
            <w:gridSpan w:val="9"/>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color w:val="212529"/>
              </w:rPr>
              <w:t>March 31, 2024</w:t>
            </w:r>
          </w:p>
        </w:tc>
        <w:tc>
          <w:tcPr>
            <w:tcW w:w="80" w:type="dxa"/>
            <w:vAlign w:val="bottom"/>
          </w:tcPr>
          <w:p>
            <w:pPr>
              <w:spacing w:after="0"/>
              <w:rPr>
                <w:sz w:val="24"/>
                <w:szCs w:val="24"/>
                <w:color w:val="auto"/>
              </w:rPr>
            </w:pPr>
          </w:p>
        </w:tc>
        <w:tc>
          <w:tcPr>
            <w:tcW w:w="13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212529"/>
                <w:w w:val="98"/>
              </w:rPr>
              <w:t>March 31, 2023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8.7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w w:val="95"/>
              </w:rPr>
              <w:t>7.7%</w:t>
            </w:r>
          </w:p>
        </w:tc>
      </w:tr>
      <w:tr>
        <w:trPr>
          <w:trHeight w:val="414"/>
        </w:trPr>
        <w:tc>
          <w:tcPr>
            <w:tcW w:w="75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212529"/>
              </w:rPr>
              <w:t>As of March 31, 2025, maturities of operating lease liabilities were as follows (in thousands):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March 31,</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2026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12529"/>
                <w:w w:val="88"/>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10,321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212529"/>
              </w:rPr>
              <w:t>2027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11,345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2028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15,140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212529"/>
              </w:rPr>
              <w:t>2029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15,564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2030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14,834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212529"/>
              </w:rPr>
              <w:t>Thereafter</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12529"/>
              </w:rPr>
              <w:t>109,402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Total lease payments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176,606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212529"/>
              </w:rPr>
              <w:t>Less: present value adjustment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212529"/>
              </w:rPr>
              <w:t>(67,119)</w:t>
            </w:r>
          </w:p>
        </w:tc>
      </w:tr>
      <w:tr>
        <w:trPr>
          <w:trHeight w:val="22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Less: tenant improvement allowance</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212529"/>
              </w:rPr>
              <w:t>(9,317)</w:t>
            </w:r>
          </w:p>
        </w:tc>
      </w:tr>
      <w:tr>
        <w:trPr>
          <w:trHeight w:val="216"/>
        </w:trPr>
        <w:tc>
          <w:tcPr>
            <w:tcW w:w="6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212529"/>
              </w:rPr>
              <w:t>Total lease liabilities</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212529"/>
                <w:w w:val="88"/>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12529"/>
              </w:rPr>
              <w:t>100,170</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12—Commitments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(A)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Lease Commitments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leases, consisting primarily of real estate leases. Refer to Note 11, “Leases” for further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Other Commitments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commitments under various asset acquisition and license agreements. Potential material future milestone payments as of March 31, 2025 pursuant to certain key asset acquisition and license agreements are as follows:</w:t>
      </w:r>
    </w:p>
    <w:p>
      <w:pPr>
        <w:spacing w:after="0" w:line="158" w:lineRule="exact"/>
        <w:rPr>
          <w:sz w:val="20"/>
          <w:szCs w:val="20"/>
          <w:color w:val="auto"/>
        </w:rPr>
      </w:pPr>
    </w:p>
    <w:p>
      <w:pPr>
        <w:ind w:left="500" w:hanging="330"/>
        <w:spacing w:after="0" w:line="263" w:lineRule="auto"/>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Anti-FcRn franchise (Immunovant): </w:t>
      </w:r>
      <w:r>
        <w:rPr>
          <w:rFonts w:ascii="Times New Roman" w:cs="Times New Roman" w:eastAsia="Times New Roman" w:hAnsi="Times New Roman"/>
          <w:sz w:val="18"/>
          <w:szCs w:val="18"/>
          <w:color w:val="auto"/>
        </w:rPr>
        <w:t>up to a maximum of $420.0 million to HanAll Biopharma Co., Ltd. upon the achievement of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and sales milestone events.</w:t>
      </w:r>
    </w:p>
    <w:p>
      <w:pPr>
        <w:ind w:left="500" w:right="20" w:hanging="330"/>
        <w:spacing w:after="0" w:line="250" w:lineRule="auto"/>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Brepocitinib (Priovant Therapeutics, Inc.): </w:t>
      </w:r>
      <w:r>
        <w:rPr>
          <w:rFonts w:ascii="Times New Roman" w:cs="Times New Roman" w:eastAsia="Times New Roman" w:hAnsi="Times New Roman"/>
          <w:sz w:val="18"/>
          <w:szCs w:val="18"/>
          <w:color w:val="auto"/>
        </w:rPr>
        <w:t>mid tens-of-millions sales milestone payment to Pfizer if aggregate net sales in a given year exceed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mid-hundreds-of-millions amount.</w:t>
      </w:r>
    </w:p>
    <w:p>
      <w:pPr>
        <w:ind w:left="500" w:right="420" w:hanging="330"/>
        <w:spacing w:after="0" w:line="260" w:lineRule="auto"/>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Mosliciguat (Pulmovant, Inc.): </w:t>
      </w:r>
      <w:r>
        <w:rPr>
          <w:rFonts w:ascii="Times New Roman" w:cs="Times New Roman" w:eastAsia="Times New Roman" w:hAnsi="Times New Roman"/>
          <w:sz w:val="18"/>
          <w:szCs w:val="18"/>
          <w:color w:val="auto"/>
        </w:rPr>
        <w:t>up to a maximum of $280.0 million to Bayer AG upon the achievement of certain development, regulatory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milestone events.</w:t>
      </w:r>
    </w:p>
    <w:p>
      <w:pPr>
        <w:spacing w:after="0" w:line="1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Royalties are also due on net sales pursuant to these agreements. The Company has further commitments not reflected above relating to other asset acquisition and license agreements entered and expects to enter into additional asset acquisition and license agreements in the future, which may require upfront payments and long-term commitments of capital resources.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Additionally, the Company enters into agreements with contract service providers to assist in the performance of its research and development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12529"/>
        </w:rPr>
        <w:t>In November 2021, the Company’s subsidiary, Immunovant, entered into a Product Service Agreement (“PSA”) with Samsung Biologics Co., Ltd. (“Samsung”) pursuant to which Samsung will manufacture and supply Immunovant with batoclimab drug substance for commercial sale, if approved, and perform other manufacturing-related services with respect to batoclimab. Upon execution of the PSA, Immunovant committed to purchase process performance qualification batches of batoclimab and pre-approval inspection batches of batoclimab which may be used for regulatory submissions and, pending regulatory approval, commercial sale. In addition, Immunovant has a minimum obligation to purchase further batches of batoclimab in the four-year period of 2026 through 2029. As of March 31, 2025, the remaining minimum purchase commitment related to this agreement was estimated to be approximately $43.6 million, of which $5.5 million, $10.1 million, $14.0 million and $14.0 million is expected to be paid during the fiscal years ending March 31, 2026, 2028, 2029, and 2030,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(B) Loss Contingencies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 Indemnification Agreements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12529"/>
        </w:rPr>
        <w:t>The Company is a party to a number of agreements entered into in the ordinary course of business that contain typical provisions that obligate the Company to indemnify the other parties to such agreements upon the occurrence of certain events. The aggregate maximum potential future liability of the Company under such indemnification provisions is uncertain. The Company also indemnifies each of its directors and officers for certain events or occurrences, subject to certain limits. The maximum amount of potential future indemnification is unlimited; however, the Company currently maintains director and officer liability insurance, which may cover certain liabilities arising from the Company’s obligation to indemnify its directors and officers. To date, the Company has not incurred any material costs related to these indemnification obligations and has not accrued any liabilities related to such obligations in the accompanying consolidated financial statements as of March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13—Earn-Out Shares, Public Warrants and Private Placement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issued the following: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660" w:right="2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2,033,591 common shares to Patient Square Capital LLC (the “MAAC Sponsor”) and 10,000 common shares issued to each of MAAC’s independent directors (collectively, the “20% Earn-Out Shares”), which will vest if the closing price of the Company’s common shares is greater than or equal to $15.00 over any 20 out of 30 trading day period during the Vesting Period (defined below).</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1,016,796 common shares issued to the MAAC Sponsor and 5,000 common shares issued to each of MAAC’s independent directors (collectively, the “10% Earn-Out Shares” and, together with the 20% Earn-Out Shares, the “Earn-Out Shares”), each in respect of its MAAC Class B Shares, will vest if the closing price of the Company’s common shares is greater than or equal to $20.00 over any 20 out of 30 trading day period during the Vesting Period (as defined below).</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number of common shares issued to the MAAC Sponsor and each of MAAC’s independent directors are not subject to the vesting conditions described above.</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Vesting Period commenced on November 9, 2021 and ends no later than September 30, 2026 (the “Vesting Period”). The Vesting Period will, if a definitive purchase agreement with respect to a Sale (as defined in the Sponsor Support Agreement) is entered into on or prior to the end of such period, be extended to the earlier of one day after the consummation of such Sale and the termination of such definitive transaction agreement, and if a Sale occurs during such Vesting Period, then all of the Earn-Out Shares unvested as of such time will automatically vest immediately prior to the consummation of such Sale. If any Earn-Out Shares have not vested on or prior to the end of such Vesting Period, then such Earn-Out Shares will be forfeited.</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Earn-Out Shares require liability classification and are classified as “Liability instruments measured at fair value” on the accompanying consolidated balance sheets. The Earn-Out Shares liability is subject to remeasurement at each balance sheet date with changes in fair value recognized in the Company’s consolidated statements of operations. As of March 31, 2025, no Earn-Out Shares have vested.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Immediately following the Business Combination, the Company had 10,214,365 outstanding warrants for the purchase of one of the Company’s common shares, which were held by the MAAC Sponsor at an exercise price of $11.50 (the “Private Placement Warrants”), and 20,535,896 outstanding warrants for the purchase of one of the Company’s common shares, which were held by MAAC’s shareholders at an exercise price of $11.50 (the “Public Warrants” and, together with the Private Placement Warrants, the “Warrants”). Pursuant to the Warrant Agreement, dated October 6, 2020, by and between MAAC and Continental Stock Transfer &amp; Trust Company, as predecessor warrant agent, as modified by the Warrant Assumption Agreement, dated September 30, 2021, by and among MAAC, the Company and American Stock Transfer &amp; Trust Company, LLC as successor warrant agent (as modified, the “Warrant Agreement”), the Warrants became exercisable 30 days following the completion of the Business Combination and would expire five years after the completion of the Business Combination, or earlier upon redemption or liquidation.</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their settlement, the Warrants required liability classification and were classified as “Liability instruments measured at fair value” on the consolidated balance sheets. The Private Placement Warrants liability and Public Warrants liability were subject to remeasurement with changes in fair value recognized in the Company’s statements of operations. The Warrants were remeasured immediately prior to settlement. These remeasurements were recognized in “Change in fair value of debt and liability instruments” in the accompanying consolidated statements of operations.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August 2, 2023, the Company announced that it would redeem all Warrants that remained outstanding on September 1, 2023 (the “Redemption Date”).</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the Warrant Agreement, the Company was entitled to redeem the Public Warrants at a redemption price of $0.10 per Public Warrant because the last reported sales price (the “Reference Value”) of the Company’s common shares was at least $10.00 per share for any 20 trading days within the 30 trading-day period ending on the third trading day prior to the date on which RSL gave a Notice of Redemption. In addition, because the Reference Value was less than $18.00 per share, the outstanding Private Placement Warrants were also required to be concurrently called for redemption on the same terms as the outstanding Public Warrants. This share price performance requirement was satisfied as of July 28, 2023.</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Prior to the Redemption Date, Warrant holders were permitted to exercise the Warrants (i) for cash, at an exercise price of $11.50 per common share, or (ii) on a “cashless basis” whereby, in lieu of paying the Company the $11.50 exercise price per common share, the surrendering holder would receive approximately 0.2495 common shares per Warrant as determined in accordance with the terms of the Warrant Agreement.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Of the 20,475,875 Public Warrants that were outstanding as of June 30, 2023, 397 Public Warrants were exercised for cash at an exercise price of $11.50 per common share in exchange for an aggregate of 397 common shares and 20,061,507 were exercised on a cashless basis in exchange for an aggregate of 5,005,531 common shares. The remaining 413,971 unexercised Public Warrants were redeemed at the $0.10 redemption price. In addition, all of the Private Placement Warrants were exercised on a cashless basis in exchange for an aggregate of 2,548,621 common shares.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14—Fair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Recurring Fair Value Measurements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the Company’s assets and liabilities that are measured at fair value on a recurring basis as of March 31, 2025 and 2024, by level, within the fair value hierarchy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212529"/>
              </w:rPr>
              <w:t>As of March 31, 2025</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212529"/>
              </w:rPr>
              <w:t>As of March 31, 2024</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12529"/>
              </w:rPr>
              <w:t>Balance as</w:t>
            </w:r>
          </w:p>
        </w:tc>
        <w:tc>
          <w:tcPr>
            <w:tcW w:w="100" w:type="dxa"/>
            <w:vAlign w:val="bottom"/>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Balance as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12529"/>
                <w:w w:val="97"/>
              </w:rPr>
              <w:t>of March</w:t>
            </w:r>
          </w:p>
        </w:tc>
      </w:tr>
      <w:tr>
        <w:trPr>
          <w:trHeight w:val="245"/>
        </w:trPr>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212529"/>
              </w:rPr>
              <w:t>Level 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212529"/>
              </w:rPr>
              <w:t>Level 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212529"/>
              </w:rPr>
              <w:t>Level 3</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212529"/>
              </w:rPr>
              <w:t>March 31, 2025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212529"/>
              </w:rPr>
              <w:t>Level 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212529"/>
              </w:rPr>
              <w:t>Level 2</w:t>
            </w:r>
          </w:p>
        </w:tc>
        <w:tc>
          <w:tcPr>
            <w:tcW w:w="120" w:type="dxa"/>
            <w:vAlign w:val="bottom"/>
          </w:tcPr>
          <w:p>
            <w:pPr>
              <w:spacing w:after="0"/>
              <w:rPr>
                <w:sz w:val="21"/>
                <w:szCs w:val="21"/>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212529"/>
              </w:rPr>
              <w:t>Level 3</w:t>
            </w:r>
          </w:p>
        </w:tc>
        <w:tc>
          <w:tcPr>
            <w:tcW w:w="100" w:type="dxa"/>
            <w:vAlign w:val="bottom"/>
          </w:tcPr>
          <w:p>
            <w:pPr>
              <w:spacing w:after="0"/>
              <w:rPr>
                <w:sz w:val="21"/>
                <w:szCs w:val="21"/>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12529"/>
                <w:w w:val="98"/>
              </w:rPr>
              <w:t>31, 2024</w:t>
            </w:r>
          </w:p>
        </w:tc>
        <w:tc>
          <w:tcPr>
            <w:tcW w:w="100" w:type="dxa"/>
            <w:vAlign w:val="bottom"/>
          </w:tcPr>
          <w:p>
            <w:pPr>
              <w:spacing w:after="0"/>
              <w:rPr>
                <w:sz w:val="21"/>
                <w:szCs w:val="2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212529"/>
              </w:rPr>
              <w:t>Assets:</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2,621,457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212529"/>
              </w:rPr>
              <w:t>—</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12529"/>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2,621,457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12529"/>
              </w:rPr>
              <w:t>6,312,288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21252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6,312,288</w:t>
            </w: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212529"/>
              </w:rPr>
              <w:t>Investment in Datavant Class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212529"/>
              </w:rPr>
              <w:t>A units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167,361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167,361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212529"/>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147,526</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147,526</w:t>
            </w:r>
          </w:p>
        </w:tc>
      </w:tr>
      <w:tr>
        <w:trPr>
          <w:trHeight w:val="198"/>
        </w:trPr>
        <w:tc>
          <w:tcPr>
            <w:tcW w:w="22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12529"/>
              </w:rPr>
              <w:t>Investment in Arbutus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212529"/>
              </w:rPr>
              <w:t>common shares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135,578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135,578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12529"/>
              </w:rPr>
              <w:t>100,227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212529"/>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100,227</w:t>
            </w:r>
          </w:p>
        </w:tc>
      </w:tr>
      <w:tr>
        <w:trPr>
          <w:trHeight w:val="27"/>
        </w:trPr>
        <w:tc>
          <w:tcPr>
            <w:tcW w:w="2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212529"/>
              </w:rPr>
              <w:t>Total assets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2,757,035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212529"/>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12529"/>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167,361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12529"/>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2,924,396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12529"/>
              </w:rPr>
              <w:t>6,412,515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21252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147,526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6,560,041</w:t>
            </w:r>
          </w:p>
        </w:tc>
      </w:tr>
      <w:tr>
        <w:trPr>
          <w:trHeight w:val="20"/>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8"/>
        </w:trPr>
        <w:tc>
          <w:tcPr>
            <w:tcW w:w="22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212529"/>
              </w:rPr>
              <w:t>Liability instruments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1"/>
        </w:trPr>
        <w:tc>
          <w:tcPr>
            <w:tcW w:w="2240" w:type="dxa"/>
            <w:vAlign w:val="bottom"/>
          </w:tcPr>
          <w:p>
            <w:pPr>
              <w:ind w:left="140"/>
              <w:spacing w:after="0" w:line="243" w:lineRule="exact"/>
              <w:rPr>
                <w:sz w:val="20"/>
                <w:szCs w:val="20"/>
                <w:color w:val="auto"/>
              </w:rPr>
            </w:pPr>
            <w:r>
              <w:rPr>
                <w:rFonts w:ascii="Times New Roman" w:cs="Times New Roman" w:eastAsia="Times New Roman" w:hAnsi="Times New Roman"/>
                <w:sz w:val="17"/>
                <w:szCs w:val="17"/>
                <w:color w:val="212529"/>
              </w:rPr>
              <w:t>measured at fair value</w:t>
            </w:r>
            <w:r>
              <w:rPr>
                <w:rFonts w:ascii="Times New Roman" w:cs="Times New Roman" w:eastAsia="Times New Roman" w:hAnsi="Times New Roman"/>
                <w:sz w:val="28"/>
                <w:szCs w:val="28"/>
                <w:color w:val="212529"/>
                <w:vertAlign w:val="superscript"/>
              </w:rPr>
              <w:t>(1)</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9,981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9,981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212529"/>
              </w:rPr>
              <w:t>—</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25,737</w:t>
            </w: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25,737</w:t>
            </w:r>
          </w:p>
        </w:tc>
      </w:tr>
      <w:tr>
        <w:trPr>
          <w:trHeight w:val="25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Total liabilities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7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212529"/>
                <w:w w:val="88"/>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9,981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9,981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212529"/>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25,737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25,737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280" w:hanging="272"/>
        <w:spacing w:after="0" w:line="195" w:lineRule="auto"/>
        <w:tabs>
          <w:tab w:leader="none" w:pos="280" w:val="left"/>
        </w:tabs>
        <w:numPr>
          <w:ilvl w:val="0"/>
          <w:numId w:val="101"/>
        </w:numPr>
        <w:rPr>
          <w:rFonts w:ascii="Times New Roman" w:cs="Times New Roman" w:eastAsia="Times New Roman" w:hAnsi="Times New Roman"/>
          <w:sz w:val="30"/>
          <w:szCs w:val="30"/>
          <w:color w:val="212529"/>
          <w:vertAlign w:val="superscript"/>
        </w:rPr>
      </w:pPr>
      <w:r>
        <w:rPr>
          <w:rFonts w:ascii="Times New Roman" w:cs="Times New Roman" w:eastAsia="Times New Roman" w:hAnsi="Times New Roman"/>
          <w:sz w:val="18"/>
          <w:szCs w:val="18"/>
          <w:color w:val="212529"/>
        </w:rPr>
        <w:t xml:space="preserve">At March 31, 2025, Level 3 includes the fair value of the Earn-Out Shares of $10.0 million. </w:t>
      </w:r>
      <w:r>
        <w:rPr>
          <w:rFonts w:ascii="Times New Roman" w:cs="Times New Roman" w:eastAsia="Times New Roman" w:hAnsi="Times New Roman"/>
          <w:sz w:val="18"/>
          <w:szCs w:val="18"/>
          <w:color w:val="000000"/>
        </w:rPr>
        <w:t>At March 31, 2024, Level 3 includes the fair value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Earn-Out Shares of $22.0 million and other liability instruments issued of $3.7 million</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There were no transfers of assets between Level 1 and Level 2 of the fair value measurement hierarchy that occurred during the years ended March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Level 3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The Company measures its Level 3 assets and liabilities at fair value based on significant inputs not observable in the market, which causes them to be classified as a Level 3 measurement within the fair value hierarchy. The valuation of the Level 3 assets and liabilities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related to updated assumptions and estimates are recorded within the consolidated statements of operations at the end of each reporting period.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The fair value of Level 3 assets and liabilities may change significantly as additional data are obtained, impacting the Company’s assumptions regarding probabilities of potential scenarios used to estimate fair value.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The changes in fair value of the Level 3 assets during the years ended March 31, 2025 and 2024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Balance at March 31, 2023</w:t>
            </w:r>
          </w:p>
        </w:tc>
        <w:tc>
          <w:tcPr>
            <w:tcW w:w="4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178,579</w:t>
            </w:r>
          </w:p>
        </w:tc>
        <w:tc>
          <w:tcPr>
            <w:tcW w:w="10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212529"/>
              </w:rPr>
              <w:t>Changes in fair value of investment in Datavant, included in net income</w:t>
            </w:r>
          </w:p>
        </w:tc>
        <w:tc>
          <w:tcPr>
            <w:tcW w:w="4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12529"/>
              </w:rPr>
              <w:t>(31,053)</w:t>
            </w:r>
          </w:p>
        </w:tc>
      </w:tr>
      <w:tr>
        <w:trPr>
          <w:trHeight w:val="223"/>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Balance at March 31, 2024</w:t>
            </w:r>
          </w:p>
        </w:tc>
        <w:tc>
          <w:tcPr>
            <w:tcW w:w="46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147,526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investment in Datavant, included in net loss</w:t>
            </w:r>
          </w:p>
        </w:tc>
        <w:tc>
          <w:tcPr>
            <w:tcW w:w="4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19,835</w:t>
            </w: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4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360" w:type="dxa"/>
            <w:vAlign w:val="bottom"/>
          </w:tcPr>
          <w:p>
            <w:pPr>
              <w:spacing w:after="0"/>
              <w:rPr>
                <w:sz w:val="24"/>
                <w:szCs w:val="24"/>
                <w:color w:val="auto"/>
              </w:rPr>
            </w:pPr>
          </w:p>
        </w:tc>
        <w:tc>
          <w:tcPr>
            <w:tcW w:w="4660" w:type="dxa"/>
            <w:vAlign w:val="bottom"/>
          </w:tcPr>
          <w:p>
            <w:pPr>
              <w:jc w:val="right"/>
              <w:ind w:right="4199"/>
              <w:spacing w:after="0"/>
              <w:rPr>
                <w:sz w:val="20"/>
                <w:szCs w:val="20"/>
                <w:color w:val="auto"/>
              </w:rPr>
            </w:pPr>
            <w:r>
              <w:rPr>
                <w:rFonts w:ascii="Times New Roman" w:cs="Times New Roman" w:eastAsia="Times New Roman" w:hAnsi="Times New Roman"/>
                <w:sz w:val="14"/>
                <w:szCs w:val="14"/>
                <w:color w:val="auto"/>
              </w:rPr>
              <w:t>164</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212529"/>
              </w:rPr>
              <w:t>The changes in fair value of the Level 3 liabilities during the years ended March 31, 2025 and 2024 were as follows (in thousands):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12529"/>
              </w:rPr>
              <w:t>Balance at March 31, 2023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33,651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Private Placement Warrants</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(28,090)</w:t>
            </w: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12529"/>
              </w:rPr>
              <w:t>Changes in fair value of liability instruments, included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20,176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Balance at March 31, 2024</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rPr>
              <w:t>25,737</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liability instruments, included in net loss</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Investment in Datavant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12529"/>
        </w:rPr>
        <w:t>The Company elected the fair value option to account for the investment in Datavant. The estimate of fair value for this investment was determined using the income approach, market approach and implementation of the option pricing method (“OPM”). The income approach is based on the future expected cash flows, which are derived from certain assumptions attributable to Datavant including estimates of revenue growth rate, earnings before interest, taxes, depreciation and amortization and terminal growth rate. These expected cash flows are then discounted to their present value using a discount rate that reflects the risk and time value of money. The market approach estimates value by using valuation multiples derived from the stock prices of comparable publicly traded companies to determine the company’s equity value.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 The fair value was calculated using significant unobservable inputs including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6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212529"/>
              </w:rPr>
              <w:t>Point Estimate Used</w:t>
            </w:r>
          </w:p>
        </w:tc>
      </w:tr>
      <w:tr>
        <w:trPr>
          <w:trHeight w:val="223"/>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Input</w:t>
            </w:r>
          </w:p>
        </w:tc>
        <w:tc>
          <w:tcPr>
            <w:tcW w:w="1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212529"/>
              </w:rPr>
              <w:t>As of March 31, 2025</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As of March 31, 2024</w:t>
            </w:r>
          </w:p>
        </w:tc>
        <w:tc>
          <w:tcPr>
            <w:tcW w:w="100" w:type="dxa"/>
            <w:vAlign w:val="bottom"/>
          </w:tcPr>
          <w:p>
            <w:pPr>
              <w:spacing w:after="0"/>
              <w:rPr>
                <w:sz w:val="19"/>
                <w:szCs w:val="19"/>
                <w:color w:val="auto"/>
              </w:rPr>
            </w:pPr>
          </w:p>
        </w:tc>
      </w:tr>
      <w:tr>
        <w:trPr>
          <w:trHeight w:val="216"/>
        </w:trPr>
        <w:tc>
          <w:tcPr>
            <w:tcW w:w="7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Volatility</w:t>
            </w:r>
          </w:p>
        </w:tc>
        <w:tc>
          <w:tcPr>
            <w:tcW w:w="1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212529"/>
              </w:rPr>
              <w:t>110.0%</w:t>
            </w:r>
          </w:p>
        </w:tc>
        <w:tc>
          <w:tcPr>
            <w:tcW w:w="2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8"/>
                <w:szCs w:val="18"/>
                <w:color w:val="auto"/>
              </w:rPr>
            </w:pPr>
          </w:p>
        </w:tc>
      </w:t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Discount rate</w:t>
            </w: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212529"/>
              </w:rPr>
              <w:t>13.0%</w:t>
            </w:r>
          </w:p>
        </w:tc>
        <w:tc>
          <w:tcPr>
            <w:tcW w:w="220" w:type="dxa"/>
            <w:vAlign w:val="bottom"/>
          </w:tcPr>
          <w:p>
            <w:pPr>
              <w:spacing w:after="0"/>
              <w:rPr>
                <w:sz w:val="20"/>
                <w:szCs w:val="20"/>
                <w:color w:val="auto"/>
              </w:rPr>
            </w:pP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Earn-Out Shares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The fair value of the Earn-Out Shares issued as part of the Business Combination was calculated using the Monte Carlo simulation method under the income approach. Refer to Note 13, “Earn-Out Shares, Public Warrants and Private Placement Warrants” for additional details. Significant unobservable inputs used to calculate the fair value of the Earn-Out Shares included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6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212529"/>
              </w:rPr>
              <w:t>Point Estimate Used</w:t>
            </w:r>
          </w:p>
        </w:tc>
      </w:tr>
      <w:tr>
        <w:trPr>
          <w:trHeight w:val="223"/>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Input</w:t>
            </w:r>
          </w:p>
        </w:tc>
        <w:tc>
          <w:tcPr>
            <w:tcW w:w="1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212529"/>
              </w:rPr>
              <w:t>As of March 31, 2025</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As of March 31, 2024</w:t>
            </w:r>
          </w:p>
        </w:tc>
        <w:tc>
          <w:tcPr>
            <w:tcW w:w="100" w:type="dxa"/>
            <w:vAlign w:val="bottom"/>
          </w:tcPr>
          <w:p>
            <w:pPr>
              <w:spacing w:after="0"/>
              <w:rPr>
                <w:sz w:val="19"/>
                <w:szCs w:val="19"/>
                <w:color w:val="auto"/>
              </w:rPr>
            </w:pPr>
          </w:p>
        </w:tc>
      </w:tr>
      <w:tr>
        <w:trPr>
          <w:trHeight w:val="216"/>
        </w:trPr>
        <w:tc>
          <w:tcPr>
            <w:tcW w:w="7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Volatility</w:t>
            </w:r>
          </w:p>
        </w:tc>
        <w:tc>
          <w:tcPr>
            <w:tcW w:w="1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212529"/>
              </w:rPr>
              <w:t>38.4%</w:t>
            </w:r>
          </w:p>
        </w:tc>
        <w:tc>
          <w:tcPr>
            <w:tcW w:w="2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8"/>
                <w:szCs w:val="18"/>
                <w:color w:val="auto"/>
              </w:rPr>
            </w:pPr>
          </w:p>
        </w:tc>
      </w:t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Risk-free rate</w:t>
            </w: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212529"/>
              </w:rPr>
              <w:t>3.96%</w:t>
            </w:r>
          </w:p>
        </w:tc>
        <w:tc>
          <w:tcPr>
            <w:tcW w:w="220" w:type="dxa"/>
            <w:vAlign w:val="bottom"/>
          </w:tcPr>
          <w:p>
            <w:pPr>
              <w:spacing w:after="0"/>
              <w:rPr>
                <w:sz w:val="20"/>
                <w:szCs w:val="20"/>
                <w:color w:val="auto"/>
              </w:rPr>
            </w:pP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As of March 31, 2025, the Company began using a blend of its historical and implied volatility, rather than exclusively relying on historical volatility, to estimate the expected volatility assumption of various equity instruments issued by the Company. Due to changes in the Company’s capital position, the Company believes this methodology better reflects its expected future volatility. Historical volatility was 35.8% based on the remaining term of the Earn-Out Shares as of March 31, 2025.</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12529"/>
        </w:rPr>
        <w:t>As of March 31, 2025 and 2024, the fair value of the Earn-Out Shares was $10.0 million and $22.0 million, respectively. Earn-Out Shares were included in “Liability instruments measured at fair value” in the accompanying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15—Net (Loss) Income per Common Share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Basic net (loss) income per common share is computed by dividing net (loss) income attributable to Roivant Sciences Ltd. by the weighted-average number of common shares outstanding during the period. Diluted net (loss) income per common share is computed by dividing the net (loss) income attributable to Roivant Sciences Ltd. by the diluted weighted-average number of common shares outstanding during the period.</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2529"/>
        </w:rPr>
        <w:t>For periods of loss from continuing operations, diluted loss per share is calculated similar to basic loss per share as the effect of including all potentially dilutive common stock equivalents is anti-dilutive. For the years ended March 31, 2025 and 2023, all outstanding common stock equivalents have been excluded from the computation of diluted loss per share because their effect was anti-dilutive due to the loss from continuing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212529"/>
        </w:rPr>
        <w:t>As of March 31, 2025, 2024 and 2023, the following potentially dilutive common stock equivalents were excluded from the computation of diluted net (loss) income per common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performance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139,412,098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54,648,258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154,271,791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performance restricted stock units (non-vested)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50,992,414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5,422,465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20,700,788</w:t>
            </w: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March 2020 CVARs</w:t>
            </w:r>
            <w:r>
              <w:rPr>
                <w:rFonts w:ascii="Times New Roman" w:cs="Times New Roman" w:eastAsia="Times New Roman" w:hAnsi="Times New Roman"/>
                <w:sz w:val="25"/>
                <w:szCs w:val="25"/>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17,548,368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17,548,368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32,011,996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November 2021 CVARs (non-vested)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348,527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249,120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3,222,645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stock (non-vested)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255,911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689,026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 (non-vested)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3,080,387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3,080,387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3,080,387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10,214,265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20,475,875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stock based awards and instruments issued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4,731,198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3,924,305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6,122,842</w:t>
            </w:r>
          </w:p>
        </w:tc>
      </w:tr>
    </w:tbl>
    <w:p>
      <w:pPr>
        <w:spacing w:after="0" w:line="87" w:lineRule="exact"/>
        <w:rPr>
          <w:sz w:val="20"/>
          <w:szCs w:val="20"/>
          <w:color w:val="auto"/>
        </w:rPr>
      </w:pPr>
    </w:p>
    <w:p>
      <w:pPr>
        <w:ind w:left="280" w:hanging="272"/>
        <w:spacing w:after="0"/>
        <w:tabs>
          <w:tab w:leader="none" w:pos="280" w:val="left"/>
        </w:tabs>
        <w:numPr>
          <w:ilvl w:val="0"/>
          <w:numId w:val="102"/>
        </w:numPr>
        <w:rPr>
          <w:rFonts w:ascii="Times New Roman" w:cs="Times New Roman" w:eastAsia="Times New Roman" w:hAnsi="Times New Roman"/>
          <w:sz w:val="30"/>
          <w:szCs w:val="30"/>
          <w:color w:val="212529"/>
          <w:vertAlign w:val="superscript"/>
        </w:rPr>
      </w:pPr>
      <w:r>
        <w:rPr>
          <w:rFonts w:ascii="Times New Roman" w:cs="Times New Roman" w:eastAsia="Times New Roman" w:hAnsi="Times New Roman"/>
          <w:sz w:val="18"/>
          <w:szCs w:val="18"/>
          <w:color w:val="212529"/>
        </w:rPr>
        <w:t>Refer to Note 9, “Share-Based Compensation and Other Compensation Plans” for details regarding settlement of CVARs.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16—Segment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operated and managed as a single operating and reportable segment which focuses on the discovery, development and commercialization of medicines and technologies. The Company’s Chief Operating Decision Maker (“CODM”) is its chief executive officer.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Company based on net (loss) income, which is reported on the consolidated statements of operations and comprehensive (loss) income as net (loss) income. The measure of segment assets is reported on the consolidated balance sheets as total assets.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significant expenses and operating losses for the foreseeable future as it advances product candidates through all stages of development and clinical trials and, ultimately, seeks regulatory approval. As such, the CODM uses cash forecast models and budgeted versus actual results to assess performance, make operating decisions and allocate resources across the Company including to various Vants and research and development projects.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significant segment expenses are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32,713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31,530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3,034</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Program-specific research and development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Anti-FcRn franchise—neurological diseases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93,224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52,100</w:t>
            </w: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Anti-FcRn franchise—endocrine diseases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63,073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26,377</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Anti-FcRn franchise—rheumatology diseases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23,897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Anti-FcRn franchise—dermatology diseases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15,633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Anti-FcRn franchise—other clinical and nonclinical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5,553</w:t>
            </w: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Brepocitinib</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45,125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38,563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38,627</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Mosliciguat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57,729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92,270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159,893</w:t>
            </w: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39,780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28,669</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personnel-related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146,162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123,283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118,523</w:t>
            </w: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24,320</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26,450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97,749</w:t>
            </w: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239,505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175,019</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personnel-related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205,737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126,163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99,141</w:t>
            </w: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146,168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109,288</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(110,387)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(5,348,410)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(55,186)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20,815</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(15,756)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46,838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18,386</w:t>
            </w: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(29,276)</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(258,375)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(146,425)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(32,184)</w:t>
            </w: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48,174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w:t>
            </w: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(373,030)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315,147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226,391</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(356,734)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4,231,206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(1,115,463)</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11240"/>
          </w:cols>
          <w:pgMar w:left="320" w:top="116"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1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March 31, 2025, the end of the period covered by this Annual Report on Form 10-K. Based on this evaluation, our Principal Executive Officer and Principal Financial Officer concluded that our disclosure controls and procedures were effective as of March 31, 2025 at the reasonable assurance level.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of and with the participation of our Principal Executive Officer and our Principal Financial Officer, is responsible for establishing and maintaining adequate internal control over financial reporting, as such term is defined under Rule 13a-15(f) of the Exchange Act.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has assessed the effectiveness of our internal control over financial reporting as of March 31, 2025. In making this assessment, management used the criteria set forth in the Internal Control – Integrated Framework issued by the Committee of Sponsoring Organizations of the Treadway Commission (2013 framework). Management’s assessment included an evaluation of the design of our internal control over financial reporting and testing of the operational effectiveness of our internal control over financial reporting. Based on management’s assessment, management has concluded that, as of March 31, 2025, our internal control over financial reporting was effective based on those criteria.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March 31, 2025, has been audited by Ernst &amp; Young LLP, an independent registered public accounting firm, as stated in their report which is included herein.</w:t>
      </w:r>
    </w:p>
    <w:p>
      <w:pPr>
        <w:spacing w:after="0" w:line="15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Roivant Sciences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have audited Roivant Sciences Ltd.’s internal control over financial reporting as of March 31, 2025, based on criteria established in Internal Control— Integrated Framework issued by the Committee of Sponsoring Organizations of the Treadway Commission (2013 framework) (the COSO criteria). In our opinion, Roivant Sciences Ltd. (the Company) maintained, in all material respects, effective internal control over financial reporting as of March 31, 2025, based on the COSO criteria.</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31, 2025 and 2024, the related consolidated statements of operations, comprehensive (loss) income, shareholders’ equity and redeemable noncontrolling interest and cash flows for each of the three years in the period ended March 31, 2025, and the related notes and our report dated May 29,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28, 2025, Eric Venker, RSI’s President and Chief Operating Officer, entered into a trading plan intended to satisfy the affirmative defense of Rule 10b5-1(c) under the Exchange Act. The plan provided for the potential sale of up to 3,842,209 common shares held by Mr. Venker between October 6, 2025 and October 13, 2026.</w:t>
      </w:r>
    </w:p>
    <w:p>
      <w:pPr>
        <w:spacing w:after="0" w:line="17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2025 Annual Meeting of Shareholders to be filed with the SEC within 120 days after the end of our fiscal year ended March 31, 2025.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and persons performing similar functions. A current copy of the code is posted on the Corporate Governance section of our website, which is located at investor.roivant.com/corporate-governance. If we make any substantive amendments to, or grant any waivers from, the code of business conduct and ethics for our principal executive officer, principal financial officer, principal accounting officer or persons performing similar functions, or any officer or director, we will disclose the nature of such amendment or waiver on our website or in a current report on Form 8-K.</w:t>
      </w:r>
    </w:p>
    <w:p>
      <w:pPr>
        <w:spacing w:after="0" w:line="18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2025 Annual Meeting of Shareholders to be filed with the SEC within 120 days after the end of our fiscal year ended March 31, 2025.</w:t>
      </w:r>
    </w:p>
    <w:p>
      <w:pPr>
        <w:spacing w:after="0" w:line="158" w:lineRule="exact"/>
        <w:rPr>
          <w:sz w:val="20"/>
          <w:szCs w:val="20"/>
          <w:color w:val="auto"/>
        </w:rPr>
      </w:pPr>
    </w:p>
    <w:p>
      <w:pPr>
        <w:ind w:left="1460" w:right="1340" w:hanging="1457"/>
        <w:spacing w:after="0" w:line="28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2025 Annual Meeting of Shareholders to be filed with the SEC within 120 days after the end of our fiscal year ended March 31, 2025.</w:t>
      </w:r>
    </w:p>
    <w:p>
      <w:pPr>
        <w:spacing w:after="0" w:line="15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2025 Annual Meeting of Shareholders to be filed with the SEC within 120 days after the end of our fiscal year ended March 31, 2025.</w:t>
      </w:r>
    </w:p>
    <w:p>
      <w:pPr>
        <w:spacing w:after="0" w:line="15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2025 Annual Meeting of Shareholders to be filed with the SEC within 120 days after the end of our fiscal year ended March 31,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a list of the consolidated financial statements included herein, see “Index to Consolidated Financial Statements” under Part II, Item 8 of this Annual Report on Form 10-K.</w:t>
      </w:r>
    </w:p>
    <w:p>
      <w:pPr>
        <w:spacing w:after="0" w:line="162"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of the absence of conditions under which they are required or because the required information, where material, is shown in the financial statements, financial notes or supplementary 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 required by Item 601 of Regulation 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or incorporated by reference into,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8"/>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Exhibits</w:t>
            </w: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9"/>
        </w:trPr>
        <w:tc>
          <w:tcPr>
            <w:tcW w:w="1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780" w:type="dxa"/>
            <w:vAlign w:val="bottom"/>
          </w:tcPr>
          <w:p>
            <w:pPr>
              <w:spacing w:after="0"/>
              <w:rPr>
                <w:sz w:val="24"/>
                <w:szCs w:val="24"/>
                <w:color w:val="auto"/>
              </w:rPr>
            </w:pPr>
          </w:p>
        </w:tc>
      </w:tr>
      <w:tr>
        <w:trPr>
          <w:trHeight w:val="223"/>
        </w:trPr>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14"/>
          </w:tcPr>
          <w:p>
            <w:pPr>
              <w:ind w:left="40"/>
              <w:spacing w:after="0"/>
              <w:rPr>
                <w:sz w:val="20"/>
                <w:szCs w:val="20"/>
                <w:color w:val="auto"/>
              </w:rPr>
            </w:pPr>
            <w:r>
              <w:rPr>
                <w:rFonts w:ascii="Times New Roman" w:cs="Times New Roman" w:eastAsia="Times New Roman" w:hAnsi="Times New Roman"/>
                <w:sz w:val="18"/>
                <w:szCs w:val="18"/>
                <w:color w:val="auto"/>
              </w:rPr>
              <w:t>Description</w:t>
            </w:r>
          </w:p>
        </w:tc>
        <w:tc>
          <w:tcPr>
            <w:tcW w:w="1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Form</w:t>
            </w:r>
          </w:p>
        </w:tc>
        <w:tc>
          <w:tcPr>
            <w:tcW w:w="17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File No.</w:t>
            </w:r>
          </w:p>
        </w:tc>
        <w:tc>
          <w:tcPr>
            <w:tcW w:w="11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Exhibit</w:t>
            </w:r>
          </w:p>
        </w:tc>
        <w:tc>
          <w:tcPr>
            <w:tcW w:w="200" w:type="dxa"/>
            <w:vAlign w:val="bottom"/>
          </w:tcPr>
          <w:p>
            <w:pPr>
              <w:spacing w:after="0"/>
              <w:rPr>
                <w:sz w:val="19"/>
                <w:szCs w:val="19"/>
                <w:color w:val="auto"/>
              </w:rPr>
            </w:pPr>
          </w:p>
        </w:tc>
        <w:tc>
          <w:tcPr>
            <w:tcW w:w="1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Filing Date</w:t>
            </w:r>
          </w:p>
        </w:tc>
      </w:tr>
      <w:tr>
        <w:trPr>
          <w:trHeight w:val="216"/>
        </w:trPr>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75"/>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42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Business Combination Agreement, dated as of May 1,</w:t>
              </w:r>
            </w:hyperlink>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70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June 28, 2022</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2021, by and among Montes Archimedes Acquisition</w:t>
              </w:r>
            </w:hyperlink>
          </w:p>
        </w:tc>
        <w:tc>
          <w:tcPr>
            <w:tcW w:w="400" w:type="dxa"/>
            <w:vAlign w:val="bottom"/>
            <w:tcBorders>
              <w:top w:val="single" w:sz="8" w:color="CCEEFF"/>
            </w:tcBorders>
            <w:gridSpan w:val="7"/>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42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Corp., Roivant Sciences Ltd. and Rhine Merger Sub, Inc.</w:t>
              </w:r>
            </w:hyperlink>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r>
      <w:tr>
        <w:trPr>
          <w:trHeight w:val="175"/>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42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Amendment No. 1 to the Business Combination</w:t>
              </w:r>
            </w:hyperlink>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70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June 28, 2022</w:t>
            </w:r>
          </w:p>
        </w:tc>
      </w:tr>
      <w:tr>
        <w:trPr>
          <w:trHeight w:val="20"/>
        </w:trPr>
        <w:tc>
          <w:tcPr>
            <w:tcW w:w="120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42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Agreement, dated June 9, 2021, by and among Montes</w:t>
              </w:r>
            </w:hyperlink>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Archimedes Acquisition Corp., Roivant Sciences Ltd. and</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r>
      <w:tr>
        <w:trPr>
          <w:trHeight w:val="217"/>
        </w:trPr>
        <w:tc>
          <w:tcPr>
            <w:tcW w:w="1200" w:type="dxa"/>
            <w:vAlign w:val="bottom"/>
            <w:shd w:val="clear" w:color="auto" w:fill="CCEEFF"/>
          </w:tcPr>
          <w:p>
            <w:pPr>
              <w:spacing w:after="0"/>
              <w:rPr>
                <w:sz w:val="18"/>
                <w:szCs w:val="18"/>
                <w:color w:val="auto"/>
              </w:rPr>
            </w:pPr>
          </w:p>
        </w:tc>
        <w:tc>
          <w:tcPr>
            <w:tcW w:w="42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Rhine Merger Sub, Inc.</w:t>
              </w:r>
            </w:hyperlink>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r>
      <w:tr>
        <w:trPr>
          <w:trHeight w:val="175"/>
        </w:trPr>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424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Agreement and Plan of Merger, dated September 17, 2024,</w:t>
              </w:r>
            </w:hyperlink>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700" w:type="dxa"/>
            <w:vAlign w:val="bottom"/>
            <w:tcBorders>
              <w:bottom w:val="single" w:sz="8" w:color="CCEEFF"/>
            </w:tcBorders>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tcBorders>
              <w:bottom w:val="single" w:sz="8" w:color="CCEEFF"/>
            </w:tcBorders>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September 23, 2024</w:t>
            </w:r>
          </w:p>
        </w:tc>
      </w:tr>
      <w:tr>
        <w:trPr>
          <w:trHeight w:val="196"/>
        </w:trPr>
        <w:tc>
          <w:tcPr>
            <w:tcW w:w="1200" w:type="dxa"/>
            <w:vAlign w:val="bottom"/>
            <w:shd w:val="clear" w:color="auto" w:fill="CCEEFF"/>
          </w:tcPr>
          <w:p>
            <w:pPr>
              <w:spacing w:after="0"/>
              <w:rPr>
                <w:sz w:val="17"/>
                <w:szCs w:val="17"/>
                <w:color w:val="auto"/>
              </w:rPr>
            </w:pPr>
          </w:p>
        </w:tc>
        <w:tc>
          <w:tcPr>
            <w:tcW w:w="42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by and among Dermavant Sciences Ltd., Organon &amp; Co.,</w:t>
              </w:r>
            </w:hyperlink>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7"/>
        </w:trPr>
        <w:tc>
          <w:tcPr>
            <w:tcW w:w="120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Organon Bermuda Ltd. and Roivant Sciences Ltd.</w:t>
              </w:r>
            </w:hyperlink>
          </w:p>
        </w:tc>
        <w:tc>
          <w:tcPr>
            <w:tcW w:w="160" w:type="dxa"/>
            <w:vAlign w:val="bottom"/>
            <w:tcBorders>
              <w:top w:val="single" w:sz="8" w:color="CCEEFF"/>
            </w:tcBorders>
            <w:gridSpan w:val="5"/>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42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Memorandum of Association of Roivant Sciences Ltd.</w:t>
              </w:r>
            </w:hyperlink>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S-4/A</w:t>
            </w:r>
          </w:p>
        </w:tc>
        <w:tc>
          <w:tcPr>
            <w:tcW w:w="170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333-256165</w:t>
            </w:r>
          </w:p>
        </w:tc>
        <w:tc>
          <w:tcPr>
            <w:tcW w:w="11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July 1, 2021</w:t>
            </w: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42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Amended and Restated Bye-laws of Roivant Sciences Ltd.</w:t>
              </w:r>
            </w:hyperlink>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70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October 1, 2021</w:t>
            </w: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r>
      <w:tr>
        <w:trPr>
          <w:trHeight w:val="175"/>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42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Specimen Ordinary Share Certificate of Roivant Sciences</w:t>
              </w:r>
            </w:hyperlink>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S-4/A</w:t>
            </w:r>
          </w:p>
        </w:tc>
        <w:tc>
          <w:tcPr>
            <w:tcW w:w="170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333-256165</w:t>
            </w:r>
          </w:p>
        </w:tc>
        <w:tc>
          <w:tcPr>
            <w:tcW w:w="11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August 3, 2021</w:t>
            </w:r>
          </w:p>
        </w:tc>
      </w:tr>
      <w:tr>
        <w:trPr>
          <w:trHeight w:val="216"/>
        </w:trPr>
        <w:tc>
          <w:tcPr>
            <w:tcW w:w="120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Ltd.</w:t>
              </w:r>
            </w:hyperlink>
          </w:p>
        </w:tc>
        <w:tc>
          <w:tcPr>
            <w:tcW w:w="140" w:type="dxa"/>
            <w:vAlign w:val="bottom"/>
            <w:tcBorders>
              <w:top w:val="single" w:sz="8" w:color="CCEEFF"/>
            </w:tcBorders>
            <w:gridSpan w:val="4"/>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r>
      <w:tr>
        <w:trPr>
          <w:trHeight w:val="175"/>
        </w:trPr>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418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Description of Registrant’s Securities Registered Pursuant</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700" w:type="dxa"/>
            <w:vAlign w:val="bottom"/>
            <w:tcBorders>
              <w:bottom w:val="single" w:sz="8" w:color="CCEEFF"/>
            </w:tcBorders>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tcBorders>
              <w:bottom w:val="single" w:sz="8" w:color="CCEEFF"/>
            </w:tcBorders>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June 28, 2023</w:t>
            </w:r>
          </w:p>
        </w:tc>
      </w:tr>
      <w:tr>
        <w:trPr>
          <w:trHeight w:val="217"/>
        </w:trPr>
        <w:tc>
          <w:tcPr>
            <w:tcW w:w="1200" w:type="dxa"/>
            <w:vAlign w:val="bottom"/>
            <w:shd w:val="clear" w:color="auto" w:fill="CCEEFF"/>
          </w:tcPr>
          <w:p>
            <w:pPr>
              <w:spacing w:after="0"/>
              <w:rPr>
                <w:sz w:val="18"/>
                <w:szCs w:val="18"/>
                <w:color w:val="auto"/>
              </w:rPr>
            </w:pPr>
          </w:p>
        </w:tc>
        <w:tc>
          <w:tcPr>
            <w:tcW w:w="42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to Section 12 of the Securities Exchange Act of 1934</w:t>
              </w:r>
            </w:hyperlink>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r>
      <w:tr>
        <w:trPr>
          <w:trHeight w:val="175"/>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42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Third Amended and Restated Registration Rights</w:t>
              </w:r>
            </w:hyperlink>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70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June 28, 2022</w:t>
            </w:r>
          </w:p>
        </w:tc>
      </w:tr>
      <w:tr>
        <w:trPr>
          <w:trHeight w:val="20"/>
        </w:trPr>
        <w:tc>
          <w:tcPr>
            <w:tcW w:w="1200" w:type="dxa"/>
            <w:vAlign w:val="bottom"/>
            <w:shd w:val="clear" w:color="auto" w:fill="CCEEFF"/>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540" w:type="dxa"/>
            <w:vAlign w:val="bottom"/>
            <w:gridSpan w:val="9"/>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Agreement, dated as of May 1, 2021, by and among</w:t>
              </w:r>
            </w:hyperlink>
          </w:p>
        </w:tc>
        <w:tc>
          <w:tcPr>
            <w:tcW w:w="540" w:type="dxa"/>
            <w:vAlign w:val="bottom"/>
            <w:tcBorders>
              <w:bottom w:val="single" w:sz="8" w:color="CCEEFF"/>
            </w:tcBorders>
            <w:gridSpan w:val="9"/>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r>
      <w:tr>
        <w:trPr>
          <w:trHeight w:val="217"/>
        </w:trPr>
        <w:tc>
          <w:tcPr>
            <w:tcW w:w="1200" w:type="dxa"/>
            <w:vAlign w:val="bottom"/>
            <w:shd w:val="clear" w:color="auto" w:fill="CCEEFF"/>
          </w:tcPr>
          <w:p>
            <w:pPr>
              <w:spacing w:after="0"/>
              <w:rPr>
                <w:sz w:val="18"/>
                <w:szCs w:val="18"/>
                <w:color w:val="auto"/>
              </w:rPr>
            </w:pPr>
          </w:p>
        </w:tc>
        <w:tc>
          <w:tcPr>
            <w:tcW w:w="42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Roivant Sciences Ltd. and the parties thereto</w:t>
              </w:r>
            </w:hyperlink>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570"/>
        </w:trPr>
        <w:tc>
          <w:tcPr>
            <w:tcW w:w="1200" w:type="dxa"/>
            <w:vAlign w:val="bottom"/>
            <w:tcBorders>
              <w:top w:val="single" w:sz="8" w:color="CCEEFF"/>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gridSpan w:val="2"/>
          </w:tcPr>
          <w:p>
            <w:pPr>
              <w:jc w:val="right"/>
              <w:ind w:right="590"/>
              <w:spacing w:after="0"/>
              <w:rPr>
                <w:sz w:val="20"/>
                <w:szCs w:val="20"/>
                <w:color w:val="auto"/>
              </w:rPr>
            </w:pPr>
            <w:r>
              <w:rPr>
                <w:rFonts w:ascii="Times New Roman" w:cs="Times New Roman" w:eastAsia="Times New Roman" w:hAnsi="Times New Roman"/>
                <w:sz w:val="14"/>
                <w:szCs w:val="14"/>
                <w:color w:val="auto"/>
              </w:rPr>
              <w:t>171</w:t>
            </w:r>
          </w:p>
        </w:tc>
        <w:tc>
          <w:tcPr>
            <w:tcW w:w="170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r>
      <w:tr>
        <w:trPr>
          <w:trHeight w:val="44"/>
        </w:trPr>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4260" w:type="dxa"/>
            <w:vAlign w:val="bottom"/>
            <w:gridSpan w:val="21"/>
            <w:shd w:val="clear" w:color="auto" w:fill="CCEEFF"/>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Sponsor Support Agreement, dated as of May 1, 2021, by</w:t>
              </w:r>
            </w:hyperlink>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001-40782</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10.3</w:t>
            </w:r>
          </w:p>
        </w:tc>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28, 2022</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and among Roivant Sciences Ltd., Montes Archimedes</w:t>
              </w:r>
            </w:hyperlink>
          </w:p>
        </w:tc>
        <w:tc>
          <w:tcPr>
            <w:tcW w:w="120" w:type="dxa"/>
            <w:vAlign w:val="bottom"/>
            <w:tcBorders>
              <w:top w:val="single" w:sz="8" w:color="CCEEFF"/>
            </w:tcBorders>
            <w:gridSpan w:val="4"/>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22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Acquisition Corp., Patient Square Capital LLC and certain</w:t>
              </w:r>
            </w:hyperlink>
          </w:p>
        </w:tc>
        <w:tc>
          <w:tcPr>
            <w:tcW w:w="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7"/>
        </w:trPr>
        <w:tc>
          <w:tcPr>
            <w:tcW w:w="1200" w:type="dxa"/>
            <w:vAlign w:val="bottom"/>
            <w:shd w:val="clear" w:color="auto" w:fill="CCEEFF"/>
          </w:tcPr>
          <w:p>
            <w:pPr>
              <w:spacing w:after="0"/>
              <w:rPr>
                <w:sz w:val="18"/>
                <w:szCs w:val="18"/>
                <w:color w:val="auto"/>
              </w:rPr>
            </w:pPr>
          </w:p>
        </w:tc>
        <w:tc>
          <w:tcPr>
            <w:tcW w:w="42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shareholders of Roivant Sciences Ltd.</w:t>
              </w:r>
            </w:hyperlink>
          </w:p>
        </w:tc>
        <w:tc>
          <w:tcPr>
            <w:tcW w:w="1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41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Form of Transaction Support Agreement, dated as of May</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20" w:type="dxa"/>
            <w:vAlign w:val="bottom"/>
            <w:tcBorders>
              <w:bottom w:val="single" w:sz="8" w:color="CCEEFF"/>
            </w:tcBorders>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2022</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392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1, 2021, by and among Roivant Sciences Ltd., Montes</w:t>
              </w:r>
            </w:hyperlink>
          </w:p>
        </w:tc>
        <w:tc>
          <w:tcPr>
            <w:tcW w:w="340" w:type="dxa"/>
            <w:vAlign w:val="bottom"/>
            <w:tcBorders>
              <w:bottom w:val="single" w:sz="8" w:color="CCEEFF"/>
            </w:tcBorders>
            <w:gridSpan w:val="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2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Archimedes Acquisition Corp. and certain shareholders of</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7"/>
        </w:trPr>
        <w:tc>
          <w:tcPr>
            <w:tcW w:w="1200" w:type="dxa"/>
            <w:vAlign w:val="bottom"/>
            <w:shd w:val="clear" w:color="auto" w:fill="CCEEFF"/>
          </w:tcPr>
          <w:p>
            <w:pPr>
              <w:spacing w:after="0"/>
              <w:rPr>
                <w:sz w:val="18"/>
                <w:szCs w:val="18"/>
                <w:color w:val="auto"/>
              </w:rPr>
            </w:pPr>
          </w:p>
        </w:tc>
        <w:tc>
          <w:tcPr>
            <w:tcW w:w="42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Roivant Sciences Ltd.</w:t>
              </w:r>
            </w:hyperlink>
          </w:p>
        </w:tc>
        <w:tc>
          <w:tcPr>
            <w:tcW w:w="1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42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Investment Management Trust Agreement between</w:t>
              </w:r>
            </w:hyperlink>
          </w:p>
        </w:tc>
        <w:tc>
          <w:tcPr>
            <w:tcW w:w="1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001-39597</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October 13, 2020</w:t>
            </w:r>
          </w:p>
        </w:tc>
      </w:tr>
      <w:tr>
        <w:trPr>
          <w:trHeight w:val="20"/>
        </w:trPr>
        <w:tc>
          <w:tcPr>
            <w:tcW w:w="1200" w:type="dxa"/>
            <w:vAlign w:val="bottom"/>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Continental Stock Transfer &amp; Trust Company and Montes</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7"/>
        </w:trPr>
        <w:tc>
          <w:tcPr>
            <w:tcW w:w="1200" w:type="dxa"/>
            <w:vAlign w:val="bottom"/>
            <w:shd w:val="clear" w:color="auto" w:fill="CCEEFF"/>
          </w:tcPr>
          <w:p>
            <w:pPr>
              <w:spacing w:after="0"/>
              <w:rPr>
                <w:sz w:val="18"/>
                <w:szCs w:val="18"/>
                <w:color w:val="auto"/>
              </w:rPr>
            </w:pPr>
          </w:p>
        </w:tc>
        <w:tc>
          <w:tcPr>
            <w:tcW w:w="42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Archimedes Acquisition Corp.</w:t>
              </w:r>
            </w:hyperlink>
          </w:p>
        </w:tc>
        <w:tc>
          <w:tcPr>
            <w:tcW w:w="1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40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License Agreement, dated as of December 19, 2017, by</w:t>
              </w:r>
            </w:hyperlink>
          </w:p>
        </w:tc>
        <w:tc>
          <w:tcPr>
            <w:tcW w:w="260" w:type="dxa"/>
            <w:vAlign w:val="bottom"/>
            <w:tcBorders>
              <w:bottom w:val="single" w:sz="8" w:color="CCEEFF"/>
            </w:tcBorders>
            <w:gridSpan w:val="7"/>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620" w:type="dxa"/>
            <w:vAlign w:val="bottom"/>
            <w:tcBorders>
              <w:bottom w:val="single" w:sz="8" w:color="CCEEFF"/>
            </w:tcBorders>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001-38906</w:t>
            </w:r>
          </w:p>
        </w:tc>
        <w:tc>
          <w:tcPr>
            <w:tcW w:w="102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December 20, 2019</w:t>
            </w:r>
          </w:p>
        </w:tc>
      </w:tr>
      <w:tr>
        <w:trPr>
          <w:trHeight w:val="196"/>
        </w:trPr>
        <w:tc>
          <w:tcPr>
            <w:tcW w:w="1200" w:type="dxa"/>
            <w:vAlign w:val="bottom"/>
            <w:shd w:val="clear" w:color="auto" w:fill="CCEEFF"/>
          </w:tcPr>
          <w:p>
            <w:pPr>
              <w:spacing w:after="0"/>
              <w:rPr>
                <w:sz w:val="17"/>
                <w:szCs w:val="17"/>
                <w:color w:val="auto"/>
              </w:rPr>
            </w:pPr>
          </w:p>
        </w:tc>
        <w:tc>
          <w:tcPr>
            <w:tcW w:w="42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and between HanAll Biopharma Co., Ltd. and Roivant</w:t>
              </w:r>
            </w:hyperlink>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17"/>
        </w:trPr>
        <w:tc>
          <w:tcPr>
            <w:tcW w:w="120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Sciences GmbH</w:t>
              </w:r>
            </w:hyperlink>
          </w:p>
        </w:tc>
        <w:tc>
          <w:tcPr>
            <w:tcW w:w="340" w:type="dxa"/>
            <w:vAlign w:val="bottom"/>
            <w:tcBorders>
              <w:top w:val="single" w:sz="8" w:color="CCEEFF"/>
            </w:tcBorders>
            <w:gridSpan w:val="8"/>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42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Cross License Agreement, dated as of April 11, 2018, by</w:t>
              </w:r>
            </w:hyperlink>
          </w:p>
        </w:tc>
        <w:tc>
          <w:tcPr>
            <w:tcW w:w="1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001-34949</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August 7, 2020</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358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and between Genevant Sciences Ltd. and Arbutus</w:t>
              </w:r>
            </w:hyperlink>
          </w:p>
        </w:tc>
        <w:tc>
          <w:tcPr>
            <w:tcW w:w="500" w:type="dxa"/>
            <w:vAlign w:val="bottom"/>
            <w:tcBorders>
              <w:top w:val="single" w:sz="8" w:color="0000EE"/>
              <w:bottom w:val="single" w:sz="8" w:color="CCEEFF"/>
            </w:tcBorders>
            <w:gridSpan w:val="6"/>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1200" w:type="dxa"/>
            <w:vAlign w:val="bottom"/>
            <w:shd w:val="clear" w:color="auto" w:fill="CCEEFF"/>
          </w:tcPr>
          <w:p>
            <w:pPr>
              <w:spacing w:after="0"/>
              <w:rPr>
                <w:sz w:val="18"/>
                <w:szCs w:val="18"/>
                <w:color w:val="auto"/>
              </w:rPr>
            </w:pPr>
          </w:p>
        </w:tc>
        <w:tc>
          <w:tcPr>
            <w:tcW w:w="42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Biopharma Corporation</w:t>
              </w:r>
            </w:hyperlink>
          </w:p>
        </w:tc>
        <w:tc>
          <w:tcPr>
            <w:tcW w:w="1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42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First Amendment to Cross License Agreement, dated as of</w:t>
              </w:r>
            </w:hyperlink>
          </w:p>
        </w:tc>
        <w:tc>
          <w:tcPr>
            <w:tcW w:w="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620" w:type="dxa"/>
            <w:vAlign w:val="bottom"/>
            <w:tcBorders>
              <w:bottom w:val="single" w:sz="8" w:color="CCEEFF"/>
            </w:tcBorders>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001-34949</w:t>
            </w:r>
          </w:p>
        </w:tc>
        <w:tc>
          <w:tcPr>
            <w:tcW w:w="102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August 7, 2020</w:t>
            </w:r>
          </w:p>
        </w:tc>
      </w:tr>
      <w:tr>
        <w:trPr>
          <w:trHeight w:val="196"/>
        </w:trPr>
        <w:tc>
          <w:tcPr>
            <w:tcW w:w="1200" w:type="dxa"/>
            <w:vAlign w:val="bottom"/>
            <w:shd w:val="clear" w:color="auto" w:fill="CCEEFF"/>
          </w:tcPr>
          <w:p>
            <w:pPr>
              <w:spacing w:after="0"/>
              <w:rPr>
                <w:sz w:val="17"/>
                <w:szCs w:val="17"/>
                <w:color w:val="auto"/>
              </w:rPr>
            </w:pPr>
          </w:p>
        </w:tc>
        <w:tc>
          <w:tcPr>
            <w:tcW w:w="42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June 27, 2018, by and among Genevant Sciences Ltd.,</w:t>
              </w:r>
            </w:hyperlink>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39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Genevant Sciences GmbH and Arbutus Biopharma</w:t>
              </w:r>
            </w:hyperlink>
          </w:p>
        </w:tc>
        <w:tc>
          <w:tcPr>
            <w:tcW w:w="360" w:type="dxa"/>
            <w:vAlign w:val="bottom"/>
            <w:tcBorders>
              <w:top w:val="single" w:sz="8" w:color="CCEEFF"/>
            </w:tcBorders>
            <w:gridSpan w:val="9"/>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r>
      <w:tr>
        <w:trPr>
          <w:trHeight w:val="217"/>
        </w:trPr>
        <w:tc>
          <w:tcPr>
            <w:tcW w:w="12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Corporation</w:t>
              </w:r>
            </w:hyperlink>
          </w:p>
        </w:tc>
        <w:tc>
          <w:tcPr>
            <w:tcW w:w="580" w:type="dxa"/>
            <w:vAlign w:val="bottom"/>
            <w:tcBorders>
              <w:top w:val="single" w:sz="8" w:color="CCEEFF"/>
            </w:tcBorders>
            <w:gridSpan w:val="11"/>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42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Second Amendment to Cross License Agreement, dated as</w:t>
              </w:r>
            </w:hyperlink>
          </w:p>
        </w:tc>
        <w:tc>
          <w:tcPr>
            <w:tcW w:w="1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001-34949</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August 7, 2020</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4100" w:type="dxa"/>
            <w:vAlign w:val="bottom"/>
            <w:tcBorders>
              <w:top w:val="single" w:sz="8" w:color="0000EE"/>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of June 27, 2018, by and among Genevant Sciences Ltd.,</w:t>
              </w:r>
            </w:hyperlink>
          </w:p>
        </w:tc>
        <w:tc>
          <w:tcPr>
            <w:tcW w:w="120" w:type="dxa"/>
            <w:vAlign w:val="bottom"/>
            <w:tcBorders>
              <w:top w:val="single" w:sz="8" w:color="0000EE"/>
              <w:bottom w:val="single" w:sz="8" w:color="CCEEFF"/>
            </w:tcBorders>
            <w:gridSpan w:val="4"/>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42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Genevant Sciences GmbH and Arbutus Biopharma</w:t>
              </w:r>
            </w:hyperlink>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16"/>
        </w:trPr>
        <w:tc>
          <w:tcPr>
            <w:tcW w:w="12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Corporation</w:t>
              </w:r>
            </w:hyperlink>
          </w:p>
        </w:tc>
        <w:tc>
          <w:tcPr>
            <w:tcW w:w="580" w:type="dxa"/>
            <w:vAlign w:val="bottom"/>
            <w:tcBorders>
              <w:top w:val="single" w:sz="8" w:color="CCEEFF"/>
            </w:tcBorders>
            <w:gridSpan w:val="11"/>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42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Form of Indemnity Agreement</w:t>
              </w:r>
            </w:hyperlink>
          </w:p>
        </w:tc>
        <w:tc>
          <w:tcPr>
            <w:tcW w:w="1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S-4/A</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333-256165</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July 1, 2021</w:t>
            </w: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42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Roivant Sciences Ltd. Amended and Restated 2015 Equity</w:t>
              </w:r>
            </w:hyperlink>
          </w:p>
        </w:tc>
        <w:tc>
          <w:tcPr>
            <w:tcW w:w="1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333-256165</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May 14, 2021</w:t>
            </w:r>
          </w:p>
        </w:tc>
      </w:tr>
      <w:tr>
        <w:trPr>
          <w:trHeight w:val="216"/>
        </w:trPr>
        <w:tc>
          <w:tcPr>
            <w:tcW w:w="120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Incentive Plan</w:t>
              </w:r>
            </w:hyperlink>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42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Roivant Sciences Ltd. 2021 Equity Incentive Plan</w:t>
              </w:r>
            </w:hyperlink>
          </w:p>
        </w:tc>
        <w:tc>
          <w:tcPr>
            <w:tcW w:w="1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333-260173</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October 8, 2021</w:t>
            </w: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38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Executive Employment Agreement between Roivant</w:t>
              </w:r>
            </w:hyperlink>
          </w:p>
        </w:tc>
        <w:tc>
          <w:tcPr>
            <w:tcW w:w="460" w:type="dxa"/>
            <w:vAlign w:val="bottom"/>
            <w:tcBorders>
              <w:bottom w:val="single" w:sz="8" w:color="CCEEFF"/>
            </w:tcBorders>
            <w:gridSpan w:val="10"/>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1620" w:type="dxa"/>
            <w:vAlign w:val="bottom"/>
            <w:tcBorders>
              <w:bottom w:val="single" w:sz="8" w:color="CCEEFF"/>
            </w:tcBorders>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333-256165</w:t>
            </w:r>
          </w:p>
        </w:tc>
        <w:tc>
          <w:tcPr>
            <w:tcW w:w="102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May 14, 2021</w:t>
            </w:r>
          </w:p>
        </w:tc>
      </w:tr>
      <w:tr>
        <w:trPr>
          <w:trHeight w:val="196"/>
        </w:trPr>
        <w:tc>
          <w:tcPr>
            <w:tcW w:w="1200" w:type="dxa"/>
            <w:vAlign w:val="bottom"/>
            <w:shd w:val="clear" w:color="auto" w:fill="CCEEFF"/>
          </w:tcPr>
          <w:p>
            <w:pPr>
              <w:spacing w:after="0"/>
              <w:rPr>
                <w:sz w:val="17"/>
                <w:szCs w:val="17"/>
                <w:color w:val="auto"/>
              </w:rPr>
            </w:pPr>
          </w:p>
        </w:tc>
        <w:tc>
          <w:tcPr>
            <w:tcW w:w="42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Sciences, Inc. and Matthew Gline, dated as of May 14,</w:t>
              </w:r>
            </w:hyperlink>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21"/>
        </w:trPr>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r:id="rId221">
              <w:r>
                <w:rPr>
                  <w:rFonts w:ascii="Times New Roman" w:cs="Times New Roman" w:eastAsia="Times New Roman" w:hAnsi="Times New Roman"/>
                  <w:sz w:val="18"/>
                  <w:szCs w:val="18"/>
                  <w:color w:val="0000EE"/>
                  <w:w w:val="94"/>
                </w:rPr>
                <w:t>2021</w:t>
              </w:r>
            </w:hyperlink>
          </w:p>
        </w:tc>
        <w:tc>
          <w:tcPr>
            <w:tcW w:w="50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500" w:type="dxa"/>
            <w:vAlign w:val="bottom"/>
            <w:tcBorders>
              <w:top w:val="single" w:sz="8" w:color="0000EE"/>
              <w:bottom w:val="single" w:sz="8" w:color="CCEEFF"/>
            </w:tcBorders>
            <w:shd w:val="clear" w:color="auto" w:fill="CCEEFF"/>
          </w:tcPr>
          <w:p>
            <w:pPr>
              <w:spacing w:after="0"/>
              <w:rPr>
                <w:sz w:val="18"/>
                <w:szCs w:val="18"/>
                <w:color w:val="auto"/>
              </w:rPr>
            </w:pPr>
          </w:p>
        </w:tc>
        <w:tc>
          <w:tcPr>
            <w:tcW w:w="520" w:type="dxa"/>
            <w:vAlign w:val="bottom"/>
            <w:tcBorders>
              <w:top w:val="single" w:sz="8" w:color="0000EE"/>
              <w:bottom w:val="single" w:sz="8" w:color="CCEEFF"/>
            </w:tcBorders>
            <w:shd w:val="clear" w:color="auto" w:fill="CCEEFF"/>
          </w:tcPr>
          <w:p>
            <w:pPr>
              <w:spacing w:after="0"/>
              <w:rPr>
                <w:sz w:val="18"/>
                <w:szCs w:val="18"/>
                <w:color w:val="auto"/>
              </w:rPr>
            </w:pPr>
          </w:p>
        </w:tc>
        <w:tc>
          <w:tcPr>
            <w:tcW w:w="86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38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Executive Employment Agreement between Roivant</w:t>
              </w:r>
            </w:hyperlink>
          </w:p>
        </w:tc>
        <w:tc>
          <w:tcPr>
            <w:tcW w:w="460" w:type="dxa"/>
            <w:vAlign w:val="bottom"/>
            <w:tcBorders>
              <w:bottom w:val="single" w:sz="8" w:color="CCEEFF"/>
            </w:tcBorders>
            <w:gridSpan w:val="10"/>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1620" w:type="dxa"/>
            <w:vAlign w:val="bottom"/>
            <w:tcBorders>
              <w:bottom w:val="single" w:sz="8" w:color="CCEEFF"/>
            </w:tcBorders>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333-256165</w:t>
            </w:r>
          </w:p>
        </w:tc>
        <w:tc>
          <w:tcPr>
            <w:tcW w:w="102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May 14, 2021</w:t>
            </w:r>
          </w:p>
        </w:tc>
      </w:tr>
      <w:tr>
        <w:trPr>
          <w:trHeight w:val="216"/>
        </w:trPr>
        <w:tc>
          <w:tcPr>
            <w:tcW w:w="1200" w:type="dxa"/>
            <w:vAlign w:val="bottom"/>
            <w:shd w:val="clear" w:color="auto" w:fill="CCEEFF"/>
          </w:tcPr>
          <w:p>
            <w:pPr>
              <w:spacing w:after="0"/>
              <w:rPr>
                <w:sz w:val="18"/>
                <w:szCs w:val="18"/>
                <w:color w:val="auto"/>
              </w:rPr>
            </w:pPr>
          </w:p>
        </w:tc>
        <w:tc>
          <w:tcPr>
            <w:tcW w:w="42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Sciences, Inc. and Eric Venker, dated as of May 14, 2021</w:t>
              </w:r>
            </w:hyperlink>
          </w:p>
        </w:tc>
        <w:tc>
          <w:tcPr>
            <w:tcW w:w="1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571"/>
        </w:trPr>
        <w:tc>
          <w:tcPr>
            <w:tcW w:w="1200" w:type="dxa"/>
            <w:vAlign w:val="bottom"/>
            <w:tcBorders>
              <w:top w:val="single" w:sz="8" w:color="CCEEFF"/>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172</w:t>
            </w:r>
          </w:p>
        </w:tc>
        <w:tc>
          <w:tcPr>
            <w:tcW w:w="16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r>
      <w:tr>
        <w:trPr>
          <w:trHeight w:val="44"/>
        </w:trPr>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10.14*</w:t>
            </w:r>
          </w:p>
        </w:tc>
        <w:tc>
          <w:tcPr>
            <w:tcW w:w="4300" w:type="dxa"/>
            <w:vAlign w:val="bottom"/>
            <w:tcBorders>
              <w:right w:val="single" w:sz="8" w:color="CCEEFF"/>
            </w:tcBorders>
            <w:gridSpan w:val="19"/>
            <w:shd w:val="clear" w:color="auto" w:fill="CCEEFF"/>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Amendment No. 1 to the Support Agreement, dated as of</w:t>
              </w:r>
            </w:hyperlink>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001-40782</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10.28</w:t>
            </w:r>
          </w:p>
        </w:tc>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28, 2022</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3700" w:type="dxa"/>
            <w:vAlign w:val="bottom"/>
            <w:tcBorders>
              <w:top w:val="single" w:sz="8" w:color="0000EE"/>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June 9, 2021, by and among Roivant Sciences Ltd.,</w:t>
              </w:r>
            </w:hyperlink>
          </w:p>
        </w:tc>
        <w:tc>
          <w:tcPr>
            <w:tcW w:w="420" w:type="dxa"/>
            <w:vAlign w:val="bottom"/>
            <w:tcBorders>
              <w:top w:val="single" w:sz="8" w:color="0000EE"/>
              <w:bottom w:val="single" w:sz="8" w:color="CCEEFF"/>
              <w:right w:val="single" w:sz="8" w:color="CCEEFF"/>
            </w:tcBorders>
            <w:gridSpan w:val="6"/>
            <w:shd w:val="clear" w:color="auto" w:fill="CCEEFF"/>
          </w:tcPr>
          <w:p>
            <w:pPr>
              <w:spacing w:after="0"/>
              <w:rPr>
                <w:sz w:val="17"/>
                <w:szCs w:val="17"/>
                <w:color w:val="auto"/>
              </w:rPr>
            </w:pPr>
          </w:p>
        </w:tc>
        <w:tc>
          <w:tcPr>
            <w:tcW w:w="180" w:type="dxa"/>
            <w:vAlign w:val="bottom"/>
            <w:tcBorders>
              <w:top w:val="single" w:sz="8" w:color="CCEEFF"/>
              <w:bottom w:val="single" w:sz="8" w:color="CCEEFF"/>
              <w:right w:val="single" w:sz="8" w:color="CCEEFF"/>
            </w:tcBorders>
            <w:gridSpan w:val="3"/>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392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Montes Archimedes Acquisition Corp., Patient Square</w:t>
              </w:r>
            </w:hyperlink>
          </w:p>
        </w:tc>
        <w:tc>
          <w:tcPr>
            <w:tcW w:w="380" w:type="dxa"/>
            <w:vAlign w:val="bottom"/>
            <w:tcBorders>
              <w:bottom w:val="single" w:sz="8" w:color="CCEEFF"/>
              <w:right w:val="single" w:sz="8" w:color="CCEEFF"/>
            </w:tcBorders>
            <w:gridSpan w:val="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Capital LLC and certain shareholders of Roivant Sciences</w:t>
              </w:r>
            </w:hyperlink>
          </w:p>
        </w:tc>
        <w:tc>
          <w:tcPr>
            <w:tcW w:w="12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6"/>
        </w:trPr>
        <w:tc>
          <w:tcPr>
            <w:tcW w:w="1200" w:type="dxa"/>
            <w:vAlign w:val="bottom"/>
            <w:shd w:val="clear" w:color="auto" w:fill="CCEEFF"/>
          </w:tcPr>
          <w:p>
            <w:pPr>
              <w:spacing w:after="0"/>
              <w:rPr>
                <w:sz w:val="18"/>
                <w:szCs w:val="18"/>
                <w:color w:val="auto"/>
              </w:rPr>
            </w:pPr>
          </w:p>
        </w:tc>
        <w:tc>
          <w:tcPr>
            <w:tcW w:w="43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Ltd.</w:t>
              </w:r>
            </w:hyperlink>
          </w:p>
        </w:tc>
        <w:tc>
          <w:tcPr>
            <w:tcW w:w="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43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Amendment No. 2 to the Support Agreement, dated as of</w:t>
              </w:r>
            </w:hyperlink>
          </w:p>
        </w:tc>
        <w:tc>
          <w:tcPr>
            <w:tcW w:w="9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October 1, 2021</w:t>
            </w:r>
          </w:p>
        </w:tc>
      </w:tr>
      <w:tr>
        <w:trPr>
          <w:trHeight w:val="20"/>
        </w:trPr>
        <w:tc>
          <w:tcPr>
            <w:tcW w:w="1200" w:type="dxa"/>
            <w:vAlign w:val="bottom"/>
            <w:shd w:val="clear" w:color="auto" w:fill="CCEEFF"/>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43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September 30, 2021, by and among Roivant Sciences Ltd.,</w:t>
              </w:r>
            </w:hyperlink>
          </w:p>
        </w:tc>
        <w:tc>
          <w:tcPr>
            <w:tcW w:w="9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3920" w:type="dxa"/>
            <w:vAlign w:val="bottom"/>
            <w:tcBorders>
              <w:top w:val="single" w:sz="8" w:color="0000EE"/>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Montes Archimedes Acquisition Corp., Patient Square</w:t>
              </w:r>
            </w:hyperlink>
          </w:p>
        </w:tc>
        <w:tc>
          <w:tcPr>
            <w:tcW w:w="30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Capital LLC and certain shareholders of Roivant Sciences</w:t>
              </w:r>
            </w:hyperlink>
          </w:p>
        </w:tc>
        <w:tc>
          <w:tcPr>
            <w:tcW w:w="12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7"/>
        </w:trPr>
        <w:tc>
          <w:tcPr>
            <w:tcW w:w="1200" w:type="dxa"/>
            <w:vAlign w:val="bottom"/>
            <w:shd w:val="clear" w:color="auto" w:fill="CCEEFF"/>
          </w:tcPr>
          <w:p>
            <w:pPr>
              <w:spacing w:after="0"/>
              <w:rPr>
                <w:sz w:val="18"/>
                <w:szCs w:val="18"/>
                <w:color w:val="auto"/>
              </w:rPr>
            </w:pPr>
          </w:p>
        </w:tc>
        <w:tc>
          <w:tcPr>
            <w:tcW w:w="43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Ltd.</w:t>
              </w:r>
            </w:hyperlink>
          </w:p>
        </w:tc>
        <w:tc>
          <w:tcPr>
            <w:tcW w:w="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43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Amended &amp; Restated Roivant Sciences Ltd. Employee</w:t>
              </w:r>
            </w:hyperlink>
          </w:p>
        </w:tc>
        <w:tc>
          <w:tcPr>
            <w:tcW w:w="9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2023</w:t>
            </w:r>
          </w:p>
        </w:tc>
      </w:tr>
      <w:tr>
        <w:trPr>
          <w:trHeight w:val="217"/>
        </w:trPr>
        <w:tc>
          <w:tcPr>
            <w:tcW w:w="120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Stock Purchase Plan</w:t>
              </w:r>
            </w:hyperlink>
          </w:p>
        </w:tc>
        <w:tc>
          <w:tcPr>
            <w:tcW w:w="360" w:type="dxa"/>
            <w:vAlign w:val="bottom"/>
            <w:tcBorders>
              <w:top w:val="single" w:sz="8" w:color="CCEEFF"/>
              <w:right w:val="single" w:sz="8" w:color="CCEEFF"/>
            </w:tcBorders>
            <w:gridSpan w:val="5"/>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43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Third Amendment to Cross License Agreement, dated</w:t>
              </w:r>
            </w:hyperlink>
          </w:p>
        </w:tc>
        <w:tc>
          <w:tcPr>
            <w:tcW w:w="9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333-261853</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December 22, 2021</w:t>
            </w:r>
          </w:p>
        </w:tc>
      </w:tr>
      <w:tr>
        <w:trPr>
          <w:trHeight w:val="20"/>
        </w:trPr>
        <w:tc>
          <w:tcPr>
            <w:tcW w:w="1200" w:type="dxa"/>
            <w:vAlign w:val="bottom"/>
            <w:shd w:val="clear" w:color="auto" w:fill="CCEEFF"/>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gridSpan w:val="3"/>
            <w:shd w:val="clear" w:color="auto" w:fill="0000EE"/>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December 9, 2021, by and between Genevant Sciences</w:t>
              </w:r>
            </w:hyperlink>
          </w:p>
        </w:tc>
        <w:tc>
          <w:tcPr>
            <w:tcW w:w="9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7"/>
        </w:trPr>
        <w:tc>
          <w:tcPr>
            <w:tcW w:w="1200" w:type="dxa"/>
            <w:vAlign w:val="bottom"/>
            <w:shd w:val="clear" w:color="auto" w:fill="CCEEFF"/>
          </w:tcPr>
          <w:p>
            <w:pPr>
              <w:spacing w:after="0"/>
              <w:rPr>
                <w:sz w:val="18"/>
                <w:szCs w:val="18"/>
                <w:color w:val="auto"/>
              </w:rPr>
            </w:pPr>
          </w:p>
        </w:tc>
        <w:tc>
          <w:tcPr>
            <w:tcW w:w="43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GmbH and Arbutus Biopharma Corporation</w:t>
              </w:r>
            </w:hyperlink>
          </w:p>
        </w:tc>
        <w:tc>
          <w:tcPr>
            <w:tcW w:w="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43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Investor Rights Agreement, dated as of September 13,</w:t>
              </w:r>
            </w:hyperlink>
          </w:p>
        </w:tc>
        <w:tc>
          <w:tcPr>
            <w:tcW w:w="9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2022</w:t>
            </w:r>
          </w:p>
        </w:tc>
      </w:tr>
      <w:tr>
        <w:trPr>
          <w:trHeight w:val="20"/>
        </w:trPr>
        <w:tc>
          <w:tcPr>
            <w:tcW w:w="1200" w:type="dxa"/>
            <w:vAlign w:val="bottom"/>
            <w:shd w:val="clear" w:color="auto" w:fill="CCEEFF"/>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gridSpan w:val="3"/>
            <w:shd w:val="clear" w:color="auto" w:fill="0000EE"/>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43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2021, by and among Priovant Holdings, Inc., Roivant</w:t>
              </w:r>
            </w:hyperlink>
          </w:p>
        </w:tc>
        <w:tc>
          <w:tcPr>
            <w:tcW w:w="9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17"/>
        </w:trPr>
        <w:tc>
          <w:tcPr>
            <w:tcW w:w="120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Sciences Ltd. and Pfizer Inc.</w:t>
              </w:r>
            </w:hyperlink>
          </w:p>
        </w:tc>
        <w:tc>
          <w:tcPr>
            <w:tcW w:w="9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43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License  and  Collaboration  Agreement,  dated  as  of</w:t>
              </w:r>
            </w:hyperlink>
          </w:p>
        </w:tc>
        <w:tc>
          <w:tcPr>
            <w:tcW w:w="980" w:type="dxa"/>
            <w:vAlign w:val="bottom"/>
            <w:tcBorders>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20" w:type="dxa"/>
            <w:vAlign w:val="bottom"/>
            <w:tcBorders>
              <w:bottom w:val="single" w:sz="8" w:color="CCEEFF"/>
            </w:tcBorders>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2022</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September 13, 2021, by and between Pfizer Inc. and</w:t>
              </w:r>
            </w:hyperlink>
          </w:p>
        </w:tc>
        <w:tc>
          <w:tcPr>
            <w:tcW w:w="9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7"/>
        </w:trPr>
        <w:tc>
          <w:tcPr>
            <w:tcW w:w="1200" w:type="dxa"/>
            <w:vAlign w:val="bottom"/>
            <w:shd w:val="clear" w:color="auto" w:fill="CCEEFF"/>
          </w:tcPr>
          <w:p>
            <w:pPr>
              <w:spacing w:after="0"/>
              <w:rPr>
                <w:sz w:val="18"/>
                <w:szCs w:val="18"/>
                <w:color w:val="auto"/>
              </w:rPr>
            </w:pPr>
          </w:p>
        </w:tc>
        <w:tc>
          <w:tcPr>
            <w:tcW w:w="43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Priovant, Inc.</w:t>
              </w:r>
            </w:hyperlink>
          </w:p>
        </w:tc>
        <w:tc>
          <w:tcPr>
            <w:tcW w:w="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43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Amendment  No.  1  to  License  and  Collaboration</w:t>
              </w:r>
            </w:hyperlink>
          </w:p>
        </w:tc>
        <w:tc>
          <w:tcPr>
            <w:tcW w:w="9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2022</w:t>
            </w:r>
          </w:p>
        </w:tc>
      </w:tr>
      <w:tr>
        <w:trPr>
          <w:trHeight w:val="20"/>
        </w:trPr>
        <w:tc>
          <w:tcPr>
            <w:tcW w:w="1200" w:type="dxa"/>
            <w:vAlign w:val="bottom"/>
            <w:shd w:val="clear" w:color="auto" w:fill="CCEEFF"/>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gridSpan w:val="3"/>
            <w:shd w:val="clear" w:color="auto" w:fill="0000EE"/>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Agreement, dated as of June 10, 2022, by and between</w:t>
              </w:r>
            </w:hyperlink>
          </w:p>
        </w:tc>
        <w:tc>
          <w:tcPr>
            <w:tcW w:w="9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7"/>
        </w:trPr>
        <w:tc>
          <w:tcPr>
            <w:tcW w:w="1200" w:type="dxa"/>
            <w:vAlign w:val="bottom"/>
            <w:shd w:val="clear" w:color="auto" w:fill="CCEEFF"/>
          </w:tcPr>
          <w:p>
            <w:pPr>
              <w:spacing w:after="0"/>
              <w:rPr>
                <w:sz w:val="18"/>
                <w:szCs w:val="18"/>
                <w:color w:val="auto"/>
              </w:rPr>
            </w:pPr>
          </w:p>
        </w:tc>
        <w:tc>
          <w:tcPr>
            <w:tcW w:w="43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Pfizer Inc. and Priovant, Inc.</w:t>
              </w:r>
            </w:hyperlink>
          </w:p>
        </w:tc>
        <w:tc>
          <w:tcPr>
            <w:tcW w:w="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43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Employment Agreement between Roivant Sciences, Inc.</w:t>
              </w:r>
            </w:hyperlink>
          </w:p>
        </w:tc>
        <w:tc>
          <w:tcPr>
            <w:tcW w:w="9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S-1/A</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333-260619</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July 28, 2022</w:t>
            </w:r>
          </w:p>
        </w:tc>
      </w:tr>
      <w:tr>
        <w:trPr>
          <w:trHeight w:val="216"/>
        </w:trPr>
        <w:tc>
          <w:tcPr>
            <w:tcW w:w="120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and Mayukh Sukhatme, dated as of May 19, 2020</w:t>
              </w:r>
            </w:hyperlink>
          </w:p>
        </w:tc>
        <w:tc>
          <w:tcPr>
            <w:tcW w:w="180" w:type="dxa"/>
            <w:vAlign w:val="bottom"/>
            <w:tcBorders>
              <w:top w:val="single" w:sz="8" w:color="CCEEFF"/>
              <w:right w:val="single" w:sz="8" w:color="CCEEFF"/>
            </w:tcBorders>
            <w:gridSpan w:val="3"/>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39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Form of Stock Option Grant Notice under the Roivant</w:t>
              </w:r>
            </w:hyperlink>
          </w:p>
        </w:tc>
        <w:tc>
          <w:tcPr>
            <w:tcW w:w="400" w:type="dxa"/>
            <w:vAlign w:val="bottom"/>
            <w:tcBorders>
              <w:bottom w:val="single" w:sz="8" w:color="CCEEFF"/>
              <w:right w:val="single" w:sz="8" w:color="CCEEFF"/>
            </w:tcBorders>
            <w:gridSpan w:val="7"/>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20" w:type="dxa"/>
            <w:vAlign w:val="bottom"/>
            <w:tcBorders>
              <w:bottom w:val="single" w:sz="8" w:color="CCEEFF"/>
            </w:tcBorders>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2023</w:t>
            </w:r>
          </w:p>
        </w:tc>
      </w:tr>
      <w:tr>
        <w:trPr>
          <w:trHeight w:val="196"/>
        </w:trPr>
        <w:tc>
          <w:tcPr>
            <w:tcW w:w="1200" w:type="dxa"/>
            <w:vAlign w:val="bottom"/>
            <w:shd w:val="clear" w:color="auto" w:fill="CCEEFF"/>
          </w:tcPr>
          <w:p>
            <w:pPr>
              <w:spacing w:after="0"/>
              <w:rPr>
                <w:sz w:val="17"/>
                <w:szCs w:val="17"/>
                <w:color w:val="auto"/>
              </w:rPr>
            </w:pPr>
          </w:p>
        </w:tc>
        <w:tc>
          <w:tcPr>
            <w:tcW w:w="43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Sciences Ltd. Amended and Restated 2015 Equity</w:t>
              </w:r>
            </w:hyperlink>
          </w:p>
        </w:tc>
        <w:tc>
          <w:tcPr>
            <w:tcW w:w="9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17"/>
        </w:trPr>
        <w:tc>
          <w:tcPr>
            <w:tcW w:w="1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Incentive Plan</w:t>
              </w:r>
            </w:hyperlink>
          </w:p>
        </w:tc>
        <w:tc>
          <w:tcPr>
            <w:tcW w:w="700" w:type="dxa"/>
            <w:vAlign w:val="bottom"/>
            <w:tcBorders>
              <w:top w:val="single" w:sz="8" w:color="CCEEFF"/>
              <w:right w:val="single" w:sz="8" w:color="CCEEFF"/>
            </w:tcBorders>
            <w:gridSpan w:val="10"/>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43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Form of Restricted Stock Unit Award Grant Notice under</w:t>
              </w:r>
            </w:hyperlink>
          </w:p>
        </w:tc>
        <w:tc>
          <w:tcPr>
            <w:tcW w:w="9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2023</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12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the Roivant Sciences Ltd. Amended and Restated 2015</w:t>
              </w:r>
            </w:hyperlink>
          </w:p>
        </w:tc>
        <w:tc>
          <w:tcPr>
            <w:tcW w:w="180" w:type="dxa"/>
            <w:vAlign w:val="bottom"/>
            <w:tcBorders>
              <w:top w:val="single" w:sz="8" w:color="CCEEFF"/>
              <w:right w:val="single" w:sz="8" w:color="CCEEFF"/>
            </w:tcBorders>
            <w:gridSpan w:val="3"/>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r>
      <w:tr>
        <w:trPr>
          <w:trHeight w:val="217"/>
        </w:trPr>
        <w:tc>
          <w:tcPr>
            <w:tcW w:w="120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Equity Incentive Plan</w:t>
              </w:r>
            </w:hyperlink>
          </w:p>
        </w:tc>
        <w:tc>
          <w:tcPr>
            <w:tcW w:w="340" w:type="dxa"/>
            <w:vAlign w:val="bottom"/>
            <w:tcBorders>
              <w:top w:val="single" w:sz="8" w:color="CCEEFF"/>
              <w:right w:val="single" w:sz="8" w:color="CCEEFF"/>
            </w:tcBorders>
            <w:gridSpan w:val="4"/>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43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Form of Performance Option Grant Notice under the</w:t>
              </w:r>
            </w:hyperlink>
          </w:p>
        </w:tc>
        <w:tc>
          <w:tcPr>
            <w:tcW w:w="9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2023</w:t>
            </w:r>
          </w:p>
        </w:tc>
      </w:tr>
      <w:tr>
        <w:trPr>
          <w:trHeight w:val="20"/>
        </w:trPr>
        <w:tc>
          <w:tcPr>
            <w:tcW w:w="1200" w:type="dxa"/>
            <w:vAlign w:val="bottom"/>
            <w:shd w:val="clear" w:color="auto" w:fill="CCEEFF"/>
          </w:tcPr>
          <w:p>
            <w:pPr>
              <w:spacing w:after="0" w:line="20" w:lineRule="exact"/>
              <w:rPr>
                <w:sz w:val="1"/>
                <w:szCs w:val="1"/>
                <w:color w:val="auto"/>
              </w:rPr>
            </w:pPr>
          </w:p>
        </w:tc>
        <w:tc>
          <w:tcPr>
            <w:tcW w:w="3780" w:type="dxa"/>
            <w:vAlign w:val="bottom"/>
            <w:gridSpan w:val="11"/>
            <w:shd w:val="clear" w:color="auto" w:fill="0000EE"/>
          </w:tcPr>
          <w:p>
            <w:pPr>
              <w:spacing w:after="0" w:line="20" w:lineRule="exact"/>
              <w:rPr>
                <w:sz w:val="1"/>
                <w:szCs w:val="1"/>
                <w:color w:val="auto"/>
              </w:rPr>
            </w:pPr>
          </w:p>
        </w:tc>
        <w:tc>
          <w:tcPr>
            <w:tcW w:w="520" w:type="dxa"/>
            <w:vAlign w:val="bottom"/>
            <w:tcBorders>
              <w:right w:val="single" w:sz="8" w:color="CCEEFF"/>
            </w:tcBorders>
            <w:gridSpan w:val="8"/>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43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Roivant Sciences Ltd. Amended and Restated 2015 Equity</w:t>
              </w:r>
            </w:hyperlink>
          </w:p>
        </w:tc>
        <w:tc>
          <w:tcPr>
            <w:tcW w:w="9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16"/>
        </w:trPr>
        <w:tc>
          <w:tcPr>
            <w:tcW w:w="120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Incentive Plan</w:t>
              </w:r>
            </w:hyperlink>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571"/>
        </w:trPr>
        <w:tc>
          <w:tcPr>
            <w:tcW w:w="1200" w:type="dxa"/>
            <w:vAlign w:val="bottom"/>
            <w:tcBorders>
              <w:top w:val="single" w:sz="8" w:color="CCEEFF"/>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173</w:t>
            </w:r>
          </w:p>
        </w:tc>
        <w:tc>
          <w:tcPr>
            <w:tcW w:w="16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r>
      <w:tr>
        <w:trPr>
          <w:trHeight w:val="44"/>
        </w:trPr>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gridSpan w:val="16"/>
            <w:shd w:val="clear" w:color="auto" w:fill="CCEEFF"/>
          </w:tcPr>
          <w:p>
            <w:pPr>
              <w:spacing w:after="0"/>
              <w:rPr>
                <w:rFonts w:ascii="Times New Roman" w:cs="Times New Roman" w:eastAsia="Times New Roman" w:hAnsi="Times New Roman"/>
                <w:sz w:val="18"/>
                <w:szCs w:val="18"/>
                <w:color w:val="0000EE"/>
                <w:w w:val="98"/>
              </w:rPr>
            </w:pPr>
            <w:hyperlink r:id="rId234">
              <w:r>
                <w:rPr>
                  <w:rFonts w:ascii="Times New Roman" w:cs="Times New Roman" w:eastAsia="Times New Roman" w:hAnsi="Times New Roman"/>
                  <w:sz w:val="18"/>
                  <w:szCs w:val="18"/>
                  <w:color w:val="0000EE"/>
                  <w:w w:val="98"/>
                </w:rPr>
                <w:t>Form of Capped Value Appreciation Right Award Grant</w:t>
              </w:r>
            </w:hyperlink>
          </w:p>
        </w:tc>
        <w:tc>
          <w:tcPr>
            <w:tcW w:w="240" w:type="dxa"/>
            <w:vAlign w:val="bottom"/>
            <w:tcBorders>
              <w:bottom w:val="single" w:sz="8" w:color="CCEEFF"/>
            </w:tcBorders>
            <w:gridSpan w:val="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10-K</w:t>
            </w:r>
          </w:p>
        </w:tc>
        <w:tc>
          <w:tcPr>
            <w:tcW w:w="1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001-40782</w:t>
            </w:r>
          </w:p>
        </w:tc>
        <w:tc>
          <w:tcPr>
            <w:tcW w:w="1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10.42</w:t>
            </w:r>
          </w:p>
        </w:tc>
        <w:tc>
          <w:tcPr>
            <w:tcW w:w="2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28, 2023</w:t>
            </w: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Notice under the Roivant Sciences Ltd. Amended and</w:t>
              </w:r>
            </w:hyperlink>
          </w:p>
        </w:tc>
        <w:tc>
          <w:tcPr>
            <w:tcW w:w="400" w:type="dxa"/>
            <w:vAlign w:val="bottom"/>
            <w:tcBorders>
              <w:bottom w:val="single" w:sz="8" w:color="CCEEFF"/>
            </w:tcBorders>
            <w:gridSpan w:val="9"/>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7"/>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Restated 2015 Equity Incentive Plan</w:t>
              </w:r>
            </w:hyperlink>
          </w:p>
        </w:tc>
        <w:tc>
          <w:tcPr>
            <w:tcW w:w="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5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9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Form of Stock Option Grant Notice under the Roivant</w:t>
              </w:r>
            </w:hyperlink>
          </w:p>
        </w:tc>
        <w:tc>
          <w:tcPr>
            <w:tcW w:w="380" w:type="dxa"/>
            <w:vAlign w:val="bottom"/>
            <w:tcBorders>
              <w:bottom w:val="single" w:sz="8" w:color="CCEEFF"/>
            </w:tcBorders>
            <w:gridSpan w:val="8"/>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580" w:type="dxa"/>
            <w:vAlign w:val="bottom"/>
            <w:tcBorders>
              <w:bottom w:val="single" w:sz="8" w:color="CCEEFF"/>
            </w:tcBorders>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8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10.43</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2023</w:t>
            </w:r>
          </w:p>
        </w:tc>
      </w:tr>
      <w:tr>
        <w:trPr>
          <w:trHeight w:val="217"/>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Sciences Ltd. 2021 Equity Incentive Plan</w:t>
              </w:r>
            </w:hyperlink>
          </w:p>
        </w:tc>
        <w:tc>
          <w:tcPr>
            <w:tcW w:w="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5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16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Form of Restricted Stock Unit Award Grant Notice under</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580" w:type="dxa"/>
            <w:vAlign w:val="bottom"/>
            <w:tcBorders>
              <w:bottom w:val="single" w:sz="8" w:color="CCEEFF"/>
            </w:tcBorders>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8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10.44</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June 28, 2023</w:t>
            </w:r>
          </w:p>
        </w:tc>
      </w:tr>
      <w:tr>
        <w:trPr>
          <w:trHeight w:val="217"/>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the Roivant Sciences Ltd. 2021 Equity Incentive Plan</w:t>
              </w:r>
            </w:hyperlink>
          </w:p>
        </w:tc>
        <w:tc>
          <w:tcPr>
            <w:tcW w:w="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6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520" w:type="dxa"/>
            <w:vAlign w:val="bottom"/>
            <w:tcBorders>
              <w:bottom w:val="single" w:sz="8" w:color="CCEEFF"/>
            </w:tcBorders>
            <w:shd w:val="clear" w:color="auto" w:fill="CCEEFF"/>
          </w:tcPr>
          <w:p>
            <w:pPr>
              <w:spacing w:after="0"/>
              <w:rPr>
                <w:sz w:val="15"/>
                <w:szCs w:val="15"/>
                <w:color w:val="auto"/>
              </w:rPr>
            </w:pPr>
          </w:p>
        </w:tc>
        <w:tc>
          <w:tcPr>
            <w:tcW w:w="41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Master Services Agreement, between Samsung Biologics</w:t>
              </w:r>
            </w:hyperlink>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580" w:type="dxa"/>
            <w:vAlign w:val="bottom"/>
            <w:tcBorders>
              <w:bottom w:val="single" w:sz="8" w:color="CCEEFF"/>
            </w:tcBorders>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001-38906</w:t>
            </w:r>
          </w:p>
        </w:tc>
        <w:tc>
          <w:tcPr>
            <w:tcW w:w="108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February 4, 2022</w:t>
            </w:r>
          </w:p>
        </w:tc>
      </w:tr>
      <w:tr>
        <w:trPr>
          <w:trHeight w:val="196"/>
        </w:trPr>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Co., Ltd. and Immunovant Sciences GmbH, dated April</w:t>
              </w:r>
            </w:hyperlink>
          </w:p>
        </w:tc>
        <w:tc>
          <w:tcPr>
            <w:tcW w:w="9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17"/>
        </w:trPr>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30, 2021</w:t>
              </w:r>
            </w:hyperlink>
          </w:p>
        </w:tc>
        <w:tc>
          <w:tcPr>
            <w:tcW w:w="82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6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520" w:type="dxa"/>
            <w:vAlign w:val="bottom"/>
            <w:tcBorders>
              <w:bottom w:val="single" w:sz="8" w:color="CCEEFF"/>
            </w:tcBorders>
            <w:shd w:val="clear" w:color="auto" w:fill="CCEEFF"/>
          </w:tcPr>
          <w:p>
            <w:pPr>
              <w:spacing w:after="0"/>
              <w:rPr>
                <w:sz w:val="15"/>
                <w:szCs w:val="15"/>
                <w:color w:val="auto"/>
              </w:rPr>
            </w:pPr>
          </w:p>
        </w:tc>
        <w:tc>
          <w:tcPr>
            <w:tcW w:w="412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Product Service Agreement, between Samsung Biologics</w:t>
              </w:r>
            </w:hyperlink>
          </w:p>
        </w:tc>
        <w:tc>
          <w:tcPr>
            <w:tcW w:w="160" w:type="dxa"/>
            <w:vAlign w:val="bottom"/>
            <w:tcBorders>
              <w:bottom w:val="single" w:sz="8" w:color="CCEEFF"/>
            </w:tcBorders>
            <w:gridSpan w:val="3"/>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580" w:type="dxa"/>
            <w:vAlign w:val="bottom"/>
            <w:tcBorders>
              <w:bottom w:val="single" w:sz="8" w:color="CCEEFF"/>
            </w:tcBorders>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001-38906</w:t>
            </w:r>
          </w:p>
        </w:tc>
        <w:tc>
          <w:tcPr>
            <w:tcW w:w="108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1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February 4, 2022</w:t>
            </w: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Co., Ltd. and Immunovant Sciences GmbH, dated</w:t>
              </w:r>
            </w:hyperlink>
          </w:p>
        </w:tc>
        <w:tc>
          <w:tcPr>
            <w:tcW w:w="680" w:type="dxa"/>
            <w:vAlign w:val="bottom"/>
            <w:tcBorders>
              <w:bottom w:val="single" w:sz="8" w:color="CCEEFF"/>
            </w:tcBorders>
            <w:gridSpan w:val="1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7"/>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November 17, 2021</w:t>
              </w:r>
            </w:hyperlink>
          </w:p>
        </w:tc>
        <w:tc>
          <w:tcPr>
            <w:tcW w:w="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5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10.30*^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2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Employment Agreement between Roivant Sciences, Inc.</w:t>
              </w:r>
            </w:hyperlink>
          </w:p>
        </w:tc>
        <w:tc>
          <w:tcPr>
            <w:tcW w:w="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10.44</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August 9, 2024</w:t>
            </w:r>
          </w:p>
        </w:tc>
      </w:tr>
      <w:tr>
        <w:trPr>
          <w:trHeight w:val="217"/>
        </w:trPr>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and Rakhi Kumar, dated as of June 5, 2023</w:t>
              </w:r>
            </w:hyperlink>
          </w:p>
        </w:tc>
        <w:tc>
          <w:tcPr>
            <w:tcW w:w="220" w:type="dxa"/>
            <w:vAlign w:val="bottom"/>
            <w:tcBorders>
              <w:top w:val="single" w:sz="8" w:color="CCEEFF"/>
            </w:tcBorders>
            <w:gridSpan w:val="4"/>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42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Employment Agreement between Roivant Sciences, Inc.</w:t>
              </w:r>
            </w:hyperlink>
          </w:p>
        </w:tc>
        <w:tc>
          <w:tcPr>
            <w:tcW w:w="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10.43</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August 9, 2024</w:t>
            </w:r>
          </w:p>
        </w:tc>
      </w:tr>
      <w:tr>
        <w:trPr>
          <w:trHeight w:val="217"/>
        </w:trPr>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and Richard Pulik, dated as of August 31, 2021</w:t>
              </w:r>
            </w:hyperlink>
          </w:p>
        </w:tc>
        <w:tc>
          <w:tcPr>
            <w:tcW w:w="220" w:type="dxa"/>
            <w:vAlign w:val="bottom"/>
            <w:tcBorders>
              <w:top w:val="single" w:sz="8" w:color="CCEEFF"/>
            </w:tcBorders>
            <w:gridSpan w:val="4"/>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6"/>
        </w:trPr>
        <w:tc>
          <w:tcPr>
            <w:tcW w:w="12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42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License Agreement by and between Bayer</w:t>
              </w:r>
            </w:hyperlink>
          </w:p>
        </w:tc>
        <w:tc>
          <w:tcPr>
            <w:tcW w:w="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10.45</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November 12, 2024</w:t>
            </w:r>
          </w:p>
        </w:tc>
      </w:tr>
      <w:tr>
        <w:trPr>
          <w:trHeight w:val="20"/>
        </w:trPr>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CCEEFF"/>
          </w:tcPr>
          <w:p>
            <w:pPr>
              <w:spacing w:after="0" w:line="20" w:lineRule="exact"/>
              <w:rPr>
                <w:sz w:val="1"/>
                <w:szCs w:val="1"/>
                <w:color w:val="auto"/>
              </w:rPr>
            </w:pPr>
          </w:p>
        </w:tc>
        <w:tc>
          <w:tcPr>
            <w:tcW w:w="320" w:type="dxa"/>
            <w:vAlign w:val="bottom"/>
            <w:gridSpan w:val="4"/>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40" w:type="dxa"/>
            <w:vAlign w:val="bottom"/>
            <w:gridSpan w:val="5"/>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Aktiengesellschaft and Pulmovant, Inc., dated as of July</w:t>
              </w:r>
            </w:hyperlink>
          </w:p>
        </w:tc>
        <w:tc>
          <w:tcPr>
            <w:tcW w:w="9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16"/>
        </w:trPr>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27, 2023</w:t>
              </w:r>
            </w:hyperlink>
          </w:p>
        </w:tc>
        <w:tc>
          <w:tcPr>
            <w:tcW w:w="82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42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First Amendment to the License Agreement by and</w:t>
              </w:r>
            </w:hyperlink>
          </w:p>
        </w:tc>
        <w:tc>
          <w:tcPr>
            <w:tcW w:w="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1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10.46</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November 12, 2024</w:t>
            </w:r>
          </w:p>
        </w:tc>
      </w:tr>
      <w:tr>
        <w:trPr>
          <w:trHeight w:val="20"/>
        </w:trPr>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320" w:type="dxa"/>
            <w:vAlign w:val="bottom"/>
            <w:gridSpan w:val="4"/>
            <w:shd w:val="clear" w:color="auto" w:fill="CCEEFF"/>
          </w:tcPr>
          <w:p>
            <w:pPr>
              <w:spacing w:after="0" w:line="20" w:lineRule="exact"/>
              <w:rPr>
                <w:sz w:val="1"/>
                <w:szCs w:val="1"/>
                <w:color w:val="auto"/>
              </w:rPr>
            </w:pPr>
          </w:p>
        </w:tc>
        <w:tc>
          <w:tcPr>
            <w:tcW w:w="280" w:type="dxa"/>
            <w:vAlign w:val="bottom"/>
            <w:gridSpan w:val="7"/>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between Bayer Aktiengesellschaft and Pulmovant, Inc.,</w:t>
              </w:r>
            </w:hyperlink>
          </w:p>
        </w:tc>
        <w:tc>
          <w:tcPr>
            <w:tcW w:w="280" w:type="dxa"/>
            <w:vAlign w:val="bottom"/>
            <w:tcBorders>
              <w:bottom w:val="single" w:sz="8" w:color="CCEEFF"/>
            </w:tcBorders>
            <w:gridSpan w:val="7"/>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dated as of September 22, 2023</w:t>
              </w:r>
            </w:hyperlink>
          </w:p>
        </w:tc>
        <w:tc>
          <w:tcPr>
            <w:tcW w:w="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12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34#†^</w:t>
            </w:r>
          </w:p>
        </w:tc>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Retention Award Agreement between Roivant Sciences,</w:t>
            </w:r>
          </w:p>
        </w:tc>
        <w:tc>
          <w:tcPr>
            <w:tcW w:w="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4280" w:type="dxa"/>
            <w:vAlign w:val="bottom"/>
            <w:tcBorders>
              <w:top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and Mayukh Sukhatme, dated as of July 26, 2024</w:t>
            </w:r>
          </w:p>
        </w:tc>
        <w:tc>
          <w:tcPr>
            <w:tcW w:w="9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CCEEFF"/>
            </w:tcBorders>
            <w:shd w:val="clear" w:color="auto" w:fill="CCEEFF"/>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196"/>
        </w:trPr>
        <w:tc>
          <w:tcPr>
            <w:tcW w:w="5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Cash Incentive Award Statement</w:t>
            </w:r>
          </w:p>
        </w:tc>
        <w:tc>
          <w:tcPr>
            <w:tcW w:w="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Performance Restricted Stock Unit Award Grant</w:t>
            </w:r>
          </w:p>
        </w:tc>
        <w:tc>
          <w:tcPr>
            <w:tcW w:w="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under the Roivant Sciences Ltd. 2021 Equity</w:t>
            </w:r>
          </w:p>
        </w:tc>
        <w:tc>
          <w:tcPr>
            <w:tcW w:w="9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9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175"/>
        </w:trPr>
        <w:tc>
          <w:tcPr>
            <w:tcW w:w="12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37†^</w:t>
            </w:r>
          </w:p>
        </w:tc>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Separation Agreement and General Release between</w:t>
            </w:r>
          </w:p>
        </w:tc>
        <w:tc>
          <w:tcPr>
            <w:tcW w:w="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4280" w:type="dxa"/>
            <w:vAlign w:val="bottom"/>
            <w:tcBorders>
              <w:top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Roivant Sciences, Inc. and Rakhi Kumar</w:t>
            </w:r>
          </w:p>
        </w:tc>
        <w:tc>
          <w:tcPr>
            <w:tcW w:w="9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CCEEFF"/>
            </w:tcBorders>
            <w:shd w:val="clear" w:color="auto" w:fill="CCEEFF"/>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175"/>
        </w:trPr>
        <w:tc>
          <w:tcPr>
            <w:tcW w:w="12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38†^</w:t>
            </w:r>
          </w:p>
        </w:tc>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Consulting Agreement between Roivant Sciences, Inc. and</w:t>
            </w:r>
          </w:p>
        </w:tc>
        <w:tc>
          <w:tcPr>
            <w:tcW w:w="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4280" w:type="dxa"/>
            <w:vAlign w:val="bottom"/>
            <w:tcBorders>
              <w:top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Rakhi Kumar</w:t>
            </w:r>
          </w:p>
        </w:tc>
        <w:tc>
          <w:tcPr>
            <w:tcW w:w="9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CCEEFF"/>
            </w:tcBorders>
            <w:shd w:val="clear" w:color="auto" w:fill="CCEEFF"/>
          </w:tcPr>
          <w:p>
            <w:pPr>
              <w:spacing w:after="0"/>
              <w:rPr>
                <w:sz w:val="20"/>
                <w:szCs w:val="20"/>
                <w:color w:val="auto"/>
              </w:rPr>
            </w:pPr>
          </w:p>
        </w:tc>
      </w:tr>
      <w:tr>
        <w:trPr>
          <w:trHeight w:val="570"/>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174</w:t>
            </w: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4"/>
        </w:trPr>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69"/>
        </w:trPr>
        <w:tc>
          <w:tcPr>
            <w:tcW w:w="1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96"/>
        </w:trPr>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Insider Trading Policy</w:t>
            </w:r>
          </w:p>
        </w:tc>
        <w:tc>
          <w:tcPr>
            <w:tcW w:w="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List of Subsidiaries of Roivant Sciences Ltd.</w:t>
            </w:r>
          </w:p>
        </w:tc>
        <w:tc>
          <w:tcPr>
            <w:tcW w:w="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7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5"/>
                <w:szCs w:val="15"/>
                <w:color w:val="auto"/>
              </w:rPr>
            </w:pPr>
          </w:p>
        </w:tc>
        <w:tc>
          <w:tcPr>
            <w:tcW w:w="4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Ernst &amp; Young LLP, Independent Registered</w:t>
            </w:r>
          </w:p>
        </w:tc>
        <w:tc>
          <w:tcPr>
            <w:tcW w:w="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Accounting Firm of Roivant Sciences Ltd.</w:t>
            </w:r>
          </w:p>
        </w:tc>
        <w:tc>
          <w:tcPr>
            <w:tcW w:w="92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2240" w:type="dxa"/>
            <w:vAlign w:val="bottom"/>
            <w:tcBorders>
              <w:top w:val="single" w:sz="8" w:color="CCEEFF"/>
            </w:tcBorders>
            <w:shd w:val="clear" w:color="auto" w:fill="CCEEFF"/>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7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5"/>
                <w:szCs w:val="15"/>
                <w:color w:val="auto"/>
              </w:rPr>
            </w:pPr>
          </w:p>
        </w:tc>
        <w:tc>
          <w:tcPr>
            <w:tcW w:w="4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w:t>
            </w:r>
          </w:p>
        </w:tc>
        <w:tc>
          <w:tcPr>
            <w:tcW w:w="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1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Rules 13a-14(a) and 15d-14(a) under the Securities</w:t>
            </w:r>
          </w:p>
        </w:tc>
        <w:tc>
          <w:tcPr>
            <w:tcW w:w="9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 of 1934, as Adopted Pursuant to Section 302</w:t>
            </w: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34"/>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9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7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5"/>
                <w:szCs w:val="15"/>
                <w:color w:val="auto"/>
              </w:rPr>
            </w:pPr>
          </w:p>
        </w:tc>
        <w:tc>
          <w:tcPr>
            <w:tcW w:w="4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w:t>
            </w:r>
          </w:p>
        </w:tc>
        <w:tc>
          <w:tcPr>
            <w:tcW w:w="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1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Rules 13a-14(a) and 15d-14(a) under the Securities</w:t>
            </w:r>
          </w:p>
        </w:tc>
        <w:tc>
          <w:tcPr>
            <w:tcW w:w="9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 of 1934, as Adopted Pursuant to Section 302</w:t>
            </w: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34"/>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9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7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5"/>
                <w:szCs w:val="15"/>
                <w:color w:val="auto"/>
              </w:rPr>
            </w:pPr>
          </w:p>
        </w:tc>
        <w:tc>
          <w:tcPr>
            <w:tcW w:w="4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w:t>
            </w:r>
          </w:p>
        </w:tc>
        <w:tc>
          <w:tcPr>
            <w:tcW w:w="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1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U.S.C. Section 1350, as Adopted Pursuant to Section 906</w:t>
            </w:r>
          </w:p>
        </w:tc>
        <w:tc>
          <w:tcPr>
            <w:tcW w:w="9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r>
      <w:tr>
        <w:trPr>
          <w:trHeight w:val="234"/>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9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5"/>
                <w:szCs w:val="15"/>
                <w:color w:val="auto"/>
              </w:rPr>
            </w:pPr>
          </w:p>
        </w:tc>
        <w:tc>
          <w:tcPr>
            <w:tcW w:w="4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w:t>
            </w:r>
          </w:p>
        </w:tc>
        <w:tc>
          <w:tcPr>
            <w:tcW w:w="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1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U.S.C. Section 1350, as Adopted Pursuant to Section 906</w:t>
            </w:r>
          </w:p>
        </w:tc>
        <w:tc>
          <w:tcPr>
            <w:tcW w:w="9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r>
      <w:tr>
        <w:trPr>
          <w:trHeight w:val="234"/>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9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6"/>
        </w:trPr>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Roivant Sciences Ltd. Compensation Recoupment Policy</w:t>
              </w:r>
            </w:hyperlink>
          </w:p>
        </w:tc>
        <w:tc>
          <w:tcPr>
            <w:tcW w:w="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5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001-40782</w:t>
            </w:r>
          </w:p>
        </w:tc>
        <w:tc>
          <w:tcPr>
            <w:tcW w:w="9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2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May 30, 2024</w:t>
            </w:r>
          </w:p>
        </w:tc>
      </w:tr>
      <w:tr>
        <w:trPr>
          <w:trHeight w:val="216"/>
        </w:trPr>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216"/>
        </w:trPr>
        <w:tc>
          <w:tcPr>
            <w:tcW w:w="1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12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4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92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12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4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2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12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4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2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12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4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92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92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9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500" w:right="20" w:hanging="492"/>
        <w:spacing w:after="0" w:line="282" w:lineRule="auto"/>
        <w:tabs>
          <w:tab w:leader="none" w:pos="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they are both (i) not material and (ii) would likely cause competitive harm to Roivant Sciences Ltd. if publicly disclosed.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500" w:hanging="492"/>
        <w:spacing w:after="0" w:line="261" w:lineRule="auto"/>
        <w:tabs>
          <w:tab w:leader="none" w:pos="5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ind w:left="500" w:hanging="492"/>
        <w:spacing w:after="0"/>
        <w:tabs>
          <w:tab w:leader="none" w:pos="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sz w:val="20"/>
          <w:szCs w:val="20"/>
          <w:color w:val="auto"/>
        </w:rPr>
      </w:pPr>
    </w:p>
    <w:p>
      <w:pPr>
        <w:jc w:val="both"/>
        <w:ind w:left="500" w:hanging="492"/>
        <w:spacing w:after="0" w:line="250"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 w:lineRule="exact"/>
        <w:rPr>
          <w:sz w:val="20"/>
          <w:szCs w:val="20"/>
          <w:color w:val="auto"/>
        </w:rPr>
      </w:pPr>
    </w:p>
    <w:p>
      <w:pPr>
        <w:ind w:left="500" w:hanging="492"/>
        <w:spacing w:after="0"/>
        <w:tabs>
          <w:tab w:leader="none" w:pos="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10-K pursuant to Item 15(b).</w:t>
      </w:r>
    </w:p>
    <w:p>
      <w:pPr>
        <w:spacing w:after="0" w:line="20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29, 2025</w:t>
      </w:r>
      <w:r>
        <w:rPr>
          <w:sz w:val="20"/>
          <w:szCs w:val="20"/>
          <w:color w:val="auto"/>
        </w:rPr>
        <w:tab/>
      </w:r>
      <w:r>
        <w:rPr>
          <w:rFonts w:ascii="Times New Roman" w:cs="Times New Roman" w:eastAsia="Times New Roman" w:hAnsi="Times New Roman"/>
          <w:sz w:val="18"/>
          <w:szCs w:val="18"/>
          <w:color w:val="auto"/>
        </w:rPr>
        <w:t>By: /s/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Keyur Parekh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Richard Pulik, Jo Chen and Keyur Parekh, as their true and lawful attorney-in-fact and agent, with full power of substitution and resubstitution, for such person and in his or her name, place and stead, in any and all capacities, to sign any and all amendments to the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could do in person, hereby ratifying and confirming all that said attorney-in-fact and agent, or his substitutes, may lawfully do or cause to be done by virtue hereof.</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6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2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0"/>
        </w:trPr>
        <w:tc>
          <w:tcPr>
            <w:tcW w:w="1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9"/>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Gline</w:t>
            </w:r>
          </w:p>
        </w:tc>
        <w:tc>
          <w:tcPr>
            <w:tcW w:w="7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Gline</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Richard Pulik</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Pulik</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Jennifer Humes</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Jennifer Humes</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Mayukh Sukhatme</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President and Chief Investment Officer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Mayukh Sukhatme</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and Director</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Keith Manchester</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Director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Keith Manchester</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Ilan Oren</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Director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Ilan Oren</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Daniel Gold</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Director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Daniel Gold</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Melissa Epperly</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Director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Melissa Epperly</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Meghan FitzGerald</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Director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Meghan FitzGerald</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James C. Momtazee</w:t>
            </w:r>
          </w:p>
        </w:tc>
        <w:tc>
          <w:tcPr>
            <w:tcW w:w="4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Director</w:t>
            </w:r>
          </w:p>
        </w:tc>
        <w:tc>
          <w:tcPr>
            <w:tcW w:w="2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C. Momtazee</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12"/>
        </w:trPr>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177</w:t>
            </w: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84"/>
        </w:trPr>
        <w:tc>
          <w:tcPr>
            <w:tcW w:w="16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6" w:right="339" w:bottom="1440" w:gutter="0" w:footer="0" w:header="0"/>
        </w:sectPr>
      </w:pPr>
    </w:p>
    <w:bookmarkStart w:id="183" w:name="page184"/>
    <w:bookmarkEnd w:id="183"/>
    <w:p>
      <w:pPr>
        <w:ind w:left="102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10.34</w:t>
      </w:r>
    </w:p>
    <w:p>
      <w:pPr>
        <w:spacing w:after="0" w:line="237" w:lineRule="exact"/>
        <w:rPr>
          <w:sz w:val="20"/>
          <w:szCs w:val="20"/>
          <w:color w:val="auto"/>
        </w:rPr>
      </w:pPr>
    </w:p>
    <w:p>
      <w:pPr>
        <w:jc w:val="center"/>
        <w:ind w:left="340" w:right="100"/>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Retention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-116840</wp:posOffset>
            </wp:positionV>
            <wp:extent cx="1851660" cy="685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18516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Mayukh Sukhatme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Investment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Mayukh,</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recognition of your hard work and dedication and in anticipation of your future contributions to the success of Roivant Sciences, Inc. (“</w:t>
      </w:r>
      <w:r>
        <w:rPr>
          <w:rFonts w:ascii="Times New Roman" w:cs="Times New Roman" w:eastAsia="Times New Roman" w:hAnsi="Times New Roman"/>
          <w:sz w:val="18"/>
          <w:szCs w:val="18"/>
          <w:b w:val="1"/>
          <w:bCs w:val="1"/>
          <w:color w:val="auto"/>
        </w:rPr>
        <w:t>Roivant</w:t>
      </w:r>
      <w:r>
        <w:rPr>
          <w:rFonts w:ascii="Times New Roman" w:cs="Times New Roman" w:eastAsia="Times New Roman" w:hAnsi="Times New Roman"/>
          <w:sz w:val="18"/>
          <w:szCs w:val="18"/>
          <w:color w:val="auto"/>
        </w:rPr>
        <w:t>”) and the Vants, we are pleased to provide you with the following one-time, cash retention award (the “</w:t>
      </w:r>
      <w:r>
        <w:rPr>
          <w:rFonts w:ascii="Times New Roman" w:cs="Times New Roman" w:eastAsia="Times New Roman" w:hAnsi="Times New Roman"/>
          <w:sz w:val="18"/>
          <w:szCs w:val="18"/>
          <w:b w:val="1"/>
          <w:bCs w:val="1"/>
          <w:color w:val="auto"/>
        </w:rPr>
        <w:t>Cash Retention Award</w:t>
      </w:r>
      <w:r>
        <w:rPr>
          <w:rFonts w:ascii="Times New Roman" w:cs="Times New Roman" w:eastAsia="Times New Roman" w:hAnsi="Times New Roman"/>
          <w:sz w:val="18"/>
          <w:szCs w:val="18"/>
          <w:color w:val="auto"/>
        </w:rPr>
        <w:t>”), pursuant to the terms and conditions set forth in this letter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Capitalized terms used herein but not defined shall have the same meanings as set forth in your Employment Agreement with Roivant, dated as of May 19, 2020 (as amended from time to time, your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340" w:hanging="332"/>
        <w:spacing w:after="0" w:line="254" w:lineRule="auto"/>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Retention Award</w:t>
      </w:r>
      <w:r>
        <w:rPr>
          <w:rFonts w:ascii="Times New Roman" w:cs="Times New Roman" w:eastAsia="Times New Roman" w:hAnsi="Times New Roman"/>
          <w:sz w:val="18"/>
          <w:szCs w:val="18"/>
          <w:color w:val="auto"/>
        </w:rPr>
        <w:t>. Subject to the terms and conditions of this Agreement, you shall be entitled to receive a Cash Retention Award from Roivant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aggregate amount of $80,550,000.00,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applicable withholdings for taxes and other deductions. The Cash Retention Award shall be paid to you within thirty (30) days following the date of this Agreement (the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subject to (i) your continued full-time employment with Roivant or one of its affiliates in good standing (including, without limitation, good performance and adherence to company policies) through the Payment Date, which such good standing determination shall be made by Roivant in its sole discretion, (ii) the forfeiture and recoupment provisions set forth in Section 2 and (iii) the other terms and conditions set forth in this Agreement. Notwithstanding the foregoing, if your employment is terminated due to your death or Disability (as defined below) prior to the Payment Date, you shall be eligible to receive a Cash Retention Award, subject to your (or, in the case of your death, your estate’s) execution and nonrevocation of a Release (as defined below) that becomes effective and irrevocable within 60 days following your termination date.</w:t>
      </w:r>
    </w:p>
    <w:p>
      <w:pPr>
        <w:spacing w:after="0" w:line="188"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w:t>
      </w:r>
    </w:p>
    <w:p>
      <w:pPr>
        <w:spacing w:after="0" w:line="229" w:lineRule="exact"/>
        <w:rPr>
          <w:rFonts w:ascii="Times New Roman" w:cs="Times New Roman" w:eastAsia="Times New Roman" w:hAnsi="Times New Roman"/>
          <w:sz w:val="18"/>
          <w:szCs w:val="18"/>
          <w:b w:val="1"/>
          <w:bCs w:val="1"/>
          <w:color w:val="auto"/>
        </w:rPr>
      </w:pPr>
    </w:p>
    <w:p>
      <w:pPr>
        <w:ind w:left="660" w:right="340" w:hanging="328"/>
        <w:spacing w:after="0" w:line="266"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 the event (x) your employment in good standing with Roivant terminates or otherwise ceases for any reason (except as provided in Section 2(b) below) or (y) you breach any of your Restrictive Covenant Obligations (as defined below), in each case on or prior to September 30, 2025 (each, a “</w:t>
      </w:r>
      <w:r>
        <w:rPr>
          <w:rFonts w:ascii="Times New Roman" w:cs="Times New Roman" w:eastAsia="Times New Roman" w:hAnsi="Times New Roman"/>
          <w:sz w:val="18"/>
          <w:szCs w:val="18"/>
          <w:b w:val="1"/>
          <w:bCs w:val="1"/>
          <w:color w:val="auto"/>
        </w:rPr>
        <w:t>Recoupment Event</w:t>
      </w:r>
      <w:r>
        <w:rPr>
          <w:rFonts w:ascii="Times New Roman" w:cs="Times New Roman" w:eastAsia="Times New Roman" w:hAnsi="Times New Roman"/>
          <w:sz w:val="18"/>
          <w:szCs w:val="18"/>
          <w:color w:val="auto"/>
        </w:rPr>
        <w:t>”), then:</w:t>
      </w:r>
    </w:p>
    <w:p>
      <w:pPr>
        <w:spacing w:after="0" w:line="175" w:lineRule="exact"/>
        <w:rPr>
          <w:rFonts w:ascii="Times New Roman" w:cs="Times New Roman" w:eastAsia="Times New Roman" w:hAnsi="Times New Roman"/>
          <w:sz w:val="18"/>
          <w:szCs w:val="18"/>
          <w:color w:val="auto"/>
        </w:rPr>
      </w:pPr>
    </w:p>
    <w:p>
      <w:pPr>
        <w:ind w:left="1300" w:right="1140" w:hanging="320"/>
        <w:spacing w:after="0" w:line="282" w:lineRule="auto"/>
        <w:tabs>
          <w:tab w:leader="none" w:pos="130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Recoupment Event occurs on or before September 30, 2024, you shall repay to Roivant an amount in cash equal to $30,000,000.00 of the Cash Retention Award (on a before-tax basis) (the “</w:t>
      </w:r>
      <w:r>
        <w:rPr>
          <w:rFonts w:ascii="Times New Roman" w:cs="Times New Roman" w:eastAsia="Times New Roman" w:hAnsi="Times New Roman"/>
          <w:sz w:val="18"/>
          <w:szCs w:val="18"/>
          <w:b w:val="1"/>
          <w:bCs w:val="1"/>
          <w:color w:val="auto"/>
        </w:rPr>
        <w:t>First Clawback Amount</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300" w:right="380" w:hanging="320"/>
        <w:spacing w:after="0" w:line="266" w:lineRule="auto"/>
        <w:tabs>
          <w:tab w:leader="none" w:pos="130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Recoupment Event occurs after September 30, 2024 and on or before September 30, 2025, then you shall repay to Roivant an amount in cash equal to $15,000,000.00 of the Cash Retention Award (on a before-tax basis) (the “</w:t>
      </w:r>
      <w:r>
        <w:rPr>
          <w:rFonts w:ascii="Times New Roman" w:cs="Times New Roman" w:eastAsia="Times New Roman" w:hAnsi="Times New Roman"/>
          <w:sz w:val="18"/>
          <w:szCs w:val="18"/>
          <w:b w:val="1"/>
          <w:bCs w:val="1"/>
          <w:color w:val="auto"/>
        </w:rPr>
        <w:t>Second Clawback Amount</w:t>
      </w:r>
      <w:r>
        <w:rPr>
          <w:rFonts w:ascii="Times New Roman" w:cs="Times New Roman" w:eastAsia="Times New Roman" w:hAnsi="Times New Roman"/>
          <w:sz w:val="18"/>
          <w:szCs w:val="18"/>
          <w:color w:val="auto"/>
        </w:rPr>
        <w:t>” and together with the First Clawback Amount, the “</w:t>
      </w:r>
      <w:r>
        <w:rPr>
          <w:rFonts w:ascii="Times New Roman" w:cs="Times New Roman" w:eastAsia="Times New Roman" w:hAnsi="Times New Roman"/>
          <w:sz w:val="18"/>
          <w:szCs w:val="18"/>
          <w:b w:val="1"/>
          <w:bCs w:val="1"/>
          <w:color w:val="auto"/>
        </w:rPr>
        <w:t>Clawback 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avoidance of doubt, you will not be required to repay the Cash Retention Award (or any portion thereof) if you are employed by Roivant through the above specified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4" w:name="page185"/>
    <w:bookmarkEnd w:id="184"/>
    <w:p>
      <w:pPr>
        <w:jc w:val="cente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34" w:lineRule="exact"/>
        <w:rPr>
          <w:sz w:val="20"/>
          <w:szCs w:val="20"/>
          <w:color w:val="auto"/>
        </w:rPr>
      </w:pPr>
    </w:p>
    <w:p>
      <w:pPr>
        <w:ind w:left="520" w:right="60" w:hanging="328"/>
        <w:spacing w:after="0" w:line="255"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your employment is terminated (i) by Roivant without Cause or (ii) due to your death or Disability, in each case, prior to September 30, 2025, then you will not be required to repay any portion of the Cash Retention Award, provided that you (or, in the case of your death, your estate) execute and do not revoke a release of claims that becomes effective and irrevocable within 60 days following your termination date, which shall release claims similar to those described in the General Release attached as Exhibit A to the Employment Agreement, accrued through the date of execution of such release (a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Notwithstanding the foregoing, if you fail to execute such Release (or you execute but then revoke such Release), then your termination of employment under this Section 2(b) shall be deemed a Recoupment Event for purposes of this Agreement, effective as of the date of your termination.</w:t>
      </w:r>
    </w:p>
    <w:p>
      <w:pPr>
        <w:spacing w:after="0" w:line="188" w:lineRule="exact"/>
        <w:rPr>
          <w:rFonts w:ascii="Times New Roman" w:cs="Times New Roman" w:eastAsia="Times New Roman" w:hAnsi="Times New Roman"/>
          <w:sz w:val="18"/>
          <w:szCs w:val="18"/>
          <w:color w:val="auto"/>
        </w:rPr>
      </w:pPr>
    </w:p>
    <w:p>
      <w:pPr>
        <w:ind w:left="520" w:hanging="328"/>
        <w:spacing w:after="0" w:line="266"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Recoupment Event, you are required to repay to Roivant the aggregate applicable Clawback Amount in a cash lump sum in immediately available funds promptly upon written notice by Roivant, and in all cases within ten (10) business days following the date of such notice by Roivant.</w:t>
      </w:r>
    </w:p>
    <w:p>
      <w:pPr>
        <w:spacing w:after="0" w:line="175" w:lineRule="exact"/>
        <w:rPr>
          <w:rFonts w:ascii="Times New Roman" w:cs="Times New Roman" w:eastAsia="Times New Roman" w:hAnsi="Times New Roman"/>
          <w:sz w:val="18"/>
          <w:szCs w:val="18"/>
          <w:color w:val="auto"/>
        </w:rPr>
      </w:pPr>
    </w:p>
    <w:p>
      <w:pPr>
        <w:ind w:left="520" w:hanging="328"/>
        <w:spacing w:after="0"/>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20" w:hanging="328"/>
        <w:spacing w:after="0"/>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520" w:right="360" w:hanging="328"/>
        <w:spacing w:after="0" w:line="286"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have the meaning set forth in your Employment Agreement, provided that the existence of Disability shall be determined by the Compensation Committee of Roivant Sciences Ltd. in its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232410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60" w:top="117" w:right="359" w:bottom="1440" w:gutter="0" w:footer="0" w:header="0"/>
        </w:sectPr>
      </w:pPr>
    </w:p>
    <w:bookmarkStart w:id="185" w:name="page186"/>
    <w:bookmarkEnd w:id="185"/>
    <w:p>
      <w:pPr>
        <w:jc w:val="center"/>
        <w:ind w:left="400" w:right="60"/>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30" w:lineRule="exact"/>
        <w:rPr>
          <w:sz w:val="20"/>
          <w:szCs w:val="20"/>
          <w:color w:val="auto"/>
        </w:rPr>
      </w:pPr>
    </w:p>
    <w:p>
      <w:pPr>
        <w:ind w:left="332" w:hanging="332"/>
        <w:spacing w:after="0" w:line="254" w:lineRule="auto"/>
        <w:tabs>
          <w:tab w:leader="none" w:pos="33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You acknowledge and agree that this Agreement (including the existence, terms and amount of the Cash Retention Award)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 nature, and you agree that you will keep this Agreement confidential and you will not, without Roivant’s prior written consent, disclose the existence of this Agreement, the Cash Retention Award or any other terms or conditions related thereto to any employee or other service provider of Roivant, its subsidiaries or any of its affiliates or any other person (other than your attorney, accountant or spouse (who shall also be bound by this confidentiality covenant to the same extent you are bound by it) or as required by law). Notwithstanding the foregoing, nothing in this Agreement or otherwise prohibits from disclosing this Agreement to, or from cooperating with or reporting violations to or initiating communications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any other governmental entity or other self-regulatory organization, and you may do so without notifying Roivant. Neither Roivant or any of its subsidiaries or its affiliates may retaliate against you for any of these activities, and nothing in this Agreement or otherwise requires you to waive any monetary award or other payment you might become entitled to from the SEC or any other governmental entity or self-regulatory organization.</w:t>
      </w:r>
    </w:p>
    <w:p>
      <w:pPr>
        <w:spacing w:after="0" w:line="185" w:lineRule="exact"/>
        <w:rPr>
          <w:rFonts w:ascii="Times New Roman" w:cs="Times New Roman" w:eastAsia="Times New Roman" w:hAnsi="Times New Roman"/>
          <w:sz w:val="18"/>
          <w:szCs w:val="18"/>
          <w:b w:val="1"/>
          <w:bCs w:val="1"/>
          <w:color w:val="auto"/>
        </w:rPr>
      </w:pPr>
    </w:p>
    <w:p>
      <w:pPr>
        <w:ind w:left="332" w:right="280" w:hanging="332"/>
        <w:spacing w:after="0" w:line="268" w:lineRule="auto"/>
        <w:tabs>
          <w:tab w:leader="none" w:pos="33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Any payments made or benefits provided to you under this Agreement shall be reduced by any applicable withholding taxes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required to be withheld by law or contract. Roivant, in its sole and absolute discretion, shall make all determinations as to whether it is obligated to withhold any taxes hereunder and the amount hereof.</w:t>
      </w:r>
    </w:p>
    <w:p>
      <w:pPr>
        <w:spacing w:after="0" w:line="170" w:lineRule="exact"/>
        <w:rPr>
          <w:rFonts w:ascii="Times New Roman" w:cs="Times New Roman" w:eastAsia="Times New Roman" w:hAnsi="Times New Roman"/>
          <w:sz w:val="18"/>
          <w:szCs w:val="18"/>
          <w:b w:val="1"/>
          <w:bCs w:val="1"/>
          <w:color w:val="auto"/>
        </w:rPr>
      </w:pPr>
    </w:p>
    <w:p>
      <w:pPr>
        <w:ind w:left="332" w:hanging="332"/>
        <w:spacing w:after="0" w:line="257" w:lineRule="auto"/>
        <w:tabs>
          <w:tab w:leader="none" w:pos="33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and Section 457A. </w:t>
      </w:r>
      <w:r>
        <w:rPr>
          <w:rFonts w:ascii="Times New Roman" w:cs="Times New Roman" w:eastAsia="Times New Roman" w:hAnsi="Times New Roman"/>
          <w:sz w:val="18"/>
          <w:szCs w:val="18"/>
          <w:color w:val="auto"/>
        </w:rPr>
        <w:t>It is intended that the provisions of this Agreement comply with or are exempt from Section 409A and Section 457A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Internal Revenue Code of 1986, as amended (the “Code”) (together with the regulations and other interpretive guidance issued thereunder, “Section 409A” and “Section 457A”, respectively), and all provisions of this Agreement will be construed and interpreted in a manner consistent with such intent. In no event shall Roivant or any of its affiliates be liable for any additional tax, interest or penalty that may be imposed on Executive by Section 409A or Section 457A. For purposes of Section 409A, each right to a payment hereunder will be deemed a “separate payment” within the meaning of Treas. Reg. Section 1.409A-2(b)(iii).</w:t>
      </w:r>
    </w:p>
    <w:p>
      <w:pPr>
        <w:spacing w:after="0" w:line="182" w:lineRule="exact"/>
        <w:rPr>
          <w:rFonts w:ascii="Times New Roman" w:cs="Times New Roman" w:eastAsia="Times New Roman" w:hAnsi="Times New Roman"/>
          <w:sz w:val="18"/>
          <w:szCs w:val="18"/>
          <w:b w:val="1"/>
          <w:bCs w:val="1"/>
          <w:color w:val="auto"/>
        </w:rPr>
      </w:pPr>
    </w:p>
    <w:p>
      <w:pPr>
        <w:ind w:left="332" w:right="60" w:hanging="332"/>
        <w:spacing w:after="0" w:line="268" w:lineRule="auto"/>
        <w:tabs>
          <w:tab w:leader="none" w:pos="33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Right to Continued Employment. </w:t>
      </w:r>
      <w:r>
        <w:rPr>
          <w:rFonts w:ascii="Times New Roman" w:cs="Times New Roman" w:eastAsia="Times New Roman" w:hAnsi="Times New Roman"/>
          <w:sz w:val="18"/>
          <w:szCs w:val="18"/>
          <w:color w:val="auto"/>
        </w:rPr>
        <w:t>Nothing in this Agreement will confer upon you any right to continued employment with Roivant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subsidiaries), affect your “at-will” employment status or otherwise interfere in any way with the right of Roivant (or any of its subsidiaries affiliates) to terminate your employment at any time.</w:t>
      </w:r>
    </w:p>
    <w:p>
      <w:pPr>
        <w:spacing w:after="0" w:line="170" w:lineRule="exact"/>
        <w:rPr>
          <w:rFonts w:ascii="Times New Roman" w:cs="Times New Roman" w:eastAsia="Times New Roman" w:hAnsi="Times New Roman"/>
          <w:sz w:val="18"/>
          <w:szCs w:val="18"/>
          <w:b w:val="1"/>
          <w:bCs w:val="1"/>
          <w:color w:val="auto"/>
        </w:rPr>
      </w:pPr>
    </w:p>
    <w:p>
      <w:pPr>
        <w:ind w:left="332" w:right="100" w:hanging="332"/>
        <w:spacing w:after="0" w:line="317" w:lineRule="auto"/>
        <w:tabs>
          <w:tab w:leader="none" w:pos="332"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Right to Future Awards. </w:t>
      </w:r>
      <w:r>
        <w:rPr>
          <w:rFonts w:ascii="Times New Roman" w:cs="Times New Roman" w:eastAsia="Times New Roman" w:hAnsi="Times New Roman"/>
          <w:sz w:val="17"/>
          <w:szCs w:val="17"/>
          <w:color w:val="auto"/>
        </w:rPr>
        <w:t>The Cash Retention Award provided to you under this Agreement is discretionary. This Cash Retention Award does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confer on you any right or entitlement to receive any other retention or incentive award at any time in the future or in respect of any future period.</w:t>
      </w:r>
    </w:p>
    <w:p>
      <w:pPr>
        <w:spacing w:after="0" w:line="131" w:lineRule="exact"/>
        <w:rPr>
          <w:rFonts w:ascii="Times New Roman" w:cs="Times New Roman" w:eastAsia="Times New Roman" w:hAnsi="Times New Roman"/>
          <w:sz w:val="17"/>
          <w:szCs w:val="17"/>
          <w:b w:val="1"/>
          <w:bCs w:val="1"/>
          <w:color w:val="auto"/>
        </w:rPr>
      </w:pPr>
    </w:p>
    <w:p>
      <w:pPr>
        <w:ind w:left="332" w:right="420" w:hanging="332"/>
        <w:spacing w:after="0" w:line="262" w:lineRule="auto"/>
        <w:tabs>
          <w:tab w:leader="none" w:pos="33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Benefits. </w:t>
      </w:r>
      <w:r>
        <w:rPr>
          <w:rFonts w:ascii="Times New Roman" w:cs="Times New Roman" w:eastAsia="Times New Roman" w:hAnsi="Times New Roman"/>
          <w:sz w:val="18"/>
          <w:szCs w:val="18"/>
          <w:color w:val="auto"/>
        </w:rPr>
        <w:t>The Cash Retention Award is a special payment to you and will not be taken into account in computing the amount of salary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purposes of determining any severance, bonus, incentive, pension, retirement, death or other benefit under any other severance, bonus, incentive, pension, retirement, insurance or other employee benefit plan of Roivant or any of its affiliates, unless such plan or agreement expressly provides otherwise.</w:t>
      </w:r>
    </w:p>
    <w:p>
      <w:pPr>
        <w:spacing w:after="0" w:line="176" w:lineRule="exact"/>
        <w:rPr>
          <w:rFonts w:ascii="Times New Roman" w:cs="Times New Roman" w:eastAsia="Times New Roman" w:hAnsi="Times New Roman"/>
          <w:sz w:val="18"/>
          <w:szCs w:val="18"/>
          <w:b w:val="1"/>
          <w:bCs w:val="1"/>
          <w:color w:val="auto"/>
        </w:rPr>
      </w:pPr>
    </w:p>
    <w:p>
      <w:pPr>
        <w:ind w:left="332" w:right="60" w:hanging="332"/>
        <w:spacing w:after="0" w:line="268" w:lineRule="auto"/>
        <w:tabs>
          <w:tab w:leader="none" w:pos="33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Amendment. </w:t>
      </w:r>
      <w:r>
        <w:rPr>
          <w:rFonts w:ascii="Times New Roman" w:cs="Times New Roman" w:eastAsia="Times New Roman" w:hAnsi="Times New Roman"/>
          <w:sz w:val="18"/>
          <w:szCs w:val="18"/>
          <w:color w:val="auto"/>
        </w:rPr>
        <w:t>This Agreement embodies the entire agreement and understanding of the parties in respect of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This Agreement supersedes all prior agreements and understandings between the parties, whether written or oral, with respect to the subject matter hereof. This Agreement may be amended or modified only by written agreement signed by each of the parties.</w:t>
      </w:r>
    </w:p>
    <w:p>
      <w:pPr>
        <w:spacing w:after="0" w:line="170" w:lineRule="exact"/>
        <w:rPr>
          <w:rFonts w:ascii="Times New Roman" w:cs="Times New Roman" w:eastAsia="Times New Roman" w:hAnsi="Times New Roman"/>
          <w:sz w:val="18"/>
          <w:szCs w:val="18"/>
          <w:b w:val="1"/>
          <w:bCs w:val="1"/>
          <w:color w:val="auto"/>
        </w:rPr>
      </w:pPr>
    </w:p>
    <w:p>
      <w:pPr>
        <w:ind w:left="332" w:right="340" w:hanging="332"/>
        <w:spacing w:after="0" w:line="286" w:lineRule="auto"/>
        <w:tabs>
          <w:tab w:leader="none" w:pos="33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the laws of the State of New York, without giving effect to any conflicts or law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w:t>
      </w:r>
    </w:p>
    <w:p>
      <w:pPr>
        <w:spacing w:after="0" w:line="154" w:lineRule="exact"/>
        <w:rPr>
          <w:rFonts w:ascii="Times New Roman" w:cs="Times New Roman" w:eastAsia="Times New Roman" w:hAnsi="Times New Roman"/>
          <w:sz w:val="18"/>
          <w:szCs w:val="18"/>
          <w:b w:val="1"/>
          <w:bCs w:val="1"/>
          <w:color w:val="auto"/>
        </w:rPr>
      </w:pPr>
    </w:p>
    <w:p>
      <w:pPr>
        <w:ind w:left="332" w:right="60" w:hanging="332"/>
        <w:spacing w:after="0" w:line="268" w:lineRule="auto"/>
        <w:tabs>
          <w:tab w:leader="none" w:pos="33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Any dispute, claim or controversy arising out of or relating to this Agreement or the Cash Retention Award hereunder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arbitration provision set forth in Section 6 of the Employment Agreement, which such provision shall be incorporated by reference as set forth herein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86" w:name="page187"/>
    <w:bookmarkEnd w:id="186"/>
    <w:p>
      <w:pPr>
        <w:jc w:val="center"/>
        <w:ind w:left="420"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30" w:lineRule="exact"/>
        <w:rPr>
          <w:sz w:val="20"/>
          <w:szCs w:val="20"/>
          <w:color w:val="auto"/>
        </w:rPr>
      </w:pPr>
    </w:p>
    <w:p>
      <w:pPr>
        <w:ind w:left="492" w:hanging="492"/>
        <w:spacing w:after="0" w:line="259" w:lineRule="auto"/>
        <w:tabs>
          <w:tab w:leader="none" w:pos="492"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holding of any provision of this Agreement to be invalid or unenforceable by a court of competent jurisdiction shall not affect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provision of this Agreement, which shall remain in full force and effect. If any provision of this Agreement shall be declared by a court of competent jurisdiction to be invalid, illegal or incapable of being enforced in whole or in part, such provision shall be interpreted so as to remain enforceable to the maximum extent permissible consistent with applicable law and the remaining conditions and provisions or portions thereof shall nevertheless remain in full force and effect and enforceable to the extent they are valid, legal and enforceable.</w:t>
      </w:r>
    </w:p>
    <w:p>
      <w:pPr>
        <w:spacing w:after="0" w:line="179" w:lineRule="exact"/>
        <w:rPr>
          <w:rFonts w:ascii="Times New Roman" w:cs="Times New Roman" w:eastAsia="Times New Roman" w:hAnsi="Times New Roman"/>
          <w:sz w:val="18"/>
          <w:szCs w:val="18"/>
          <w:b w:val="1"/>
          <w:bCs w:val="1"/>
          <w:color w:val="auto"/>
        </w:rPr>
      </w:pPr>
    </w:p>
    <w:p>
      <w:pPr>
        <w:ind w:left="492" w:right="100" w:hanging="492"/>
        <w:spacing w:after="0" w:line="268" w:lineRule="auto"/>
        <w:tabs>
          <w:tab w:leader="none" w:pos="492"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Assignability</w:t>
      </w:r>
      <w:r>
        <w:rPr>
          <w:rFonts w:ascii="Times New Roman" w:cs="Times New Roman" w:eastAsia="Times New Roman" w:hAnsi="Times New Roman"/>
          <w:sz w:val="18"/>
          <w:szCs w:val="18"/>
          <w:color w:val="auto"/>
        </w:rPr>
        <w:t>. You may not assign, delegate, or otherwise transfer any of your rights or obligations under this Agreement. Roivant may transfer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in whole or from time to time in part, to one or more of its affiliates, or to any successor to one or more of its businesses, its rights or obligations under this Agreement without your consent.</w:t>
      </w:r>
    </w:p>
    <w:p>
      <w:pPr>
        <w:spacing w:after="0" w:line="170" w:lineRule="exact"/>
        <w:rPr>
          <w:rFonts w:ascii="Times New Roman" w:cs="Times New Roman" w:eastAsia="Times New Roman" w:hAnsi="Times New Roman"/>
          <w:sz w:val="18"/>
          <w:szCs w:val="18"/>
          <w:b w:val="1"/>
          <w:bCs w:val="1"/>
          <w:color w:val="auto"/>
        </w:rPr>
      </w:pPr>
    </w:p>
    <w:p>
      <w:pPr>
        <w:ind w:left="492" w:right="80" w:hanging="492"/>
        <w:spacing w:after="0" w:line="286" w:lineRule="auto"/>
        <w:tabs>
          <w:tab w:leader="none" w:pos="492"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all of which taken together shall be deemed to constitute one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original.</w:t>
      </w:r>
    </w:p>
    <w:p>
      <w:pPr>
        <w:spacing w:after="0" w:line="157" w:lineRule="exact"/>
        <w:rPr>
          <w:sz w:val="20"/>
          <w:szCs w:val="20"/>
          <w:color w:val="auto"/>
        </w:rPr>
      </w:pPr>
    </w:p>
    <w:p>
      <w:pPr>
        <w:ind w:left="4912"/>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7" w:right="379" w:bottom="1440" w:gutter="0" w:footer="0" w:header="0"/>
        </w:sectPr>
      </w:pPr>
    </w:p>
    <w:bookmarkStart w:id="187" w:name="page188"/>
    <w:bookmarkEnd w:id="187"/>
    <w:p>
      <w:pPr>
        <w:jc w:val="center"/>
        <w:ind w:left="380" w:right="80"/>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sign and date one copy of this Agreement in the space provided below to indicate your agreement to and acknowledgment of the terms of this Agreement and return the same to me.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Best Regards,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Roivant Sciences,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4230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Matthew Gline</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Acknowledged: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Mayukh Sukhatme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Mayukh Sukhatme</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26, 2024</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Cash Retention Award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156845</wp:posOffset>
            </wp:positionV>
            <wp:extent cx="1868805" cy="6597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186880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One-Time Retentive Cash Award Statement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recognition of your hard work and dedication and in anticipation of your future contributions to Roivant and the Vants, we are pleased to provide you with the following long-term cash incentive award (“</w:t>
      </w:r>
      <w:r>
        <w:rPr>
          <w:rFonts w:ascii="Times New Roman" w:cs="Times New Roman" w:eastAsia="Times New Roman" w:hAnsi="Times New Roman"/>
          <w:sz w:val="18"/>
          <w:szCs w:val="18"/>
          <w:b w:val="1"/>
          <w:bCs w:val="1"/>
          <w:color w:val="auto"/>
        </w:rPr>
        <w:t>Cash Award</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Award:</w:t>
            </w:r>
          </w:p>
        </w:tc>
        <w:tc>
          <w:tcPr>
            <w:tcW w:w="54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439"/>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Award Payment Dates</w:t>
            </w:r>
            <w:r>
              <w:rPr>
                <w:rFonts w:ascii="Times New Roman" w:cs="Times New Roman" w:eastAsia="Times New Roman" w:hAnsi="Times New Roman"/>
                <w:sz w:val="29"/>
                <w:szCs w:val="29"/>
                <w:b w:val="1"/>
                <w:bCs w:val="1"/>
                <w:color w:val="auto"/>
                <w:vertAlign w:val="superscript"/>
              </w:rPr>
              <w:t>1 2</w:t>
            </w:r>
          </w:p>
        </w:tc>
        <w:tc>
          <w:tcPr>
            <w:tcW w:w="33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439"/>
        </w:trPr>
        <w:tc>
          <w:tcPr>
            <w:tcW w:w="5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be paid prior to [Date]</w:t>
            </w:r>
          </w:p>
        </w:tc>
        <w:tc>
          <w:tcPr>
            <w:tcW w:w="54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 [50%]</w:t>
            </w:r>
          </w:p>
        </w:tc>
      </w:tr>
      <w:tr>
        <w:trPr>
          <w:trHeight w:val="223"/>
        </w:trPr>
        <w:tc>
          <w:tcPr>
            <w:tcW w:w="5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be paid on September 20, 2024</w:t>
            </w:r>
          </w:p>
        </w:tc>
        <w:tc>
          <w:tcPr>
            <w:tcW w:w="54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 [25%]</w:t>
            </w:r>
          </w:p>
        </w:tc>
      </w:tr>
      <w:tr>
        <w:trPr>
          <w:trHeight w:val="223"/>
        </w:trPr>
        <w:tc>
          <w:tcPr>
            <w:tcW w:w="5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be paid on September 19, 2025</w:t>
            </w:r>
          </w:p>
        </w:tc>
        <w:tc>
          <w:tcPr>
            <w:tcW w:w="54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 [25%]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would like to take this opportunity to thank you for your valuable contributions and sheer force of will. Your efforts truly made this a remarkable year at Roivant.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0" w:lineRule="exact"/>
        <w:rPr>
          <w:sz w:val="20"/>
          <w:szCs w:val="20"/>
          <w:color w:val="auto"/>
        </w:rPr>
      </w:pPr>
    </w:p>
    <w:p>
      <w:pPr>
        <w:jc w:val="both"/>
        <w:ind w:firstLine="8"/>
        <w:spacing w:after="0" w:line="192" w:lineRule="auto"/>
        <w:tabs>
          <w:tab w:leader="none" w:pos="97" w:val="left"/>
        </w:tabs>
        <w:numPr>
          <w:ilvl w:val="0"/>
          <w:numId w:val="1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Your Cash Award will vest and become payable to you in accordance with the payment schedule outlined in this document, in each case subject to your continued full-time employment in good standing (including, without limitation, good performance and adherence to company policies) with Roivant Sciences Inc. (“</w:t>
      </w:r>
      <w:r>
        <w:rPr>
          <w:rFonts w:ascii="Times New Roman" w:cs="Times New Roman" w:eastAsia="Times New Roman" w:hAnsi="Times New Roman"/>
          <w:sz w:val="14"/>
          <w:szCs w:val="14"/>
          <w:u w:val="single" w:color="auto"/>
          <w:color w:val="auto"/>
        </w:rPr>
        <w:t>RSI</w:t>
      </w:r>
      <w:r>
        <w:rPr>
          <w:rFonts w:ascii="Times New Roman" w:cs="Times New Roman" w:eastAsia="Times New Roman" w:hAnsi="Times New Roman"/>
          <w:sz w:val="14"/>
          <w:szCs w:val="14"/>
          <w:color w:val="auto"/>
        </w:rPr>
        <w:t>”) or one of its affiliates through the applicable payment date, such good standing determination to be made by RSI in its sole discretion. Any portion of the Cash Award that becomes vested will be paid in a cash lump sum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applicable tax withholdings and other deductions) in accordance with the payment schedule outlined in this document.</w:t>
      </w:r>
    </w:p>
    <w:p>
      <w:pPr>
        <w:spacing w:after="0" w:line="2" w:lineRule="exact"/>
        <w:rPr>
          <w:rFonts w:ascii="Times New Roman" w:cs="Times New Roman" w:eastAsia="Times New Roman" w:hAnsi="Times New Roman"/>
          <w:sz w:val="24"/>
          <w:szCs w:val="24"/>
          <w:color w:val="auto"/>
          <w:vertAlign w:val="superscript"/>
        </w:rPr>
      </w:pPr>
    </w:p>
    <w:p>
      <w:pPr>
        <w:jc w:val="both"/>
        <w:spacing w:after="0" w:line="20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In the event your employment is terminated by RSI or its applicable affiliate without Cause or due to your death or Disability at any time prior to any of the Cash Award Payment Dates, then, subject to your execution and non-revocation of a general waiver and release of claims (in a form to be provided to you) that becomes irrevocable within 60 days of your termination date, any remaining portion of your Cash Award will become fully vested and paid to you in a cash lump sum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applicable tax withholdings and other deductions) within sixty (60) following your termination date. “Cause” will have the meaning set forth in your Executive Employment Agreement with RSI, dated as of May 14, 2021 (as amended from time to time, your “Employment Agreement”). “Disability” will have the same meaning set forth in your Employment Agreement, provided that the existence of a Disability shall be determined by the Compensation Committee of the Board of Directors of Roivant Sciences Ltd. in its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9" w:name="page190"/>
    <w:bookmarkEnd w:id="189"/>
    <w:p>
      <w:pPr>
        <w:ind w:left="102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oivant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ciences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Roivant Sciences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the Participant a Performance Restricted Stock Unit Award (the “</w:t>
      </w:r>
      <w:r>
        <w:rPr>
          <w:rFonts w:ascii="Times New Roman" w:cs="Times New Roman" w:eastAsia="Times New Roman" w:hAnsi="Times New Roman"/>
          <w:sz w:val="18"/>
          <w:szCs w:val="18"/>
          <w:b w:val="1"/>
          <w:bCs w:val="1"/>
          <w:i w:val="1"/>
          <w:iCs w:val="1"/>
          <w:color w:val="auto"/>
        </w:rPr>
        <w:t>PSU Award</w:t>
      </w:r>
      <w:r>
        <w:rPr>
          <w:rFonts w:ascii="Times New Roman" w:cs="Times New Roman" w:eastAsia="Times New Roman" w:hAnsi="Times New Roman"/>
          <w:sz w:val="18"/>
          <w:szCs w:val="18"/>
          <w:color w:val="auto"/>
        </w:rPr>
        <w:t>”) of the number of Performance Restricted Stock Units (each a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as set forth below. Each PSU is an obligation of the Company to deliver one common share of the Company (each, a “</w:t>
      </w:r>
      <w:r>
        <w:rPr>
          <w:rFonts w:ascii="Times New Roman" w:cs="Times New Roman" w:eastAsia="Times New Roman" w:hAnsi="Times New Roman"/>
          <w:sz w:val="18"/>
          <w:szCs w:val="18"/>
          <w:b w:val="1"/>
          <w:bCs w:val="1"/>
          <w:i w:val="1"/>
          <w:iCs w:val="1"/>
          <w:color w:val="auto"/>
        </w:rPr>
        <w:t>Common Share</w:t>
      </w:r>
      <w:r>
        <w:rPr>
          <w:rFonts w:ascii="Times New Roman" w:cs="Times New Roman" w:eastAsia="Times New Roman" w:hAnsi="Times New Roman"/>
          <w:sz w:val="18"/>
          <w:szCs w:val="18"/>
          <w:color w:val="auto"/>
        </w:rPr>
        <w:t>”) after any applicable vesting restrictions with respect to the PSUs are satisfied. The PSUs are subject to all of the terms and conditions as set forth in this Performance Restricted Stock Unit Award grant notice (this “</w:t>
      </w:r>
      <w:r>
        <w:rPr>
          <w:rFonts w:ascii="Times New Roman" w:cs="Times New Roman" w:eastAsia="Times New Roman" w:hAnsi="Times New Roman"/>
          <w:sz w:val="18"/>
          <w:szCs w:val="18"/>
          <w:b w:val="1"/>
          <w:bCs w:val="1"/>
          <w:i w:val="1"/>
          <w:iCs w:val="1"/>
          <w:color w:val="auto"/>
        </w:rPr>
        <w:t>PSU Grant Notice</w:t>
      </w:r>
      <w:r>
        <w:rPr>
          <w:rFonts w:ascii="Times New Roman" w:cs="Times New Roman" w:eastAsia="Times New Roman" w:hAnsi="Times New Roman"/>
          <w:sz w:val="18"/>
          <w:szCs w:val="18"/>
          <w:color w:val="auto"/>
        </w:rPr>
        <w:t>”), the Performance Restricted Stock Unit Award agreement (the “</w:t>
      </w:r>
      <w:r>
        <w:rPr>
          <w:rFonts w:ascii="Times New Roman" w:cs="Times New Roman" w:eastAsia="Times New Roman" w:hAnsi="Times New Roman"/>
          <w:sz w:val="18"/>
          <w:szCs w:val="18"/>
          <w:b w:val="1"/>
          <w:bCs w:val="1"/>
          <w:i w:val="1"/>
          <w:iCs w:val="1"/>
          <w:color w:val="auto"/>
        </w:rPr>
        <w:t>PSU Award Agreement</w:t>
      </w:r>
      <w:r>
        <w:rPr>
          <w:rFonts w:ascii="Times New Roman" w:cs="Times New Roman" w:eastAsia="Times New Roman" w:hAnsi="Times New Roman"/>
          <w:sz w:val="18"/>
          <w:szCs w:val="18"/>
          <w:color w:val="auto"/>
        </w:rPr>
        <w:t>” and, together with this PSU Grant Notice, the “</w:t>
      </w:r>
      <w:r>
        <w:rPr>
          <w:rFonts w:ascii="Times New Roman" w:cs="Times New Roman" w:eastAsia="Times New Roman" w:hAnsi="Times New Roman"/>
          <w:sz w:val="18"/>
          <w:szCs w:val="18"/>
          <w:b w:val="1"/>
          <w:bCs w:val="1"/>
          <w:i w:val="1"/>
          <w:iCs w:val="1"/>
          <w:color w:val="auto"/>
        </w:rPr>
        <w:t>PSU Agreement</w:t>
      </w:r>
      <w:r>
        <w:rPr>
          <w:rFonts w:ascii="Times New Roman" w:cs="Times New Roman" w:eastAsia="Times New Roman" w:hAnsi="Times New Roman"/>
          <w:sz w:val="18"/>
          <w:szCs w:val="18"/>
          <w:color w:val="auto"/>
        </w:rPr>
        <w:t>”) and the Plan, both of which are attached hereto and incorporated into this PSU Grant Notice in their entirety. Capitalized terms not explicitly defined in this PSU Grant Notice but defined in the Plan or the PSU Award Agreement will have the same definitions as in the Plan or the PSU Award Agreement. If there is any conflict between the terms in this PSU Grant Notice and the Plan, the terms of the Plan will control.</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88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tc>
      </w:tr>
      <w:tr>
        <w:trPr>
          <w:trHeight w:val="223"/>
        </w:trPr>
        <w:tc>
          <w:tcPr>
            <w:tcW w:w="24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8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tc>
      </w:tr>
      <w:tr>
        <w:trPr>
          <w:trHeight w:val="223"/>
        </w:trPr>
        <w:tc>
          <w:tcPr>
            <w:tcW w:w="24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Number of PSUs:</w:t>
            </w:r>
          </w:p>
        </w:tc>
        <w:tc>
          <w:tcPr>
            <w:tcW w:w="8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400" w:type="dxa"/>
            <w:vAlign w:val="bottom"/>
            <w:tcBorders>
              <w:left w:val="single" w:sz="8" w:color="auto"/>
              <w:right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Vesting:</w:t>
            </w:r>
          </w:p>
        </w:tc>
        <w:tc>
          <w:tcPr>
            <w:tcW w:w="88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The PSUs shall consist of six (6) vesting tranches, with the number of PSUs allocated to each such tranche set forth in</w:t>
            </w:r>
          </w:p>
        </w:tc>
      </w:tr>
      <w:tr>
        <w:trPr>
          <w:trHeight w:val="238"/>
        </w:trPr>
        <w:tc>
          <w:tcPr>
            <w:tcW w:w="2400" w:type="dxa"/>
            <w:vAlign w:val="bottom"/>
            <w:tcBorders>
              <w:left w:val="single" w:sz="8" w:color="auto"/>
              <w:right w:val="single" w:sz="8" w:color="auto"/>
            </w:tcBorders>
          </w:tcPr>
          <w:p>
            <w:pPr>
              <w:spacing w:after="0"/>
              <w:rPr>
                <w:sz w:val="20"/>
                <w:szCs w:val="20"/>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table below (each, a “</w:t>
            </w:r>
            <w:r>
              <w:rPr>
                <w:rFonts w:ascii="Times New Roman" w:cs="Times New Roman" w:eastAsia="Times New Roman" w:hAnsi="Times New Roman"/>
                <w:sz w:val="18"/>
                <w:szCs w:val="18"/>
                <w:b w:val="1"/>
                <w:bCs w:val="1"/>
                <w:i w:val="1"/>
                <w:iCs w:val="1"/>
                <w:color w:val="auto"/>
              </w:rPr>
              <w:t>Tranche</w:t>
            </w:r>
            <w:r>
              <w:rPr>
                <w:rFonts w:ascii="Times New Roman" w:cs="Times New Roman" w:eastAsia="Times New Roman" w:hAnsi="Times New Roman"/>
                <w:sz w:val="18"/>
                <w:szCs w:val="18"/>
                <w:color w:val="auto"/>
              </w:rPr>
              <w:t>”).</w:t>
            </w:r>
          </w:p>
        </w:tc>
      </w:tr>
      <w:tr>
        <w:trPr>
          <w:trHeight w:val="410"/>
        </w:trPr>
        <w:tc>
          <w:tcPr>
            <w:tcW w:w="2400" w:type="dxa"/>
            <w:vAlign w:val="bottom"/>
            <w:tcBorders>
              <w:left w:val="single" w:sz="8" w:color="auto"/>
              <w:right w:val="single" w:sz="8" w:color="auto"/>
            </w:tcBorders>
          </w:tcPr>
          <w:p>
            <w:pPr>
              <w:spacing w:after="0"/>
              <w:rPr>
                <w:sz w:val="24"/>
                <w:szCs w:val="24"/>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Each Tranche of PSUs will vest on the first date that both of the “</w:t>
            </w:r>
            <w:r>
              <w:rPr>
                <w:rFonts w:ascii="Times New Roman" w:cs="Times New Roman" w:eastAsia="Times New Roman" w:hAnsi="Times New Roman"/>
                <w:sz w:val="18"/>
                <w:szCs w:val="18"/>
                <w:b w:val="1"/>
                <w:bCs w:val="1"/>
                <w:i w:val="1"/>
                <w:iCs w:val="1"/>
                <w:color w:val="auto"/>
              </w:rPr>
              <w:t>Service Condition</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Performance Condition</w:t>
            </w:r>
            <w:r>
              <w:rPr>
                <w:rFonts w:ascii="Times New Roman" w:cs="Times New Roman" w:eastAsia="Times New Roman" w:hAnsi="Times New Roman"/>
                <w:sz w:val="18"/>
                <w:szCs w:val="18"/>
                <w:color w:val="auto"/>
              </w:rPr>
              <w:t>”</w:t>
            </w:r>
          </w:p>
        </w:tc>
      </w:tr>
      <w:tr>
        <w:trPr>
          <w:trHeight w:val="238"/>
        </w:trPr>
        <w:tc>
          <w:tcPr>
            <w:tcW w:w="2400" w:type="dxa"/>
            <w:vAlign w:val="bottom"/>
            <w:tcBorders>
              <w:left w:val="single" w:sz="8" w:color="auto"/>
              <w:right w:val="single" w:sz="8" w:color="auto"/>
            </w:tcBorders>
          </w:tcPr>
          <w:p>
            <w:pPr>
              <w:spacing w:after="0"/>
              <w:rPr>
                <w:sz w:val="20"/>
                <w:szCs w:val="20"/>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applicable to such Tranche have been satisfied (together, the “</w:t>
            </w:r>
            <w:r>
              <w:rPr>
                <w:rFonts w:ascii="Times New Roman" w:cs="Times New Roman" w:eastAsia="Times New Roman" w:hAnsi="Times New Roman"/>
                <w:sz w:val="18"/>
                <w:szCs w:val="18"/>
                <w:b w:val="1"/>
                <w:bCs w:val="1"/>
                <w:i w:val="1"/>
                <w:iCs w:val="1"/>
                <w:color w:val="auto"/>
              </w:rPr>
              <w:t>Vesting Conditions</w:t>
            </w:r>
            <w:r>
              <w:rPr>
                <w:rFonts w:ascii="Times New Roman" w:cs="Times New Roman" w:eastAsia="Times New Roman" w:hAnsi="Times New Roman"/>
                <w:sz w:val="18"/>
                <w:szCs w:val="18"/>
                <w:color w:val="auto"/>
              </w:rPr>
              <w:t>”).</w:t>
            </w:r>
          </w:p>
        </w:tc>
      </w:tr>
      <w:tr>
        <w:trPr>
          <w:trHeight w:val="410"/>
        </w:trPr>
        <w:tc>
          <w:tcPr>
            <w:tcW w:w="2400" w:type="dxa"/>
            <w:vAlign w:val="bottom"/>
            <w:tcBorders>
              <w:left w:val="single" w:sz="8" w:color="auto"/>
              <w:right w:val="single" w:sz="8" w:color="auto"/>
            </w:tcBorders>
          </w:tcPr>
          <w:p>
            <w:pPr>
              <w:spacing w:after="0"/>
              <w:rPr>
                <w:sz w:val="24"/>
                <w:szCs w:val="24"/>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PSUs underlying any Tranche that has satisfied both of the applicable Vesting Conditions in accordance with this</w:t>
            </w:r>
          </w:p>
        </w:tc>
      </w:tr>
      <w:tr>
        <w:trPr>
          <w:trHeight w:val="220"/>
        </w:trPr>
        <w:tc>
          <w:tcPr>
            <w:tcW w:w="2400" w:type="dxa"/>
            <w:vAlign w:val="bottom"/>
            <w:tcBorders>
              <w:left w:val="single" w:sz="8" w:color="auto"/>
              <w:right w:val="single" w:sz="8" w:color="auto"/>
            </w:tcBorders>
          </w:tcPr>
          <w:p>
            <w:pPr>
              <w:spacing w:after="0"/>
              <w:rPr>
                <w:sz w:val="19"/>
                <w:szCs w:val="19"/>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PSU Agreement as of any relevant date of determination are referred to as the “</w:t>
            </w:r>
            <w:r>
              <w:rPr>
                <w:rFonts w:ascii="Times New Roman" w:cs="Times New Roman" w:eastAsia="Times New Roman" w:hAnsi="Times New Roman"/>
                <w:sz w:val="18"/>
                <w:szCs w:val="18"/>
                <w:b w:val="1"/>
                <w:bCs w:val="1"/>
                <w:i w:val="1"/>
                <w:iCs w:val="1"/>
                <w:color w:val="auto"/>
                <w:w w:val="99"/>
              </w:rPr>
              <w:t>Vested PSUs</w:t>
            </w:r>
            <w:r>
              <w:rPr>
                <w:rFonts w:ascii="Times New Roman" w:cs="Times New Roman" w:eastAsia="Times New Roman" w:hAnsi="Times New Roman"/>
                <w:sz w:val="18"/>
                <w:szCs w:val="18"/>
                <w:color w:val="auto"/>
                <w:w w:val="99"/>
              </w:rPr>
              <w:t>” and the date on which both</w:t>
            </w:r>
          </w:p>
        </w:tc>
      </w:tr>
      <w:tr>
        <w:trPr>
          <w:trHeight w:val="212"/>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such Vesting Conditions applicable to any Tranche of PSUs have been satisfied in accordance with the terms of this PSU</w:t>
            </w:r>
          </w:p>
        </w:tc>
      </w:tr>
      <w:tr>
        <w:trPr>
          <w:trHeight w:val="220"/>
        </w:trPr>
        <w:tc>
          <w:tcPr>
            <w:tcW w:w="2400" w:type="dxa"/>
            <w:vAlign w:val="bottom"/>
            <w:tcBorders>
              <w:left w:val="single" w:sz="8" w:color="auto"/>
              <w:right w:val="single" w:sz="8" w:color="auto"/>
            </w:tcBorders>
          </w:tcPr>
          <w:p>
            <w:pPr>
              <w:spacing w:after="0"/>
              <w:rPr>
                <w:sz w:val="19"/>
                <w:szCs w:val="19"/>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 is referred to as the “</w:t>
            </w:r>
            <w:r>
              <w:rPr>
                <w:rFonts w:ascii="Times New Roman" w:cs="Times New Roman" w:eastAsia="Times New Roman" w:hAnsi="Times New Roman"/>
                <w:sz w:val="18"/>
                <w:szCs w:val="18"/>
                <w:b w:val="1"/>
                <w:bCs w:val="1"/>
                <w:i w:val="1"/>
                <w:iCs w:val="1"/>
                <w:color w:val="auto"/>
              </w:rPr>
              <w:t>Vesting Date</w:t>
            </w:r>
            <w:r>
              <w:rPr>
                <w:rFonts w:ascii="Times New Roman" w:cs="Times New Roman" w:eastAsia="Times New Roman" w:hAnsi="Times New Roman"/>
                <w:sz w:val="18"/>
                <w:szCs w:val="18"/>
                <w:color w:val="auto"/>
              </w:rPr>
              <w:t>”. Any PSUs underlying any Tranche that has not satisfied both of the</w:t>
            </w:r>
          </w:p>
        </w:tc>
      </w:tr>
      <w:tr>
        <w:trPr>
          <w:trHeight w:val="212"/>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Vesting Conditions in accordance with this PSU Agreement as of any relevant date of determination are referred to as</w:t>
            </w:r>
          </w:p>
        </w:tc>
      </w:tr>
      <w:tr>
        <w:trPr>
          <w:trHeight w:val="238"/>
        </w:trPr>
        <w:tc>
          <w:tcPr>
            <w:tcW w:w="2400" w:type="dxa"/>
            <w:vAlign w:val="bottom"/>
            <w:tcBorders>
              <w:left w:val="single" w:sz="8" w:color="auto"/>
              <w:right w:val="single" w:sz="8" w:color="auto"/>
            </w:tcBorders>
          </w:tcPr>
          <w:p>
            <w:pPr>
              <w:spacing w:after="0"/>
              <w:rPr>
                <w:sz w:val="20"/>
                <w:szCs w:val="20"/>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Unvested PSUs</w:t>
            </w:r>
            <w:r>
              <w:rPr>
                <w:rFonts w:ascii="Times New Roman" w:cs="Times New Roman" w:eastAsia="Times New Roman" w:hAnsi="Times New Roman"/>
                <w:sz w:val="18"/>
                <w:szCs w:val="18"/>
                <w:color w:val="auto"/>
              </w:rPr>
              <w:t>”.</w:t>
            </w:r>
          </w:p>
        </w:tc>
      </w:tr>
      <w:tr>
        <w:trPr>
          <w:trHeight w:val="414"/>
        </w:trPr>
        <w:tc>
          <w:tcPr>
            <w:tcW w:w="2400" w:type="dxa"/>
            <w:vAlign w:val="bottom"/>
            <w:tcBorders>
              <w:left w:val="single" w:sz="8" w:color="auto"/>
              <w:right w:val="single" w:sz="8" w:color="auto"/>
            </w:tcBorders>
          </w:tcPr>
          <w:p>
            <w:pPr>
              <w:spacing w:after="0"/>
              <w:rPr>
                <w:sz w:val="24"/>
                <w:szCs w:val="24"/>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Committee shall have sole and exclusive authority and discretion to make all determinations and resolve all</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ambiguities, questions and disputes relating to the satisfaction of the Performance Condition and/or Service Condition</w:t>
            </w: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the level of earning and vesting of the PSUs.</w:t>
            </w:r>
          </w:p>
        </w:tc>
      </w:tr>
      <w:tr>
        <w:trPr>
          <w:trHeight w:val="223"/>
        </w:trPr>
        <w:tc>
          <w:tcPr>
            <w:tcW w:w="2400" w:type="dxa"/>
            <w:vAlign w:val="bottom"/>
            <w:tcBorders>
              <w:left w:val="single" w:sz="8" w:color="auto"/>
              <w:bottom w:val="single" w:sz="8" w:color="auto"/>
              <w:right w:val="single" w:sz="8" w:color="auto"/>
            </w:tcBorders>
          </w:tcPr>
          <w:p>
            <w:pPr>
              <w:spacing w:after="0"/>
              <w:rPr>
                <w:sz w:val="19"/>
                <w:szCs w:val="19"/>
                <w:color w:val="auto"/>
              </w:rPr>
            </w:pPr>
          </w:p>
        </w:tc>
        <w:tc>
          <w:tcPr>
            <w:tcW w:w="8840" w:type="dxa"/>
            <w:vAlign w:val="bottom"/>
            <w:tcBorders>
              <w:bottom w:val="single" w:sz="8" w:color="auto"/>
              <w:right w:val="single" w:sz="8" w:color="auto"/>
            </w:tcBorders>
          </w:tcPr>
          <w:p>
            <w:pPr>
              <w:spacing w:after="0"/>
              <w:rPr>
                <w:sz w:val="19"/>
                <w:szCs w:val="19"/>
                <w:color w:val="auto"/>
              </w:rPr>
            </w:pPr>
          </w:p>
        </w:tc>
      </w:tr>
      <w:tr>
        <w:trPr>
          <w:trHeight w:val="385"/>
        </w:trPr>
        <w:tc>
          <w:tcPr>
            <w:tcW w:w="240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2" w:right="339" w:bottom="1440" w:gutter="0" w:footer="0" w:header="0"/>
        </w:sectPr>
      </w:pPr>
    </w:p>
    <w:bookmarkStart w:id="190" w:name="page191"/>
    <w:bookmarkEnd w:id="190"/>
    <w:p>
      <w:pPr>
        <w:ind w:left="1400" w:right="140" w:hanging="2375"/>
        <w:spacing w:after="0" w:line="266"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2064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7132320" cy="6206490"/>
                    </a:xfrm>
                    <a:prstGeom prst="rect">
                      <a:avLst/>
                    </a:prstGeom>
                    <a:noFill/>
                  </pic:spPr>
                </pic:pic>
              </a:graphicData>
            </a:graphic>
          </wp:anchor>
        </w:drawing>
        <w:t>Performance Condition:</w:t>
      </w:r>
      <w:r>
        <w:rPr>
          <w:sz w:val="20"/>
          <w:szCs w:val="20"/>
          <w:color w:val="auto"/>
        </w:rPr>
        <w:tab/>
      </w:r>
      <w:r>
        <w:rPr>
          <w:rFonts w:ascii="Times New Roman" w:cs="Times New Roman" w:eastAsia="Times New Roman" w:hAnsi="Times New Roman"/>
          <w:sz w:val="18"/>
          <w:szCs w:val="18"/>
          <w:color w:val="auto"/>
        </w:rPr>
        <w:t>Subject to the terms set forth below, the Performance Condition applicable to each Tranche will be deemed satisfied on the first date during the Performance Period (as defined below) upon which the Share Price Hurdle Achievement (as defined below) with respect to such Tranche has occurred, in accordance with the following table:</w:t>
      </w:r>
    </w:p>
    <w:p>
      <w:pPr>
        <w:spacing w:after="0" w:line="178" w:lineRule="exact"/>
        <w:rPr>
          <w:sz w:val="20"/>
          <w:szCs w:val="20"/>
          <w:color w:val="auto"/>
        </w:rPr>
      </w:pPr>
    </w:p>
    <w:tbl>
      <w:tblPr>
        <w:tblLayout w:type="fixed"/>
        <w:tblInd w:w="1390" w:type="dxa"/>
        <w:tblCellMar>
          <w:top w:w="0" w:type="dxa"/>
          <w:left w:w="0" w:type="dxa"/>
          <w:bottom w:w="0" w:type="dxa"/>
          <w:right w:w="0" w:type="dxa"/>
        </w:tblCellMar>
      </w:tblPr>
      <w:tr>
        <w:trPr>
          <w:trHeight w:val="250"/>
        </w:trPr>
        <w:tc>
          <w:tcPr>
            <w:tcW w:w="28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Tranche</w:t>
            </w:r>
          </w:p>
        </w:tc>
        <w:tc>
          <w:tcPr>
            <w:tcW w:w="2800" w:type="dxa"/>
            <w:vAlign w:val="bottom"/>
            <w:tcBorders>
              <w:top w:val="single" w:sz="8" w:color="auto"/>
              <w:bottom w:val="single" w:sz="8" w:color="auto"/>
              <w:right w:val="single" w:sz="8" w:color="auto"/>
            </w:tcBorders>
            <w:shd w:val="clear" w:color="auto" w:fill="D9D9D9"/>
          </w:tcPr>
          <w:p>
            <w:pPr>
              <w:ind w:left="980"/>
              <w:spacing w:after="0"/>
              <w:rPr>
                <w:sz w:val="20"/>
                <w:szCs w:val="20"/>
                <w:color w:val="auto"/>
              </w:rPr>
            </w:pPr>
            <w:r>
              <w:rPr>
                <w:rFonts w:ascii="Times New Roman" w:cs="Times New Roman" w:eastAsia="Times New Roman" w:hAnsi="Times New Roman"/>
                <w:sz w:val="18"/>
                <w:szCs w:val="18"/>
                <w:b w:val="1"/>
                <w:bCs w:val="1"/>
                <w:color w:val="auto"/>
              </w:rPr>
              <w:t>% of PSUs</w:t>
            </w:r>
          </w:p>
        </w:tc>
        <w:tc>
          <w:tcPr>
            <w:tcW w:w="28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Price Hurdle (per share)</w:t>
            </w:r>
          </w:p>
        </w:tc>
        <w:tc>
          <w:tcPr>
            <w:tcW w:w="320" w:type="dxa"/>
            <w:vAlign w:val="bottom"/>
          </w:tcPr>
          <w:p>
            <w:pPr>
              <w:spacing w:after="0"/>
              <w:rPr>
                <w:sz w:val="21"/>
                <w:szCs w:val="21"/>
                <w:color w:val="auto"/>
              </w:rPr>
            </w:pPr>
          </w:p>
        </w:tc>
      </w:tr>
      <w:tr>
        <w:trPr>
          <w:trHeight w:val="223"/>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First Tranche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14.71%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spacing w:after="0"/>
              <w:rPr>
                <w:sz w:val="19"/>
                <w:szCs w:val="19"/>
                <w:color w:val="auto"/>
              </w:rPr>
            </w:pPr>
          </w:p>
        </w:tc>
      </w:tr>
      <w:tr>
        <w:trPr>
          <w:trHeight w:val="223"/>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Second Tranche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7.35%</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$17.50</w:t>
            </w:r>
          </w:p>
        </w:tc>
        <w:tc>
          <w:tcPr>
            <w:tcW w:w="320" w:type="dxa"/>
            <w:vAlign w:val="bottom"/>
          </w:tcPr>
          <w:p>
            <w:pPr>
              <w:spacing w:after="0"/>
              <w:rPr>
                <w:sz w:val="19"/>
                <w:szCs w:val="19"/>
                <w:color w:val="auto"/>
              </w:rPr>
            </w:pPr>
          </w:p>
        </w:tc>
      </w:tr>
      <w:tr>
        <w:trPr>
          <w:trHeight w:val="223"/>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Third Tranche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8.82%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19"/>
                <w:szCs w:val="19"/>
                <w:color w:val="auto"/>
              </w:rPr>
            </w:pPr>
          </w:p>
        </w:tc>
      </w:tr>
      <w:tr>
        <w:trPr>
          <w:trHeight w:val="223"/>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Fourth Tranche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11.77%</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$22.50</w:t>
            </w:r>
          </w:p>
        </w:tc>
        <w:tc>
          <w:tcPr>
            <w:tcW w:w="320" w:type="dxa"/>
            <w:vAlign w:val="bottom"/>
          </w:tcPr>
          <w:p>
            <w:pPr>
              <w:spacing w:after="0"/>
              <w:rPr>
                <w:sz w:val="19"/>
                <w:szCs w:val="19"/>
                <w:color w:val="auto"/>
              </w:rPr>
            </w:pPr>
          </w:p>
        </w:tc>
      </w:tr>
      <w:tr>
        <w:trPr>
          <w:trHeight w:val="223"/>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Fifth Tranche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22.06%</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Pr>
          <w:p>
            <w:pPr>
              <w:spacing w:after="0"/>
              <w:rPr>
                <w:sz w:val="19"/>
                <w:szCs w:val="19"/>
                <w:color w:val="auto"/>
              </w:rPr>
            </w:pPr>
          </w:p>
        </w:tc>
      </w:tr>
      <w:tr>
        <w:trPr>
          <w:trHeight w:val="223"/>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Sixth Tranche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35.29%</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For purposes of this PSU Agreement:</w:t>
      </w:r>
    </w:p>
    <w:p>
      <w:pPr>
        <w:spacing w:after="0" w:line="221" w:lineRule="exact"/>
        <w:rPr>
          <w:sz w:val="20"/>
          <w:szCs w:val="20"/>
          <w:color w:val="auto"/>
        </w:rPr>
      </w:pPr>
    </w:p>
    <w:p>
      <w:pPr>
        <w:ind w:left="2040" w:right="260" w:hanging="317"/>
        <w:spacing w:after="0" w:line="286" w:lineRule="auto"/>
        <w:tabs>
          <w:tab w:leader="none" w:pos="19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Condition Satisfaction Date</w:t>
      </w:r>
      <w:r>
        <w:rPr>
          <w:rFonts w:ascii="Times New Roman" w:cs="Times New Roman" w:eastAsia="Times New Roman" w:hAnsi="Times New Roman"/>
          <w:sz w:val="18"/>
          <w:szCs w:val="18"/>
          <w:color w:val="auto"/>
        </w:rPr>
        <w:t>” means, with respect to any Tranche of PSUs, the date during the Performance Period on which Share Price Hurdle Achievement occurs with respect to such Tranche.</w:t>
      </w:r>
    </w:p>
    <w:p>
      <w:pPr>
        <w:spacing w:after="0" w:line="148" w:lineRule="exact"/>
        <w:rPr>
          <w:rFonts w:ascii="Times New Roman" w:cs="Times New Roman" w:eastAsia="Times New Roman" w:hAnsi="Times New Roman"/>
          <w:sz w:val="18"/>
          <w:szCs w:val="18"/>
          <w:color w:val="auto"/>
        </w:rPr>
      </w:pPr>
    </w:p>
    <w:p>
      <w:pPr>
        <w:ind w:left="2040" w:right="180" w:hanging="317"/>
        <w:spacing w:after="0" w:line="204" w:lineRule="auto"/>
        <w:tabs>
          <w:tab w:leader="none" w:pos="19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beginning on the Grant Date and ending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thereof.</w:t>
      </w:r>
    </w:p>
    <w:p>
      <w:pPr>
        <w:spacing w:after="0" w:line="194" w:lineRule="exact"/>
        <w:rPr>
          <w:rFonts w:ascii="Times New Roman" w:cs="Times New Roman" w:eastAsia="Times New Roman" w:hAnsi="Times New Roman"/>
          <w:sz w:val="18"/>
          <w:szCs w:val="18"/>
          <w:color w:val="auto"/>
        </w:rPr>
      </w:pPr>
    </w:p>
    <w:p>
      <w:pPr>
        <w:ind w:left="2040" w:right="200" w:hanging="317"/>
        <w:spacing w:after="0" w:line="262" w:lineRule="auto"/>
        <w:tabs>
          <w:tab w:leader="none" w:pos="19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Price Hurdle</w:t>
      </w:r>
      <w:r>
        <w:rPr>
          <w:rFonts w:ascii="Times New Roman" w:cs="Times New Roman" w:eastAsia="Times New Roman" w:hAnsi="Times New Roman"/>
          <w:sz w:val="18"/>
          <w:szCs w:val="18"/>
          <w:color w:val="auto"/>
        </w:rPr>
        <w:t xml:space="preserve">” means the price per Common Share set forth in the table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Share Price Hurdles set forth in the table above shall be equitably adjusted by the Committee in order to prevent the dilution or enlargement of benefits intended to be provided under this PSU Agreement in the event of Capitalization Adjustments.</w:t>
      </w:r>
    </w:p>
    <w:p>
      <w:pPr>
        <w:spacing w:after="0" w:line="176" w:lineRule="exact"/>
        <w:rPr>
          <w:rFonts w:ascii="Times New Roman" w:cs="Times New Roman" w:eastAsia="Times New Roman" w:hAnsi="Times New Roman"/>
          <w:sz w:val="18"/>
          <w:szCs w:val="18"/>
          <w:color w:val="auto"/>
        </w:rPr>
      </w:pPr>
    </w:p>
    <w:p>
      <w:pPr>
        <w:ind w:left="2040" w:right="20" w:hanging="317"/>
        <w:spacing w:after="0" w:line="244" w:lineRule="auto"/>
        <w:tabs>
          <w:tab w:leader="none" w:pos="19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Price Hurdle Achievement</w:t>
      </w:r>
      <w:r>
        <w:rPr>
          <w:rFonts w:ascii="Times New Roman" w:cs="Times New Roman" w:eastAsia="Times New Roman" w:hAnsi="Times New Roman"/>
          <w:sz w:val="18"/>
          <w:szCs w:val="18"/>
          <w:color w:val="auto"/>
        </w:rPr>
        <w:t>” means, with respect to any applicable Tranche, the occurrence of (a) the trailing thirty (30) consecutive trading day volume weighted average trading price per Common Share (rounded to the nearest second decimal place), as reported following the close of any trading day by Bloomberg L.P. (or its successor, or if not available, by another authoritative source selected by the Committee) on any trading day during the Performance Period, beginning on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of the Performance Period (the “</w:t>
      </w:r>
      <w:r>
        <w:rPr>
          <w:rFonts w:ascii="Times New Roman" w:cs="Times New Roman" w:eastAsia="Times New Roman" w:hAnsi="Times New Roman"/>
          <w:sz w:val="18"/>
          <w:szCs w:val="18"/>
          <w:b w:val="1"/>
          <w:bCs w:val="1"/>
          <w:i w:val="1"/>
          <w:iCs w:val="1"/>
          <w:color w:val="auto"/>
        </w:rPr>
        <w:t>30-Day VWAP</w:t>
      </w:r>
      <w:r>
        <w:rPr>
          <w:rFonts w:ascii="Times New Roman" w:cs="Times New Roman" w:eastAsia="Times New Roman" w:hAnsi="Times New Roman"/>
          <w:sz w:val="18"/>
          <w:szCs w:val="18"/>
          <w:color w:val="auto"/>
        </w:rPr>
        <w:t xml:space="preserve">”) exceeding (b) the Share Price Hurdle applicable to such Tranche. Notwithstanding anything to the contrary herein, the Share Price Hurdle Achievement for any Tranche must occur with respect to trading days occurring during the Performance Period, and any trading days outside of the Performance Period will not be taken into account for purposes of determining whether the Share Price Hurdle Achievement for any Tranche has occurred;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Performance Period ends when the 30-Day VWAP immediately prior to (and including) the closing price on the last day of the Performance Period is between $25.00 and $30.00 (such share price, the “</w:t>
      </w:r>
      <w:r>
        <w:rPr>
          <w:rFonts w:ascii="Times New Roman" w:cs="Times New Roman" w:eastAsia="Times New Roman" w:hAnsi="Times New Roman"/>
          <w:sz w:val="18"/>
          <w:szCs w:val="18"/>
          <w:b w:val="1"/>
          <w:bCs w:val="1"/>
          <w:i w:val="1"/>
          <w:iCs w:val="1"/>
          <w:color w:val="auto"/>
        </w:rPr>
        <w:t>Final Share Price</w:t>
      </w:r>
      <w:r>
        <w:rPr>
          <w:rFonts w:ascii="Times New Roman" w:cs="Times New Roman" w:eastAsia="Times New Roman" w:hAnsi="Times New Roman"/>
          <w:sz w:val="18"/>
          <w:szCs w:val="18"/>
          <w:color w:val="auto"/>
        </w:rPr>
        <w:t xml:space="preserve">”), then a pro-rata portion of the PSUs underlying the Sixth Tranche of PSUs will be deemed to have satisfied the Performance Condition on the last day of the Performance Period, determined as follows: (i) the number of PSUs underlying the Sixth Tranche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fraction, (A) the numerator of which is equal to (x) the Final Share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$25.00, and (B) the denominator of which is $5.00 (the “</w:t>
      </w:r>
      <w:r>
        <w:rPr>
          <w:rFonts w:ascii="Times New Roman" w:cs="Times New Roman" w:eastAsia="Times New Roman" w:hAnsi="Times New Roman"/>
          <w:sz w:val="18"/>
          <w:szCs w:val="18"/>
          <w:b w:val="1"/>
          <w:bCs w:val="1"/>
          <w:i w:val="1"/>
          <w:iCs w:val="1"/>
          <w:color w:val="auto"/>
        </w:rPr>
        <w:t>Sixth Tranche Proration Treatment</w:t>
      </w:r>
      <w:r>
        <w:rPr>
          <w:rFonts w:ascii="Times New Roman" w:cs="Times New Roman" w:eastAsia="Times New Roman" w:hAnsi="Times New Roman"/>
          <w:sz w:val="18"/>
          <w:szCs w:val="18"/>
          <w:color w:val="auto"/>
        </w:rPr>
        <w:t>”). In the event the Shares are not listed on The Nasdaq Global Select Market as of any relevant date of determination during the Performance Period, then any reference in this Award Agreement to The Nasdaq Global Select Market will be deemed to refer to the principal securities exchange or market on which the Common Shares are traded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256540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4" w:right="339" w:bottom="1440" w:gutter="0" w:footer="0" w:header="0"/>
        </w:sectPr>
      </w:pPr>
    </w:p>
    <w:bookmarkStart w:id="191" w:name="page192"/>
    <w:bookmarkEnd w:id="191"/>
    <w:p>
      <w:pPr>
        <w:ind w:left="1380"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462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7132320" cy="4046220"/>
                    </a:xfrm>
                    <a:prstGeom prst="rect">
                      <a:avLst/>
                    </a:prstGeom>
                    <a:noFill/>
                  </pic:spPr>
                </pic:pic>
              </a:graphicData>
            </a:graphic>
          </wp:anchor>
        </w:drawing>
        <w:t>For the avoidance of doubt, the PSUs underlying any Tranche shall be forfeited and cancelled in their entirety without any payment to the extent that the Share Price Hurdle Achievement for such Tranche does not occur.</w:t>
      </w:r>
    </w:p>
    <w:p>
      <w:pPr>
        <w:spacing w:after="0" w:line="185" w:lineRule="exact"/>
        <w:rPr>
          <w:sz w:val="20"/>
          <w:szCs w:val="20"/>
          <w:color w:val="auto"/>
        </w:rPr>
      </w:pPr>
    </w:p>
    <w:p>
      <w:pPr>
        <w:ind w:left="1380" w:right="40" w:hanging="2348"/>
        <w:spacing w:after="0" w:line="254"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Service Condition:</w:t>
      </w:r>
      <w:r>
        <w:rPr>
          <w:sz w:val="20"/>
          <w:szCs w:val="20"/>
          <w:color w:val="auto"/>
        </w:rPr>
        <w:tab/>
      </w:r>
      <w:r>
        <w:rPr>
          <w:rFonts w:ascii="Times New Roman" w:cs="Times New Roman" w:eastAsia="Times New Roman" w:hAnsi="Times New Roman"/>
          <w:sz w:val="18"/>
          <w:szCs w:val="18"/>
          <w:color w:val="auto"/>
        </w:rPr>
        <w:t>Subject to the terms and conditions of this PSU Agreement, the Service Condition applicable to each Tranche will be satisfied on the first anniversary of the Performance Condition Satisfaction Date applicable to such Tranche (such first anniversary date, the “</w:t>
      </w:r>
      <w:r>
        <w:rPr>
          <w:rFonts w:ascii="Times New Roman" w:cs="Times New Roman" w:eastAsia="Times New Roman" w:hAnsi="Times New Roman"/>
          <w:sz w:val="18"/>
          <w:szCs w:val="18"/>
          <w:b w:val="1"/>
          <w:bCs w:val="1"/>
          <w:i w:val="1"/>
          <w:iCs w:val="1"/>
          <w:color w:val="auto"/>
        </w:rPr>
        <w:t>Service Condition Satisfaction Date</w:t>
      </w:r>
      <w:r>
        <w:rPr>
          <w:rFonts w:ascii="Times New Roman" w:cs="Times New Roman" w:eastAsia="Times New Roman" w:hAnsi="Times New Roman"/>
          <w:sz w:val="18"/>
          <w:szCs w:val="18"/>
          <w:color w:val="auto"/>
        </w:rPr>
        <w:t>”), subject to the Participant’s Continuous Service through such applicable Service Condition Satisfaction Date. For the avoidance of doubt, satisfaction of the Service Condition applies on a Tranche-by-Tranche basis, with each Tranche having a separate Service Condition Satisfaction Date, which will be the one-year anniversary of the Performance Condition Satisfaction Date applicable to such Tranche (which may vary from Tranche to Tranche). Notwithstanding the foregoing, the Service Condition shall not apply in the event of a termination of Continuous Service due to death or Disability.</w:t>
      </w:r>
    </w:p>
    <w:p>
      <w:pPr>
        <w:spacing w:after="0" w:line="219" w:lineRule="exact"/>
        <w:rPr>
          <w:sz w:val="20"/>
          <w:szCs w:val="20"/>
          <w:color w:val="auto"/>
        </w:rPr>
      </w:pPr>
    </w:p>
    <w:p>
      <w:pPr>
        <w:ind w:left="1380" w:hanging="2348"/>
        <w:spacing w:after="0" w:line="254"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Change in Control:</w:t>
      </w:r>
      <w:r>
        <w:rPr>
          <w:sz w:val="20"/>
          <w:szCs w:val="20"/>
          <w:color w:val="auto"/>
        </w:rPr>
        <w:tab/>
      </w:r>
      <w:r>
        <w:rPr>
          <w:rFonts w:ascii="Times New Roman" w:cs="Times New Roman" w:eastAsia="Times New Roman" w:hAnsi="Times New Roman"/>
          <w:sz w:val="18"/>
          <w:szCs w:val="18"/>
          <w:color w:val="auto"/>
        </w:rPr>
        <w:t>Notwithstanding anything to the contrary in this PSU Agreement, in the event of a Change in Control prior to the end of the Performance Period, with respect to any Tranche of PSUs for which the Performance Condition has not otherwise been previously satisfied prior to the date of such Change in Control, the Performance Condition applicable to such Tranche shall be deemed satisfied, as of immediately prior to the consummation of such Change in Control, to the extent that the price per Share received by the Company’s shareholders pursuant to such Change in Control (including the per share value of any other consideration received by the Company’s shareholders pursuant to such Change in Control) (the “</w:t>
      </w:r>
      <w:r>
        <w:rPr>
          <w:rFonts w:ascii="Times New Roman" w:cs="Times New Roman" w:eastAsia="Times New Roman" w:hAnsi="Times New Roman"/>
          <w:sz w:val="18"/>
          <w:szCs w:val="18"/>
          <w:b w:val="1"/>
          <w:bCs w:val="1"/>
          <w:i w:val="1"/>
          <w:iCs w:val="1"/>
          <w:color w:val="auto"/>
        </w:rPr>
        <w:t>Transaction Price Per Share</w:t>
      </w:r>
      <w:r>
        <w:rPr>
          <w:rFonts w:ascii="Times New Roman" w:cs="Times New Roman" w:eastAsia="Times New Roman" w:hAnsi="Times New Roman"/>
          <w:sz w:val="18"/>
          <w:szCs w:val="18"/>
          <w:color w:val="auto"/>
        </w:rPr>
        <w:t>”) exceeds the Share Price Hurdle applicable to such Tranche, as determined by the Committee in its good faith discretion.</w:t>
      </w:r>
    </w:p>
    <w:p>
      <w:pPr>
        <w:spacing w:after="0" w:line="196" w:lineRule="exact"/>
        <w:rPr>
          <w:sz w:val="20"/>
          <w:szCs w:val="20"/>
          <w:color w:val="auto"/>
        </w:rPr>
      </w:pPr>
    </w:p>
    <w:p>
      <w:pPr>
        <w:ind w:left="1380" w:right="120"/>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herein, if the Transaction Price Per Share is less than or equal to the Share Price Hurdle applicable to any Tranche for which the Performance Condition has not otherwise been satisfied as of the date of such Change in Control, the PSUs underlying any such Tranche shall be forfeited and cancelled in their entirety without any payment to Participant (subject to the Sixth Tranche Proration Treatment described above, assuming for these purposes that the Transaction Price Per Share is the Final Share Price). For the avoidance of doubt, the Performance Period shall be deemed to end on the date of the Change in Control and achievement of the Performance Condition for any Tranche which has not previously satisfied will be assessed as of such date based on the Transaction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253365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48" w:right="399" w:bottom="1440" w:gutter="0" w:footer="0" w:header="0"/>
        </w:sectPr>
      </w:pPr>
    </w:p>
    <w:bookmarkStart w:id="192" w:name="page193"/>
    <w:bookmarkEnd w:id="192"/>
    <w:p>
      <w:pPr>
        <w:ind w:left="236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4405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t>For the avoidance of doubt, in the event of a Change in Control, any outstanding Tranche of PSUs which has either previously satisfied the Performance Condition prior to the date of such Change in Control, or which is deemed to have satisfied the Performance Condition upon the Change in Control based on the Transaction Price Per Share, as described above, shall remain outstanding and eligible to vest based on the satisfaction of the Service Condition (subject to the provisions regarding treatment upon a termination of Continuous Service, as set forth below).</w:t>
      </w:r>
    </w:p>
    <w:p>
      <w:pPr>
        <w:spacing w:after="0" w:line="3"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18"/>
          <w:szCs w:val="18"/>
          <w:b w:val="1"/>
          <w:bCs w:val="1"/>
          <w:color w:val="auto"/>
        </w:rPr>
        <w:t>Termination of Continuous</w:t>
      </w:r>
      <w:r>
        <w:rPr>
          <w:sz w:val="20"/>
          <w:szCs w:val="20"/>
          <w:color w:val="auto"/>
        </w:rPr>
        <w:tab/>
      </w:r>
      <w:r>
        <w:rPr>
          <w:rFonts w:ascii="Times New Roman" w:cs="Times New Roman" w:eastAsia="Times New Roman" w:hAnsi="Times New Roman"/>
          <w:sz w:val="17"/>
          <w:szCs w:val="17"/>
          <w:color w:val="auto"/>
        </w:rPr>
        <w:t>Except as provided below, in the event of the termination of the Participant’s Continuous Service for any reason prior to</w:t>
      </w:r>
    </w:p>
    <w:p>
      <w:pPr>
        <w:spacing w:after="0" w:line="31" w:lineRule="exact"/>
        <w:rPr>
          <w:sz w:val="20"/>
          <w:szCs w:val="20"/>
          <w:color w:val="auto"/>
        </w:rPr>
      </w:pPr>
    </w:p>
    <w:p>
      <w:pPr>
        <w:jc w:val="both"/>
        <w:ind w:left="2360" w:right="120" w:hanging="2359"/>
        <w:spacing w:after="0" w:line="253" w:lineRule="auto"/>
        <w:tabs>
          <w:tab w:leader="none" w:pos="2340" w:val="left"/>
        </w:tabs>
        <w:rPr>
          <w:sz w:val="20"/>
          <w:szCs w:val="20"/>
          <w:color w:val="auto"/>
        </w:rPr>
      </w:pPr>
      <w:r>
        <w:rPr>
          <w:rFonts w:ascii="Times New Roman" w:cs="Times New Roman" w:eastAsia="Times New Roman" w:hAnsi="Times New Roman"/>
          <w:sz w:val="18"/>
          <w:szCs w:val="18"/>
          <w:b w:val="1"/>
          <w:bCs w:val="1"/>
          <w:color w:val="auto"/>
        </w:rPr>
        <w:t>Service:</w:t>
      </w:r>
      <w:r>
        <w:rPr>
          <w:sz w:val="20"/>
          <w:szCs w:val="20"/>
          <w:color w:val="auto"/>
        </w:rPr>
        <w:tab/>
      </w:r>
      <w:r>
        <w:rPr>
          <w:rFonts w:ascii="Times New Roman" w:cs="Times New Roman" w:eastAsia="Times New Roman" w:hAnsi="Times New Roman"/>
          <w:sz w:val="18"/>
          <w:szCs w:val="18"/>
          <w:color w:val="auto"/>
        </w:rPr>
        <w:t>the Service Condition Satisfaction Date (for the avoidance of doubt, regardless of whether the Performance Condition has been previously satisfied), any Unvested PSUs will be immediately forfeited and canceled without any payment to the Participant as of the date of the Participant’s termination of Continuous Service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(and, for the avoidance of doubt, any Vested PSUs will remain outstanding in accordance with the terms of this PSU Agreement and the Plan).</w:t>
      </w:r>
    </w:p>
    <w:p>
      <w:pPr>
        <w:spacing w:after="0" w:line="18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Notwithstanding anything to the contrary herein, in the event of the termination of the Participant’s Continuous Service</w:t>
      </w:r>
    </w:p>
    <w:p>
      <w:pPr>
        <w:spacing w:after="0" w:line="27" w:lineRule="exact"/>
        <w:rPr>
          <w:sz w:val="20"/>
          <w:szCs w:val="20"/>
          <w:color w:val="auto"/>
        </w:rPr>
      </w:pPr>
    </w:p>
    <w:p>
      <w:pPr>
        <w:ind w:left="2360" w:hanging="8"/>
        <w:spacing w:after="0" w:line="252" w:lineRule="auto"/>
        <w:tabs>
          <w:tab w:leader="none" w:pos="26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without Cause (as defined below), (y) due to the Participant’s death or Disability (as defined below) or (z) due to the Participant’s resignation for Good Reason (as defined below), any Tranche of PSUs that has previously satisfied the Performance Condition shall be deemed to fully vest (and the PSUs underlying such Tranche shall constitute Vested PSUs) as of the Participant’s Termination Date (any such PSUs, the “</w:t>
      </w:r>
      <w:r>
        <w:rPr>
          <w:rFonts w:ascii="Times New Roman" w:cs="Times New Roman" w:eastAsia="Times New Roman" w:hAnsi="Times New Roman"/>
          <w:sz w:val="18"/>
          <w:szCs w:val="18"/>
          <w:b w:val="1"/>
          <w:bCs w:val="1"/>
          <w:i w:val="1"/>
          <w:iCs w:val="1"/>
          <w:color w:val="auto"/>
        </w:rPr>
        <w:t>Accelerated PSUs</w:t>
      </w:r>
      <w:r>
        <w:rPr>
          <w:rFonts w:ascii="Times New Roman" w:cs="Times New Roman" w:eastAsia="Times New Roman" w:hAnsi="Times New Roman"/>
          <w:sz w:val="18"/>
          <w:szCs w:val="18"/>
          <w:color w:val="auto"/>
        </w:rPr>
        <w:t>”). For the avoidance of doubt, the foregoing acceleration shall apply only to a Tranche of PSUs to the extent the foregoing described qualifying termination of Continuous Service occurs on or after the Performance Condition Satisfaction Date and before the Service Condition Satisfaction Date applicable to such Tranche.</w:t>
      </w:r>
    </w:p>
    <w:p>
      <w:pPr>
        <w:spacing w:after="0" w:line="188" w:lineRule="exact"/>
        <w:rPr>
          <w:sz w:val="20"/>
          <w:szCs w:val="20"/>
          <w:color w:val="auto"/>
        </w:rPr>
      </w:pPr>
    </w:p>
    <w:p>
      <w:pPr>
        <w:ind w:left="2360" w:right="8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in the event of the Participant’s termination of Continuous Service for Cause, all outstanding PSUs (whether Vested PSUs or Unvested PSUs) will be forfeited and canceled in their entirety without any payment to the Participant.</w:t>
      </w:r>
    </w:p>
    <w:p>
      <w:pPr>
        <w:spacing w:after="0" w:line="172" w:lineRule="exact"/>
        <w:rPr>
          <w:sz w:val="20"/>
          <w:szCs w:val="20"/>
          <w:color w:val="auto"/>
        </w:rPr>
      </w:pPr>
    </w:p>
    <w:p>
      <w:pPr>
        <w:ind w:left="2360" w:right="40"/>
        <w:spacing w:after="0" w:line="268"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have the meanings ascribed to such terms in the Participant’s employment agreement with the Roivant Sciences, Inc. (as amended from time to time) (the “</w:t>
      </w:r>
      <w:r>
        <w:rPr>
          <w:rFonts w:ascii="Times New Roman" w:cs="Times New Roman" w:eastAsia="Times New Roman" w:hAnsi="Times New Roman"/>
          <w:sz w:val="18"/>
          <w:szCs w:val="18"/>
          <w:b w:val="1"/>
          <w:bCs w:val="1"/>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2360" w:right="300"/>
        <w:spacing w:after="0" w:line="268" w:lineRule="auto"/>
        <w:rPr>
          <w:sz w:val="20"/>
          <w:szCs w:val="20"/>
          <w:color w:val="auto"/>
        </w:rPr>
      </w:pPr>
      <w:r>
        <w:rPr>
          <w:rFonts w:ascii="Times New Roman" w:cs="Times New Roman" w:eastAsia="Times New Roman" w:hAnsi="Times New Roman"/>
          <w:sz w:val="18"/>
          <w:szCs w:val="18"/>
          <w:color w:val="auto"/>
        </w:rPr>
        <w:t>For purposes of this PSU Agreement,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have the meaning set forth in the Participant’s Employment Agreement, provided that the existence of a Disability shall be determined by the Committee in its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242570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48" w:right="419" w:bottom="1440" w:gutter="0" w:footer="0" w:header="0"/>
        </w:sectPr>
      </w:pPr>
    </w:p>
    <w:bookmarkStart w:id="193" w:name="page194"/>
    <w:bookmarkEnd w:id="193"/>
    <w:tbl>
      <w:tblPr>
        <w:tblLayout w:type="fixed"/>
        <w:tblInd w:w="10" w:type="dxa"/>
        <w:tblCellMar>
          <w:top w:w="0" w:type="dxa"/>
          <w:left w:w="0" w:type="dxa"/>
          <w:bottom w:w="0" w:type="dxa"/>
          <w:right w:w="0" w:type="dxa"/>
        </w:tblCellMar>
      </w:tblPr>
      <w:tr>
        <w:trPr>
          <w:trHeight w:val="221"/>
        </w:trPr>
        <w:tc>
          <w:tcPr>
            <w:tcW w:w="240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Post-Vesting Holding</w:t>
            </w:r>
          </w:p>
        </w:tc>
        <w:tc>
          <w:tcPr>
            <w:tcW w:w="8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Plan, the Participant may not, directly or indirectly, sell,</w:t>
            </w:r>
          </w:p>
        </w:tc>
      </w:tr>
      <w:tr>
        <w:trPr>
          <w:trHeight w:val="220"/>
        </w:trPr>
        <w:tc>
          <w:tcPr>
            <w:tcW w:w="24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dispose of, transfer, alienate, hypothecate, assign, make any short sale of, grant any option for the purchase of, or enter</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into any hedging, pledging or similar transaction with the same economic effect as a sale with respect to, any Common</w:t>
            </w:r>
          </w:p>
        </w:tc>
      </w:tr>
      <w:tr>
        <w:trPr>
          <w:trHeight w:val="212"/>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issued to the Participant upon settlement of any Vested PSUs for a period of two (2) years immediately following</w:t>
            </w:r>
          </w:p>
        </w:tc>
      </w:tr>
      <w:tr>
        <w:trPr>
          <w:trHeight w:val="220"/>
        </w:trPr>
        <w:tc>
          <w:tcPr>
            <w:tcW w:w="2400" w:type="dxa"/>
            <w:vAlign w:val="bottom"/>
            <w:tcBorders>
              <w:left w:val="single" w:sz="8" w:color="auto"/>
              <w:right w:val="single" w:sz="8" w:color="auto"/>
            </w:tcBorders>
          </w:tcPr>
          <w:p>
            <w:pPr>
              <w:spacing w:after="0"/>
              <w:rPr>
                <w:sz w:val="19"/>
                <w:szCs w:val="19"/>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applicable Service Condition Satisfaction Date (the “</w:t>
            </w:r>
            <w:r>
              <w:rPr>
                <w:rFonts w:ascii="Times New Roman" w:cs="Times New Roman" w:eastAsia="Times New Roman" w:hAnsi="Times New Roman"/>
                <w:sz w:val="18"/>
                <w:szCs w:val="18"/>
                <w:b w:val="1"/>
                <w:bCs w:val="1"/>
                <w:i w:val="1"/>
                <w:iCs w:val="1"/>
                <w:color w:val="auto"/>
              </w:rPr>
              <w:t>Post-Vesting Holding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Accelerated PSUs, the Post-Vesting Holding Period shall in no event end prior to the second anniversary of the</w:t>
            </w: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originally scheduled Service Condition Satisfaction Date applicable to such Accelerated PSUs.</w:t>
            </w:r>
          </w:p>
        </w:tc>
      </w:tr>
      <w:tr>
        <w:trPr>
          <w:trHeight w:val="414"/>
        </w:trPr>
        <w:tc>
          <w:tcPr>
            <w:tcW w:w="2400" w:type="dxa"/>
            <w:vAlign w:val="bottom"/>
            <w:tcBorders>
              <w:left w:val="single" w:sz="8" w:color="auto"/>
              <w:right w:val="single" w:sz="8" w:color="auto"/>
            </w:tcBorders>
          </w:tcPr>
          <w:p>
            <w:pPr>
              <w:spacing w:after="0"/>
              <w:rPr>
                <w:sz w:val="24"/>
                <w:szCs w:val="24"/>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Notwithstanding the foregoing, (i) the Post-Vesting Holding Period shall not apply with respect to any Common Shares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 to be withheld, tendered or sold to satisfy applicable Tax Withholding Obligations (as defined in the PSU</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Award Agreement) pursuant to the terms of Section 11(b) of the PSU Award Agreement, and (ii) the Post-Vesting</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Holding Period shall cease to apply (A) upon the occurrence of a Change in Control or (B) upon the termination of the</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8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Participant’s Continuous Service due to death or Disability.</w:t>
            </w:r>
          </w:p>
        </w:tc>
      </w:tr>
      <w:tr>
        <w:trPr>
          <w:trHeight w:val="198"/>
        </w:trPr>
        <w:tc>
          <w:tcPr>
            <w:tcW w:w="240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Release of Claims:</w:t>
            </w:r>
          </w:p>
        </w:tc>
        <w:tc>
          <w:tcPr>
            <w:tcW w:w="8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The Participant agrees and acknowledges that the vesting and settlement of the PSUs is conditioned upon the</w:t>
            </w:r>
          </w:p>
        </w:tc>
      </w:tr>
      <w:tr>
        <w:trPr>
          <w:trHeight w:val="212"/>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Participant’s timely execution and non-revocation of the release of claims provided to the Participant by the Company on</w:t>
            </w:r>
          </w:p>
        </w:tc>
      </w:tr>
      <w:tr>
        <w:trPr>
          <w:trHeight w:val="220"/>
        </w:trPr>
        <w:tc>
          <w:tcPr>
            <w:tcW w:w="2400" w:type="dxa"/>
            <w:vAlign w:val="bottom"/>
            <w:tcBorders>
              <w:left w:val="single" w:sz="8" w:color="auto"/>
              <w:right w:val="single" w:sz="8" w:color="auto"/>
            </w:tcBorders>
          </w:tcPr>
          <w:p>
            <w:pPr>
              <w:spacing w:after="0"/>
              <w:rPr>
                <w:sz w:val="19"/>
                <w:szCs w:val="19"/>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date hereof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Accordingly, and notwithstanding anything to the contrary herein, in the event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Participant fails to timely execute the Release within the consideration period set forth in the Release, or the Participant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timely executes the Release but thereafter revokes the Release, the PSUs shall be automatically forfeited and cancelled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in their entirety immediately following the expiration of such consideration period or upon the revocation of the Release,</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8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applicable.</w:t>
            </w:r>
          </w:p>
        </w:tc>
      </w:tr>
      <w:tr>
        <w:trPr>
          <w:trHeight w:val="194"/>
        </w:trPr>
        <w:tc>
          <w:tcPr>
            <w:tcW w:w="2400" w:type="dxa"/>
            <w:vAlign w:val="bottom"/>
            <w:tcBorders>
              <w:left w:val="single" w:sz="8" w:color="auto"/>
              <w:right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Additional Terms/</w:t>
            </w:r>
          </w:p>
        </w:tc>
        <w:tc>
          <w:tcPr>
            <w:tcW w:w="88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The Participant acknowledges receipt of, and understands and agrees to, this PSU Grant Notice, the PSU Award</w:t>
            </w:r>
          </w:p>
        </w:tc>
      </w:tr>
      <w:tr>
        <w:trPr>
          <w:trHeight w:val="220"/>
        </w:trPr>
        <w:tc>
          <w:tcPr>
            <w:tcW w:w="24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Acknowledgements:</w:t>
            </w: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 and the Plan. The Participant acknowledges and agrees that PSU Agreement may not be modified, amended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revised except as provided in the Plan. The Participant further acknowledges that as of the Grant Date, this PSU</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 and the Plan set forth the entire understanding between the Participant and the Company regarding this PSU</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Award and supersede all prior oral and written agreements, promises and/or representations on that subject with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exception of (i) Stock Awards previously granted and delivered to the Participant, (ii) any compensation recovery policy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share ownership guidelines that is adopted by the Company or is otherwise required by applicable law and (iii) any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written employment or severance arrangement that would provide for vesting acceleration of the PSUs upon the terms</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8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conditions set forth therein.</w:t>
            </w:r>
          </w:p>
        </w:tc>
      </w:tr>
      <w:tr>
        <w:trPr>
          <w:trHeight w:val="372"/>
        </w:trPr>
        <w:tc>
          <w:tcPr>
            <w:tcW w:w="240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194" w:name="page195"/>
    <w:bookmarkEnd w:id="19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By accepting this PSU Award, the Participant consents hereby to receive such documents by electronic delivery and to participate in the Plan through an on-line or electronic system established and maintained by the Company or another third party designated by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oivant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ciences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articipant</w:t>
            </w:r>
            <w:r>
              <w:rPr>
                <w:rFonts w:ascii="Times New Roman" w:cs="Times New Roman" w:eastAsia="Times New Roman" w:hAnsi="Times New Roman"/>
                <w:sz w:val="18"/>
                <w:szCs w:val="18"/>
                <w:b w:val="1"/>
                <w:bCs w:val="1"/>
                <w:color w:val="auto"/>
              </w:rPr>
              <w:t>:</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r>
      <w:tr>
        <w:trPr>
          <w:trHeight w:val="237"/>
        </w:trPr>
        <w:tc>
          <w:tcPr>
            <w:tcW w:w="5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r>
      <w:tr>
        <w:trPr>
          <w:trHeight w:val="198"/>
        </w:trPr>
        <w:tc>
          <w:tcPr>
            <w:tcW w:w="580" w:type="dxa"/>
            <w:vAlign w:val="bottom"/>
          </w:tcPr>
          <w:p>
            <w:pPr>
              <w:spacing w:after="0"/>
              <w:rPr>
                <w:sz w:val="17"/>
                <w:szCs w:val="17"/>
                <w:color w:val="auto"/>
              </w:rPr>
            </w:pPr>
          </w:p>
        </w:tc>
        <w:tc>
          <w:tcPr>
            <w:tcW w:w="4940" w:type="dxa"/>
            <w:vAlign w:val="bottom"/>
          </w:tcPr>
          <w:p>
            <w:pPr>
              <w:ind w:left="1960"/>
              <w:spacing w:after="0" w:line="198" w:lineRule="exact"/>
              <w:rPr>
                <w:sz w:val="20"/>
                <w:szCs w:val="20"/>
                <w:color w:val="auto"/>
              </w:rPr>
            </w:pPr>
            <w:r>
              <w:rPr>
                <w:rFonts w:ascii="Times New Roman" w:cs="Times New Roman" w:eastAsia="Times New Roman" w:hAnsi="Times New Roman"/>
                <w:sz w:val="18"/>
                <w:szCs w:val="18"/>
                <w:color w:val="auto"/>
              </w:rPr>
              <w:t>Signature</w:t>
            </w:r>
          </w:p>
        </w:tc>
        <w:tc>
          <w:tcPr>
            <w:tcW w:w="780" w:type="dxa"/>
            <w:vAlign w:val="bottom"/>
          </w:tcPr>
          <w:p>
            <w:pPr>
              <w:spacing w:after="0"/>
              <w:rPr>
                <w:sz w:val="17"/>
                <w:szCs w:val="17"/>
                <w:color w:val="auto"/>
              </w:rPr>
            </w:pPr>
          </w:p>
        </w:tc>
        <w:tc>
          <w:tcPr>
            <w:tcW w:w="4940" w:type="dxa"/>
            <w:vAlign w:val="bottom"/>
          </w:tcPr>
          <w:p>
            <w:pPr>
              <w:ind w:left="1840"/>
              <w:spacing w:after="0" w:line="198" w:lineRule="exact"/>
              <w:rPr>
                <w:sz w:val="20"/>
                <w:szCs w:val="20"/>
                <w:color w:val="auto"/>
              </w:rPr>
            </w:pPr>
            <w:r>
              <w:rPr>
                <w:rFonts w:ascii="Times New Roman" w:cs="Times New Roman" w:eastAsia="Times New Roman" w:hAnsi="Times New Roman"/>
                <w:sz w:val="18"/>
                <w:szCs w:val="18"/>
                <w:color w:val="auto"/>
              </w:rPr>
              <w:t>Signature</w:t>
            </w:r>
          </w:p>
        </w:tc>
      </w:tr>
      <w:tr>
        <w:trPr>
          <w:trHeight w:val="255"/>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top w:val="single" w:sz="8" w:color="auto"/>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ATTACHMENTS: </w:t>
            </w:r>
            <w:r>
              <w:rPr>
                <w:rFonts w:ascii="Times New Roman" w:cs="Times New Roman" w:eastAsia="Times New Roman" w:hAnsi="Times New Roman"/>
                <w:sz w:val="18"/>
                <w:szCs w:val="18"/>
                <w:color w:val="auto"/>
                <w:w w:val="99"/>
              </w:rPr>
              <w:t>PSU Award Agreement and 2021 Equity Incentive Plan</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38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oivant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ciences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PSU A</w:t>
      </w:r>
      <w:r>
        <w:rPr>
          <w:rFonts w:ascii="Times New Roman" w:cs="Times New Roman" w:eastAsia="Times New Roman" w:hAnsi="Times New Roman"/>
          <w:sz w:val="12"/>
          <w:szCs w:val="12"/>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your Performance Restricted Stock Unit Award Grant Notice (“</w:t>
      </w:r>
      <w:r>
        <w:rPr>
          <w:rFonts w:ascii="Times New Roman" w:cs="Times New Roman" w:eastAsia="Times New Roman" w:hAnsi="Times New Roman"/>
          <w:sz w:val="18"/>
          <w:szCs w:val="18"/>
          <w:b w:val="1"/>
          <w:bCs w:val="1"/>
          <w:i w:val="1"/>
          <w:iCs w:val="1"/>
          <w:color w:val="auto"/>
        </w:rPr>
        <w:t>PSU Grant Notice</w:t>
      </w:r>
      <w:r>
        <w:rPr>
          <w:rFonts w:ascii="Times New Roman" w:cs="Times New Roman" w:eastAsia="Times New Roman" w:hAnsi="Times New Roman"/>
          <w:sz w:val="18"/>
          <w:szCs w:val="18"/>
          <w:color w:val="auto"/>
        </w:rPr>
        <w:t>”) and this Performance Restricted Stock Unit Award Agreement (this “</w:t>
      </w:r>
      <w:r>
        <w:rPr>
          <w:rFonts w:ascii="Times New Roman" w:cs="Times New Roman" w:eastAsia="Times New Roman" w:hAnsi="Times New Roman"/>
          <w:sz w:val="18"/>
          <w:szCs w:val="18"/>
          <w:b w:val="1"/>
          <w:bCs w:val="1"/>
          <w:i w:val="1"/>
          <w:iCs w:val="1"/>
          <w:color w:val="auto"/>
        </w:rPr>
        <w:t>PSU Award Agreement</w:t>
      </w:r>
      <w:r>
        <w:rPr>
          <w:rFonts w:ascii="Times New Roman" w:cs="Times New Roman" w:eastAsia="Times New Roman" w:hAnsi="Times New Roman"/>
          <w:sz w:val="18"/>
          <w:szCs w:val="18"/>
          <w:color w:val="auto"/>
        </w:rPr>
        <w:t>” and, together with the PSU Grant Notice, the “</w:t>
      </w:r>
      <w:r>
        <w:rPr>
          <w:rFonts w:ascii="Times New Roman" w:cs="Times New Roman" w:eastAsia="Times New Roman" w:hAnsi="Times New Roman"/>
          <w:sz w:val="18"/>
          <w:szCs w:val="18"/>
          <w:b w:val="1"/>
          <w:bCs w:val="1"/>
          <w:i w:val="1"/>
          <w:iCs w:val="1"/>
          <w:color w:val="auto"/>
        </w:rPr>
        <w:t>PSU Agreement</w:t>
      </w:r>
      <w:r>
        <w:rPr>
          <w:rFonts w:ascii="Times New Roman" w:cs="Times New Roman" w:eastAsia="Times New Roman" w:hAnsi="Times New Roman"/>
          <w:sz w:val="18"/>
          <w:szCs w:val="18"/>
          <w:color w:val="auto"/>
        </w:rPr>
        <w:t>”), Roivant Sciences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Performance Restricted Stock Unit Award (the “</w:t>
      </w:r>
      <w:r>
        <w:rPr>
          <w:rFonts w:ascii="Times New Roman" w:cs="Times New Roman" w:eastAsia="Times New Roman" w:hAnsi="Times New Roman"/>
          <w:sz w:val="18"/>
          <w:szCs w:val="18"/>
          <w:b w:val="1"/>
          <w:bCs w:val="1"/>
          <w:i w:val="1"/>
          <w:iCs w:val="1"/>
          <w:color w:val="auto"/>
        </w:rPr>
        <w:t>PSU Award</w:t>
      </w:r>
      <w:r>
        <w:rPr>
          <w:rFonts w:ascii="Times New Roman" w:cs="Times New Roman" w:eastAsia="Times New Roman" w:hAnsi="Times New Roman"/>
          <w:sz w:val="18"/>
          <w:szCs w:val="18"/>
          <w:color w:val="auto"/>
        </w:rPr>
        <w:t>”) under its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the number of Performance Restricted Stock Units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set forth in your PSU Grant Notice. Each PSU, to the extent earned, represents the right to receive one common share of the Company (each, a “</w:t>
      </w:r>
      <w:r>
        <w:rPr>
          <w:rFonts w:ascii="Times New Roman" w:cs="Times New Roman" w:eastAsia="Times New Roman" w:hAnsi="Times New Roman"/>
          <w:sz w:val="18"/>
          <w:szCs w:val="18"/>
          <w:b w:val="1"/>
          <w:bCs w:val="1"/>
          <w:i w:val="1"/>
          <w:iCs w:val="1"/>
          <w:color w:val="auto"/>
        </w:rPr>
        <w:t>Common Share</w:t>
      </w:r>
      <w:r>
        <w:rPr>
          <w:rFonts w:ascii="Times New Roman" w:cs="Times New Roman" w:eastAsia="Times New Roman" w:hAnsi="Times New Roman"/>
          <w:sz w:val="18"/>
          <w:szCs w:val="18"/>
          <w:color w:val="auto"/>
        </w:rPr>
        <w:t>”) upon the vesting of the PSU. The PSUs are granted to you effective as of the grant date set forth in the PSU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If there is any conflict between the terms in this PSU Agreement and the Plan, the terms of the Plan will control. Capitalized terms not explicitly defined in this PSU Agreement or in the PSU Grant Notice but defined in the Plan will have the same definitions as in the Plan.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and conditions of your PSUs, in addition to those set forth in the PSU Grant Notice and the Plan, are as follows:</w:t>
      </w:r>
    </w:p>
    <w:p>
      <w:pPr>
        <w:spacing w:after="0" w:line="221" w:lineRule="exact"/>
        <w:rPr>
          <w:sz w:val="20"/>
          <w:szCs w:val="20"/>
          <w:color w:val="auto"/>
        </w:rPr>
      </w:pPr>
    </w:p>
    <w:p>
      <w:pPr>
        <w:ind w:right="20" w:firstLine="656"/>
        <w:spacing w:after="0" w:line="286" w:lineRule="auto"/>
        <w:tabs>
          <w:tab w:leader="none" w:pos="133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esting</w:t>
      </w:r>
      <w:r>
        <w:rPr>
          <w:rFonts w:ascii="Times New Roman" w:cs="Times New Roman" w:eastAsia="Times New Roman" w:hAnsi="Times New Roman"/>
          <w:sz w:val="18"/>
          <w:szCs w:val="18"/>
          <w:color w:val="auto"/>
        </w:rPr>
        <w:t>. Your PSUs will vest as provided in your PSU Grant Notice. Except as otherwise expressly provided in your PSU Grant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will cease upon the termination of your Continuous Service.</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33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color w:val="auto"/>
        </w:rPr>
        <w:t>. The maximum number of Common Shares subject to your PSUs, to the extent earned, is set forth in your PSU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which will be adjusted for Capitalization Adjustments.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41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as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hareholder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rior to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ssuance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color w:val="auto"/>
        </w:rPr>
        <w:t>. Neither you nor any other Person shall become the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the Common Shares underlying the PSUs, nor have any rights to dividends or other rights as a shareholder with respect to the Common Shares (including voting rights), until and after such Common Shares, if any, have been actually issued to you and entered into the books and records of the Company in accordance with the terms of the Plan and this PSU Agreement. Following the issuance of Common Shares underlying any Vested PSUs, such Common Shares will be subject to the Post-Vest Holding Period set forth in your PSU Grant Notice.</w:t>
      </w:r>
    </w:p>
    <w:p>
      <w:pPr>
        <w:spacing w:after="0" w:line="179"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hole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color w:val="auto"/>
        </w:rPr>
        <w:t>. Your PSUs may be settled only for whole Common Shares.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489"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color w:val="auto"/>
        </w:rPr>
        <w:t>. Your PSUs may not be settled unless the Common Shares issuable upon settlement are then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or, if not registered, the Company has determined that such settlement and the issuance of the shares would be exempt from the registration requirements of the Securities Act. The settlement of your PSUs also must comply with all other applicable laws, rules and regulations governing your PSUs and any regulation, qualification, approvals or other requirements imposed by any government or regulatory agency or body. Your PSUs may not be settled if the Company determines that such settlement would not be in material compliance with such laws, rules, regulations, qualification, approvals or other requirements.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6" w:name="page197"/>
    <w:bookmarkEnd w:id="196"/>
    <w:p>
      <w:pPr>
        <w:ind w:left="1460" w:hanging="804"/>
        <w:spacing w:after="0"/>
        <w:tabs>
          <w:tab w:leader="none" w:pos="14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ettlement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466"/>
        <w:spacing w:after="0" w:line="255" w:lineRule="auto"/>
        <w:tabs>
          <w:tab w:leader="none" w:pos="2072"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one or more dates following the date on which an PSU becomes a Vested PSU, but in no event later than the later of (a) the fifteenth (15th) day of the third (3rd) calendar month following the end of the first fiscal year of the Company in which the applicable PSU becomes a Vested PSU and (b) March 15 following the first calendar year in which the applicable PSU becomes earned and vested, the Company shall cause to be delivered to you, in full settlement and satisfaction of such Vested PSUs, the Common Shares underlying such Vested PSUs, subject to the satisfaction of applicable Tax Withholding Obligations with respect thereto in accordance with this PSU Agreement (for the avoidance of doubt, the Company may settle the Vested PSUs over multiple dates during the period described above). The Common Shares issued in respect of your PSUs may be endorsed with appropriate legends as determined by the Company.</w:t>
      </w:r>
    </w:p>
    <w:p>
      <w:pPr>
        <w:spacing w:after="0" w:line="188" w:lineRule="exact"/>
        <w:rPr>
          <w:rFonts w:ascii="Times New Roman" w:cs="Times New Roman" w:eastAsia="Times New Roman" w:hAnsi="Times New Roman"/>
          <w:sz w:val="18"/>
          <w:szCs w:val="18"/>
          <w:b w:val="1"/>
          <w:bCs w:val="1"/>
          <w:color w:val="auto"/>
        </w:rPr>
      </w:pPr>
    </w:p>
    <w:p>
      <w:pPr>
        <w:jc w:val="both"/>
        <w:ind w:firstLine="1466"/>
        <w:spacing w:after="0" w:line="254" w:lineRule="auto"/>
        <w:tabs>
          <w:tab w:leader="none" w:pos="2110"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hereby acknowledge and agree that you will not sell, dispose of, transfer, make any short sale of, grant any option for the purchase of, or enter into any hedging or similar transaction with the same economic effect as a sale with respect to any Common Shares or other securities of the Company held by you, for a period of up to one hundred eighty (180) days following the effective date of a registration statement of the Company filed under the Securities Act or other applicable law, in each case if so requested by the Company or the underwriter in connection therewith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Lock-Up Period. You further acknowledge and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Common Shares until the end of such period. You also acknowledge and agree that any transferee of any Common Shares (or other securities) of the Company held by you will be bound by this Section 6(b).</w:t>
      </w:r>
    </w:p>
    <w:p>
      <w:pPr>
        <w:spacing w:after="0" w:line="184"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ransferability</w:t>
      </w:r>
      <w:r>
        <w:rPr>
          <w:rFonts w:ascii="Times New Roman" w:cs="Times New Roman" w:eastAsia="Times New Roman" w:hAnsi="Times New Roman"/>
          <w:sz w:val="18"/>
          <w:szCs w:val="18"/>
          <w:color w:val="auto"/>
        </w:rPr>
        <w:t>. The PSUs shall not be transferable other than by will or the laws of descent and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w:t>
      </w:r>
      <w:r>
        <w:rPr>
          <w:rFonts w:ascii="Times New Roman" w:cs="Times New Roman" w:eastAsia="Times New Roman" w:hAnsi="Times New Roman"/>
          <w:sz w:val="18"/>
          <w:szCs w:val="18"/>
          <w:color w:val="auto"/>
        </w:rPr>
        <w:t>r, that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Committee may, in its discretion, permit the PSUs to be transferred subject to such conditions and limitations as may be imposed by the Committee, subject to compliance with all applicable laws. Upon receiving written permission from the Committee or its duly authorized designee, you may, by delivering written notice to the Company, in a form approved by the Company designate a third party who, on or following your death will receive rights with respect of the PSUs, if any.</w:t>
      </w:r>
    </w:p>
    <w:p>
      <w:pPr>
        <w:spacing w:after="0" w:line="185" w:lineRule="exact"/>
        <w:rPr>
          <w:sz w:val="20"/>
          <w:szCs w:val="20"/>
          <w:color w:val="auto"/>
        </w:rPr>
      </w:pPr>
    </w:p>
    <w:p>
      <w:pPr>
        <w:ind w:left="1560" w:hanging="904"/>
        <w:spacing w:after="0"/>
        <w:tabs>
          <w:tab w:leader="none" w:pos="15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ontinuous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 for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ause</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2"/>
          <w:szCs w:val="12"/>
          <w:b w:val="1"/>
          <w:bCs w:val="1"/>
          <w:color w:val="auto"/>
        </w:rPr>
        <w:t>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(or its delegate) shall have the sole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discretion to determine whether a termination of Continuous Service has occurred, the effective date of such termination, and whether such termination was for Cause. In the event that your Continuous Service is terminated by the Company or any Subsidiary or Affiliate for Cause, all of your PSUs, whether or not vested, that have not previously been settled in Common Shares shall be automatically forfeited to the Company and cancelled without consideration. In addition, the Board may require you to return to the Company any cash or Common Shares you received with respect to the settlement of your PSUs;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you disposed of any Common Shares you received with respect to the settlement of the PSUs, the Board may require you to pay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cash, the Fair Market Value of such Common Shares as of the date of disposition. The Board shall exercise the right of recoupment provided for in this Section 8 within 180 days after the Board’s discovery of the applicable activity constituting Cause or within any other period permitted pursuant to any applicable clawback or recoupment policy or as permitted by applicable law. In addition, the PSUs (and the Common Shares underlying the PSUs) shall be subject to clawback or recoupment as contemplated by Section 8(l) of the Plan or otherwise pursuant to any applicable Company policy in effect from time to time or applicable law, including, without limitation, the Roivant Sciences Ltd. Compensation Recoupment Policy, as in effect from time to time.</w:t>
      </w:r>
    </w:p>
    <w:p>
      <w:pPr>
        <w:spacing w:after="0" w:line="188" w:lineRule="exact"/>
        <w:rPr>
          <w:sz w:val="20"/>
          <w:szCs w:val="20"/>
          <w:color w:val="auto"/>
        </w:rPr>
      </w:pPr>
    </w:p>
    <w:p>
      <w:pPr>
        <w:jc w:val="both"/>
        <w:ind w:firstLine="656"/>
        <w:spacing w:after="0" w:line="259" w:lineRule="auto"/>
        <w:tabs>
          <w:tab w:leader="none" w:pos="1489"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PSU</w:t>
      </w:r>
      <w:r>
        <w:rPr>
          <w:rFonts w:ascii="Times New Roman" w:cs="Times New Roman" w:eastAsia="Times New Roman" w:hAnsi="Times New Roman"/>
          <w:sz w:val="12"/>
          <w:szCs w:val="12"/>
          <w:b w:val="1"/>
          <w:bCs w:val="1"/>
          <w:color w:val="auto"/>
        </w:rPr>
        <w:t>s not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ontract</w:t>
      </w:r>
      <w:r>
        <w:rPr>
          <w:rFonts w:ascii="Times New Roman" w:cs="Times New Roman" w:eastAsia="Times New Roman" w:hAnsi="Times New Roman"/>
          <w:sz w:val="18"/>
          <w:szCs w:val="18"/>
          <w:color w:val="auto"/>
        </w:rPr>
        <w:t>. Your PSUs and this PSU Agreement are not an employment or service contract, and 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PSU Agreement and nothing with respect to the PSUs will be deemed to create in any way whatsoever any obligation on your part to continue in the employ of the Company or an Affiliate, or of the Company or an Affiliate to continue your employment. In addition, nothing in this PSU Agreement or with respect to your PSUs will obligate the Company or an Affiliate, their respective stockholders, boards of directors, officers or employees to continue any relationship that you might have as a director or Consultant for the Company or an Affiliate.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7" w:name="page198"/>
    <w:bookmarkEnd w:id="197"/>
    <w:p>
      <w:pPr>
        <w:jc w:val="both"/>
        <w:ind w:firstLine="656"/>
        <w:spacing w:after="0" w:line="256" w:lineRule="auto"/>
        <w:tabs>
          <w:tab w:leader="none" w:pos="140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color w:val="auto"/>
        </w:rPr>
        <w:t>. By accepting any benefit under this PSU Agreement, you and any Person claiming a benefit under or through you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conclusively deemed to have indicated his or her acceptance and ratification of, and consent to, all of the terms and conditions of the Plan and this PSU Agreement and any action taken under the Plan by the Committee or the Company, in any case in accordance with the terms and conditions of the Plan. This PSU Agreement is subject to all the terms, provisions and conditions of the Plan (including, without limitation, Section 8(l) of the Plan), which are incorporated herein by reference, and to such rules, policies and regulations as may from time to time be adopted by the Committee. In the event of any conflict between the provisions of the Plan and this PSU Agreement, the provisions of the Plan shall control, and this PSU Agreement shall be deemed to be modified accordingly.</w:t>
      </w:r>
    </w:p>
    <w:p>
      <w:pPr>
        <w:spacing w:after="0" w:line="182" w:lineRule="exact"/>
        <w:rPr>
          <w:rFonts w:ascii="Times New Roman" w:cs="Times New Roman" w:eastAsia="Times New Roman" w:hAnsi="Times New Roman"/>
          <w:sz w:val="18"/>
          <w:szCs w:val="18"/>
          <w:b w:val="1"/>
          <w:bCs w:val="1"/>
          <w:color w:val="auto"/>
        </w:rPr>
      </w:pPr>
    </w:p>
    <w:p>
      <w:pPr>
        <w:ind w:left="1460" w:hanging="804"/>
        <w:spacing w:after="0"/>
        <w:tabs>
          <w:tab w:leader="none" w:pos="14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466"/>
        <w:spacing w:after="0" w:line="256" w:lineRule="auto"/>
        <w:tabs>
          <w:tab w:leader="none" w:pos="2243"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that, regardless of any action taken by the Company or any Affiliate, the ultimate liability for all income tax, social insurance, payroll tax, fringe benefits tax, or any other tax of any kind related to the PSUs and legally applicable to you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your responsibility (or that of your beneficiary). You further acknowledge that the Company (i) makes no representations or undertakings regarding the treatment of any Tax-Related Items in connection with any aspect of the PSUs, including, but not limited to, the grant, vesting or settlement of the PSUs or the subsequent sale of Common Shares acquired upon settlement of the PSUs and (ii) does not commit to and is under no obligation to structure the terms of the grant or any aspect of the PSUs to reduce or eliminate your liability for Tax-Related Items or achieve any particular tax result.</w:t>
      </w:r>
    </w:p>
    <w:p>
      <w:pPr>
        <w:spacing w:after="0" w:line="187" w:lineRule="exact"/>
        <w:rPr>
          <w:rFonts w:ascii="Times New Roman" w:cs="Times New Roman" w:eastAsia="Times New Roman" w:hAnsi="Times New Roman"/>
          <w:sz w:val="18"/>
          <w:szCs w:val="18"/>
          <w:b w:val="1"/>
          <w:bCs w:val="1"/>
          <w:color w:val="auto"/>
        </w:rPr>
      </w:pPr>
    </w:p>
    <w:p>
      <w:pPr>
        <w:jc w:val="both"/>
        <w:ind w:firstLine="1466"/>
        <w:spacing w:after="0" w:line="256" w:lineRule="auto"/>
        <w:tabs>
          <w:tab w:leader="none" w:pos="2253"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determined by the Committee, upon the vesting and/or settlement of the PSUs (or as of any other date on which the value of any PSUs otherwise become includible in your gross income for tax purposes) (the “</w:t>
      </w:r>
      <w:r>
        <w:rPr>
          <w:rFonts w:ascii="Times New Roman" w:cs="Times New Roman" w:eastAsia="Times New Roman" w:hAnsi="Times New Roman"/>
          <w:sz w:val="18"/>
          <w:szCs w:val="18"/>
          <w:b w:val="1"/>
          <w:bCs w:val="1"/>
          <w:i w:val="1"/>
          <w:iCs w:val="1"/>
          <w:color w:val="auto"/>
        </w:rPr>
        <w:t>Tax Withholding Date</w:t>
      </w:r>
      <w:r>
        <w:rPr>
          <w:rFonts w:ascii="Times New Roman" w:cs="Times New Roman" w:eastAsia="Times New Roman" w:hAnsi="Times New Roman"/>
          <w:sz w:val="18"/>
          <w:szCs w:val="18"/>
          <w:color w:val="auto"/>
        </w:rPr>
        <w:t>”), you shall be required to pay to the Company, and the Company shall have the right to deduct from any compensation paid to you pursuant to PSUs, the amount of any applicable federal, state, local and foreign Tax-Related Items that the Company determines must be withheld with respect to the PSUs (the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In this regard, you authorize the Company and/or any Affiliate, at their discretion, to satisfy any applicable withholding obligations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all Tax-Related Items by one or a combination of the following:</w:t>
      </w:r>
    </w:p>
    <w:p>
      <w:pPr>
        <w:spacing w:after="0" w:line="187" w:lineRule="exact"/>
        <w:rPr>
          <w:rFonts w:ascii="Times New Roman" w:cs="Times New Roman" w:eastAsia="Times New Roman" w:hAnsi="Times New Roman"/>
          <w:sz w:val="18"/>
          <w:szCs w:val="18"/>
          <w:b w:val="1"/>
          <w:bCs w:val="1"/>
          <w:color w:val="auto"/>
        </w:rPr>
      </w:pPr>
    </w:p>
    <w:p>
      <w:pPr>
        <w:jc w:val="both"/>
        <w:ind w:firstLine="2114"/>
        <w:spacing w:after="0" w:line="252" w:lineRule="auto"/>
        <w:tabs>
          <w:tab w:leader="none" w:pos="2649" w:val="left"/>
        </w:tabs>
        <w:numPr>
          <w:ilvl w:val="2"/>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instructing a registered broker chosen by the Company, at a time when you are not in possession of material nonpublic information, to sell on or as soon as administratively practicable following the applicable Tax Withholding Date, such number of Common Shares (rounded up to the next whole number) as the Company deems necessary to satisfy (i) the Tax Withholding Obligations and (ii) all applicable fees and commissions due to, or required to be collected by, the broker (the “</w:t>
      </w:r>
      <w:r>
        <w:rPr>
          <w:rFonts w:ascii="Times New Roman" w:cs="Times New Roman" w:eastAsia="Times New Roman" w:hAnsi="Times New Roman"/>
          <w:sz w:val="18"/>
          <w:szCs w:val="18"/>
          <w:b w:val="1"/>
          <w:bCs w:val="1"/>
          <w:i w:val="1"/>
          <w:iCs w:val="1"/>
          <w:color w:val="auto"/>
        </w:rPr>
        <w:t>Broker Fees</w:t>
      </w:r>
      <w:r>
        <w:rPr>
          <w:rFonts w:ascii="Times New Roman" w:cs="Times New Roman" w:eastAsia="Times New Roman" w:hAnsi="Times New Roman"/>
          <w:sz w:val="18"/>
          <w:szCs w:val="18"/>
          <w:color w:val="auto"/>
        </w:rPr>
        <w:t>”), and the broker shall (A) be required to directly remit to the Company the portion of the cash proceeds from such sale necessary in order for the Company to satisfy the Tax Withholding Obligations and (B) retain the portion of the cash proceeds from such sale required to cover the Broker Fees relating directly to such sale (the “</w:t>
      </w:r>
      <w:r>
        <w:rPr>
          <w:rFonts w:ascii="Times New Roman" w:cs="Times New Roman" w:eastAsia="Times New Roman" w:hAnsi="Times New Roman"/>
          <w:sz w:val="18"/>
          <w:szCs w:val="18"/>
          <w:b w:val="1"/>
          <w:bCs w:val="1"/>
          <w:i w:val="1"/>
          <w:iCs w:val="1"/>
          <w:color w:val="auto"/>
        </w:rPr>
        <w:t>Sell-to-Cover Method</w:t>
      </w:r>
      <w:r>
        <w:rPr>
          <w:rFonts w:ascii="Times New Roman" w:cs="Times New Roman" w:eastAsia="Times New Roman" w:hAnsi="Times New Roman"/>
          <w:sz w:val="18"/>
          <w:szCs w:val="18"/>
          <w:color w:val="auto"/>
        </w:rPr>
        <w:t>”). Any excess Tax Withholding Obligations and Broker Fees not satisfied by the Sell-to-Cover Method as a result of insufficient proceeds from the sales pursuant thereto shall be automatically satisfied by the Company withholding such additional amounts through payroll necessary to satisfy such remaining Tax Withholding Obligations and Broker Fees. To the extent the proceeds of such sales pursuant to the Sell-to-Cover Method exceed the Tax Withholding Obligations and the associated Broker Fees, the Company agrees to remit, or to cause the Broker to remit, to you such excess cash (without interest) as soon as administratively practicable thereafter. You hereby agree and acknowledge that the Company and the broker are under no obligation to arrange for the sale of Common Shares at any particular price under the Sell-to-Cover Method and that the broker may affect sales as provided hereunder in one or more sales and that the average price for executions resulting from bunched orders may be assigned to your account. Your further agree and acknowledge that you will be responsible for all brokerage fees and other costs of sale associated with the Sell-to-Cover Method, and you agree to indemnify and hold the Company and the broker harmless from any losses, costs, damages, or expenses relating to any such sale. In connection with the Sell-to-Cover Method, you shall execute any such documents requested by the broker or the Company in order to effectuate the Sell-to-Cover Method and payment of the Tax Withholding Obligations, and you agree and acknowledge that the Sell-to-Cover Method shall be subject to additional terms, conditions and documentation determined to be necessary or appropriate by the Company or the applicable broker in furtherance of this Section 11(b)(ii). You acknowledge that this Section 11(b)(ii) (and the Sell-to-Cover Method contemplated hereby) is intended to comply with Section 10b5-1(c)(1) under the Exchange Act and shall be interpreted to comply with the requirements of Rule 10b5-1(c) under the Exchange Act; provided that, unless the Committee determines otherwise, this Sell-to-Cover Method shall be the default method by which you will satisfy all applicable Tax Withholding Obligations in respect of the PSUs;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8" w:name="page199"/>
    <w:bookmarkEnd w:id="198"/>
    <w:p>
      <w:pPr>
        <w:jc w:val="both"/>
        <w:ind w:firstLine="2114"/>
        <w:spacing w:after="0" w:line="266" w:lineRule="auto"/>
        <w:tabs>
          <w:tab w:leader="none" w:pos="2695" w:val="left"/>
        </w:tabs>
        <w:numPr>
          <w:ilvl w:val="1"/>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withholding Common Shares that are otherwise payable to you by the Company or any Affiliate upon the vesting or settlement of this Award (or any portion hereof), as applicable, in an amount sufficient to satisfy the Tax Withholding Obligations (the “net settlement” method);</w:t>
      </w:r>
    </w:p>
    <w:p>
      <w:pPr>
        <w:spacing w:after="0" w:line="175" w:lineRule="exact"/>
        <w:rPr>
          <w:rFonts w:ascii="Times New Roman" w:cs="Times New Roman" w:eastAsia="Times New Roman" w:hAnsi="Times New Roman"/>
          <w:sz w:val="18"/>
          <w:szCs w:val="18"/>
          <w:b w:val="1"/>
          <w:bCs w:val="1"/>
          <w:color w:val="auto"/>
        </w:rPr>
      </w:pPr>
    </w:p>
    <w:p>
      <w:pPr>
        <w:ind w:left="2780" w:hanging="666"/>
        <w:spacing w:after="0"/>
        <w:tabs>
          <w:tab w:leader="none" w:pos="2780" w:val="left"/>
        </w:tabs>
        <w:numPr>
          <w:ilvl w:val="1"/>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causing you to tender a cash payment sufficient to satisfy the Tax Withholding Obligations; or</w:t>
      </w:r>
    </w:p>
    <w:p>
      <w:pPr>
        <w:spacing w:after="0" w:line="225" w:lineRule="exact"/>
        <w:rPr>
          <w:rFonts w:ascii="Times New Roman" w:cs="Times New Roman" w:eastAsia="Times New Roman" w:hAnsi="Times New Roman"/>
          <w:sz w:val="18"/>
          <w:szCs w:val="18"/>
          <w:b w:val="1"/>
          <w:bCs w:val="1"/>
          <w:color w:val="auto"/>
        </w:rPr>
      </w:pPr>
    </w:p>
    <w:p>
      <w:pPr>
        <w:ind w:left="2820" w:hanging="706"/>
        <w:spacing w:after="0"/>
        <w:tabs>
          <w:tab w:leader="none" w:pos="2820" w:val="left"/>
        </w:tabs>
        <w:numPr>
          <w:ilvl w:val="1"/>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such other method as may be permitted under the Plan or as may be acceptable to the Board.</w:t>
      </w:r>
    </w:p>
    <w:p>
      <w:pPr>
        <w:spacing w:after="0" w:line="221"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651"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280G</w:t>
      </w:r>
      <w:r>
        <w:rPr>
          <w:rFonts w:ascii="Times New Roman" w:cs="Times New Roman" w:eastAsia="Times New Roman" w:hAnsi="Times New Roman"/>
          <w:sz w:val="18"/>
          <w:szCs w:val="18"/>
          <w:color w:val="auto"/>
        </w:rPr>
        <w:t>. Notwithstanding anything to the contrary herein, except as may otherwise be expressly provided in any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you and the Company or any of its Subsidiaries or Affiliates, if you would be entitled to payments or benefits under this PSU Agreement or under any other plan, program, agreement or arrangement that would constitute “parachute payments” as defined in Section 280G of the Code and could result in any such payment or benefit being subject to an excise tax under Section 4999 of the Code, the present value of such payments and benefits will be reduced by the minimum amount necessary such that the aggregate present value of such payments and benefits do not trigger the excise tax; provided, however, no such reductions shall be given effect if you would be entitled to greater payments and benefits on an after-tax basis (taking into account the excise tax imposed pursuant to Section 4999 of the Code, any tax imposed by any comparable provision of state law, and any applicable federal, state and local income and employment taxes) than if such reductions were to be implemented. Except as otherwise expressly provided in any written agreement between you and the Company or any of its Subsidiaries or Affiliates, all determinations in applying the foregoing provisions for purposes of the “golden parachute” rules under Sections 280G and 4999 of the Code will be made by the Company and shall be final and binding on you and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849"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onsequences</w:t>
      </w:r>
      <w:r>
        <w:rPr>
          <w:rFonts w:ascii="Times New Roman" w:cs="Times New Roman" w:eastAsia="Times New Roman" w:hAnsi="Times New Roman"/>
          <w:sz w:val="18"/>
          <w:szCs w:val="18"/>
          <w:color w:val="auto"/>
        </w:rPr>
        <w:t>. You hereby agree that the Company does not have a duty to design or administer the Plan or its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programs in a manner that minimizes your tax liabilities. You will not make any claim against the Company, or any of its Officers, Directors, Employees or Affiliates related to tax liabilities arising from your PSUs or your other compensation. The Company shall not be liable to you for any adverse tax consequences to you arising in connection with this PSU Award. You are hereby advised to consult with your own personal tax, financial and/or legal advisors regarding the tax consequences of this PSU Award and by accepting the PSU Award, you have agreed that you have done so or knowingly and voluntarily declined to do so. You further understand that you (and not the Company) shall be responsible for your own tax liability that may arise in connection with this PSU Award.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ind w:firstLine="656"/>
        <w:spacing w:after="0" w:line="286" w:lineRule="auto"/>
        <w:tabs>
          <w:tab w:leader="none" w:pos="1381"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nsecured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w:t>
      </w:r>
      <w:r>
        <w:rPr>
          <w:rFonts w:ascii="Times New Roman" w:cs="Times New Roman" w:eastAsia="Times New Roman" w:hAnsi="Times New Roman"/>
          <w:sz w:val="18"/>
          <w:szCs w:val="18"/>
          <w:color w:val="auto"/>
        </w:rPr>
        <w:t>. Your PSU Award is unfunded, and as a holder of vested PSUs, you shall be considered an unsecured creditor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with respect to the Company’s obligation, if any, to issue Common Shares or other property pursuant to this PSU Agreement</w:t>
      </w:r>
      <w:r>
        <w:rPr>
          <w:rFonts w:ascii="Times New Roman" w:cs="Times New Roman" w:eastAsia="Times New Roman" w:hAnsi="Times New Roman"/>
          <w:sz w:val="18"/>
          <w:szCs w:val="18"/>
          <w:b w:val="1"/>
          <w:bCs w:val="1"/>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588"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 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lans</w:t>
      </w:r>
      <w:r>
        <w:rPr>
          <w:rFonts w:ascii="Times New Roman" w:cs="Times New Roman" w:eastAsia="Times New Roman" w:hAnsi="Times New Roman"/>
          <w:sz w:val="18"/>
          <w:szCs w:val="18"/>
          <w:color w:val="auto"/>
        </w:rPr>
        <w:t>. The value of the PSU Award subject to this PSU Agreement shall not be included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earnings, salaries, or other similar terms used when calculating benefits under any employee benefit plan (other than the Plan) sponsored or maintained by the Company or any Affiliate, except as such plan otherwise expressly provides. The Company expressly reserves its rights to amend, modify, or terminate any or all of the employee benefit plans of the Company or any Affiliate.</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413"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notices related to your PSUs or the Plan will be given in writing (including electronically) and will be deemed effectively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the PSUs by electronic means or to request your consent to participate in the Plan by electronic means. By accepting the PSUs, you consent to receive such documents by electronic delivery and to participate in the Plan through an on-line or electronic system established and maintained by the Company or another third party designated by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548"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color w:val="auto"/>
        </w:rPr>
        <w:t>. If all or any part of this PSU Agreement or the Plan is declared by any court or governmental authority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to be unlawful or invalid, such unlawfulness or invalidity shall not invalidate any portion of this PSU Agreement or the Plan not declared to be unlawful or invalid. Any provision of this PSU Agreement or the Plan so declared to be unlawful or invalid shall, to the extent possible, be construed in a manner which will give effect to the terms of such provision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453"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ections</w:t>
      </w:r>
      <w:r>
        <w:rPr>
          <w:rFonts w:ascii="Times New Roman" w:cs="Times New Roman" w:eastAsia="Times New Roman" w:hAnsi="Times New Roman"/>
          <w:sz w:val="18"/>
          <w:szCs w:val="18"/>
          <w:b w:val="1"/>
          <w:bCs w:val="1"/>
          <w:color w:val="auto"/>
        </w:rPr>
        <w:t xml:space="preserve"> 409A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457A</w:t>
      </w:r>
      <w:r>
        <w:rPr>
          <w:rFonts w:ascii="Times New Roman" w:cs="Times New Roman" w:eastAsia="Times New Roman" w:hAnsi="Times New Roman"/>
          <w:sz w:val="18"/>
          <w:szCs w:val="18"/>
          <w:color w:val="auto"/>
        </w:rPr>
        <w:t>. The PSU and all payments made pursuant to the PSU Grant Notice and this PSU Agreement are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exempt and/or comply with Section 409A of the Code and Section 457A of the Code (including the regulations and guidance promulgated thereunder) (“Section 409A” and “Section 457A”, respectively), and shall be interpreted on a basis consistent with such intent. However, nothing herein will be construed as a guarantee by the Company of any particular tax effect to you under this Agreement, including compliance with Section 409A or Section 457A. The Company will not be liable to you for any additional tax, penalty or interest that may be imposed on you pursuant to Section 409A or Section 457A or damages incurred by you as a result of this Agreement (and the payment and benefits hereunder) failing to comply with, or be exempt from, Section 409A or Section 457A. If it is determined that the PSU Award constitutes deferred compensation subject to Section 409A and of the Company determines that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w:t>
      </w:r>
    </w:p>
    <w:p>
      <w:pPr>
        <w:jc w:val="both"/>
        <w:ind w:firstLine="8"/>
        <w:spacing w:after="0" w:line="252" w:lineRule="auto"/>
        <w:tabs>
          <w:tab w:leader="none" w:pos="2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day after the date of your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underlying the PSU that vests is intended to constitute a “separate payment” for purposes of Treasury Regulation Section 1.409A-2(b)(2). The Company reserves the right to modify the terms of this PSU Agreement and the PSU Grant Notice, including, without limitation, the payment provisions applicable to your PSU, to the extent the Company determines necessary or advisable to comply with Section 409A and Section 457A.</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156845</wp:posOffset>
            </wp:positionV>
            <wp:extent cx="2640330" cy="6089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264033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Rakhi Kumar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Separation Agreement and General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Rakhi,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Your employment with Roivant Sciences, Inc. will be terminated effective March 16, 2025 (the “Separation Date”). This Separation Agreement and General Release (this “Agreement”) sets forth the terms and conditions under which Roivant Sciences, Inc. is offering you additional pay and benefits in exchange for you making and honoring certain commitments, including agreeing not to pursue legal action against the Company as described in Sections 7 and 8.</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Separation Date, you will enter into a consulting agreement with the Company (the “Consulting Agreement”) pursuant to which you will continue to provide continuous service to the Company as a non-employee consultant for the 18-month period immediately following the Separation Date (the “Consulting Period”), subject to the terms and conditions of the Consulting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in this Agreement to your Executive Employment Agreement with the Company, dated as of June 5, 2023 (as amended from time to time, your “Existing Employment Agreement”). This Agreement shall serve as written notice of your termination of employment in accordance with Section 4(a) of your Existing Employment Agreement.</w:t>
      </w:r>
    </w:p>
    <w:p>
      <w:pPr>
        <w:spacing w:after="0" w:line="172"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THIS DOCUMENT HAS IMPORTANT LEGAL CONSEQUENCES TO YOU. YOU SHOULD CONSULT AN ATTORNEY OF YOUR CHOICE, AT YOUR EXPENSE, PRIOR TO EXECUTING IT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Parties To This Agreement.</w:t>
      </w:r>
    </w:p>
    <w:p>
      <w:pPr>
        <w:spacing w:after="0" w:line="3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Agreement is a proposed agreement that Roivant Sciences, Inc. is offering to you. In this Agreement, references to </w:t>
      </w:r>
      <w:r>
        <w:rPr>
          <w:rFonts w:ascii="Times New Roman" w:cs="Times New Roman" w:eastAsia="Times New Roman" w:hAnsi="Times New Roman"/>
          <w:sz w:val="18"/>
          <w:szCs w:val="18"/>
          <w:b w:val="1"/>
          <w:bCs w:val="1"/>
          <w:color w:val="auto"/>
        </w:rPr>
        <w:t>RAKHI KUMAR</w:t>
      </w:r>
      <w:r>
        <w:rPr>
          <w:rFonts w:ascii="Times New Roman" w:cs="Times New Roman" w:eastAsia="Times New Roman" w:hAnsi="Times New Roman"/>
          <w:sz w:val="18"/>
          <w:szCs w:val="18"/>
          <w:color w:val="auto"/>
        </w:rPr>
        <w:t xml:space="preserve"> refer to “you” and </w:t>
      </w:r>
      <w:r>
        <w:rPr>
          <w:rFonts w:ascii="Times New Roman" w:cs="Times New Roman" w:eastAsia="Times New Roman" w:hAnsi="Times New Roman"/>
          <w:sz w:val="18"/>
          <w:szCs w:val="18"/>
          <w:b w:val="1"/>
          <w:bCs w:val="1"/>
          <w:color w:val="auto"/>
        </w:rPr>
        <w:t>ROIVANT SCIENCES, INC.</w:t>
      </w:r>
      <w:r>
        <w:rPr>
          <w:rFonts w:ascii="Times New Roman" w:cs="Times New Roman" w:eastAsia="Times New Roman" w:hAnsi="Times New Roman"/>
          <w:sz w:val="18"/>
          <w:szCs w:val="18"/>
          <w:color w:val="auto"/>
        </w:rPr>
        <w:t xml:space="preserve"> is referred to as “Roivant” or the “Company.” Together, you and Roivant Sciences, Inc. are referred to as the “Parties.”</w:t>
      </w:r>
    </w:p>
    <w:p>
      <w:pPr>
        <w:spacing w:after="0" w:line="181" w:lineRule="exact"/>
        <w:rPr>
          <w:rFonts w:ascii="Times New Roman" w:cs="Times New Roman" w:eastAsia="Times New Roman" w:hAnsi="Times New Roman"/>
          <w:sz w:val="18"/>
          <w:szCs w:val="18"/>
          <w:b w:val="1"/>
          <w:bCs w:val="1"/>
          <w:color w:val="auto"/>
        </w:rPr>
      </w:pPr>
    </w:p>
    <w:p>
      <w:pPr>
        <w:ind w:left="660" w:right="4500" w:hanging="652"/>
        <w:spacing w:after="0" w:line="532" w:lineRule="auto"/>
        <w:tabs>
          <w:tab w:leader="none" w:pos="646"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What You Will Receive Regardless of Whether You Enter Into This Agreement. </w:t>
      </w:r>
      <w:r>
        <w:rPr>
          <w:rFonts w:ascii="Times New Roman" w:cs="Times New Roman" w:eastAsia="Times New Roman" w:hAnsi="Times New Roman"/>
          <w:sz w:val="17"/>
          <w:szCs w:val="17"/>
          <w:color w:val="auto"/>
        </w:rPr>
        <w:t>Whether or not you enter into this Agreement, you will receive the following:</w:t>
      </w:r>
    </w:p>
    <w:p>
      <w:pPr>
        <w:spacing w:after="0" w:line="1" w:lineRule="exact"/>
        <w:rPr>
          <w:rFonts w:ascii="Times New Roman" w:cs="Times New Roman" w:eastAsia="Times New Roman" w:hAnsi="Times New Roman"/>
          <w:sz w:val="17"/>
          <w:szCs w:val="17"/>
          <w:b w:val="1"/>
          <w:bCs w:val="1"/>
          <w:color w:val="auto"/>
        </w:rPr>
      </w:pPr>
    </w:p>
    <w:p>
      <w:pPr>
        <w:jc w:val="both"/>
        <w:ind w:left="1000" w:hanging="331"/>
        <w:spacing w:after="0" w:line="266" w:lineRule="auto"/>
        <w:tabs>
          <w:tab w:leader="none" w:pos="10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regular base salary (less applicable withholding) through the Separation Date, provided you remain employed at the Company through that date. You will be receiving your regular pay in the same manner that you normally receive your regular base salary, such as direct deposit, consistent with established bi-monthly payroll cycles as long as you remain employed;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01" w:name="page202"/>
    <w:bookmarkEnd w:id="20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r>
    </w:p>
    <w:p>
      <w:pPr>
        <w:jc w:val="both"/>
        <w:ind w:left="992" w:hanging="317"/>
        <w:spacing w:after="0" w:line="258" w:lineRule="auto"/>
        <w:tabs>
          <w:tab w:leader="none" w:pos="99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currently enrolled and participating in the Company’s medical/dental/vision benefits, your coverage will extend until the end of March 2025 (the month in which your Separation Date takes place). Thereafter, and subject to the terms of this Agreement, you will be able to continue as a member of the Company's Group Health Plans at your expense in accordance with the terms of those plans, as well as COBRA, for the legally required benefit continuation period. You will be receiving a separate letter explaining your rights and responsibilities with regard to electing your COBRA benefits; and</w:t>
      </w:r>
    </w:p>
    <w:p>
      <w:pPr>
        <w:spacing w:after="0" w:line="169" w:lineRule="exact"/>
        <w:rPr>
          <w:rFonts w:ascii="Times New Roman" w:cs="Times New Roman" w:eastAsia="Times New Roman" w:hAnsi="Times New Roman"/>
          <w:sz w:val="18"/>
          <w:szCs w:val="18"/>
          <w:color w:val="auto"/>
        </w:rPr>
      </w:pPr>
    </w:p>
    <w:p>
      <w:pPr>
        <w:ind w:left="992" w:hanging="317"/>
        <w:spacing w:after="0" w:line="282" w:lineRule="auto"/>
        <w:tabs>
          <w:tab w:leader="none" w:pos="99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vested benefits under any applicable retirement plans offered by the Company. You will receive information directly from Fidelity and you may direct questions to them at [...]; and</w:t>
      </w:r>
    </w:p>
    <w:p>
      <w:pPr>
        <w:spacing w:after="0" w:line="161" w:lineRule="exact"/>
        <w:rPr>
          <w:rFonts w:ascii="Times New Roman" w:cs="Times New Roman" w:eastAsia="Times New Roman" w:hAnsi="Times New Roman"/>
          <w:sz w:val="18"/>
          <w:szCs w:val="18"/>
          <w:color w:val="auto"/>
        </w:rPr>
      </w:pPr>
    </w:p>
    <w:p>
      <w:pPr>
        <w:jc w:val="both"/>
        <w:ind w:left="992" w:hanging="317"/>
        <w:spacing w:after="0" w:line="256" w:lineRule="auto"/>
        <w:tabs>
          <w:tab w:leader="none" w:pos="99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as of the Separation Date, you have vested into any or all portion of an equity award with respect to common shares of Roivant Sciences Ltd. (“RSL”) previously granted to you under the Roivant Sciences Ltd. 2021 Equity Incentive Plan (as amended and restated from time to time, the “2021 EIP”) or the Amended and Restated Roivant Sciences Ltd. 2015 Equity Incentive Plan (as amended and restated from time to time, the “2015 EIP” and, together with the 2021 EIP, the “Plans”) and the applicable award agreements and grant notices thereunder (together with the Plans, collectively, the “Equity Award Documents”), you will retain rights to such vested equity grant in accordance with, and subject to, the terms of the applicable Equity Award Documents; and</w:t>
      </w:r>
    </w:p>
    <w:p>
      <w:pPr>
        <w:spacing w:after="0" w:line="187" w:lineRule="exact"/>
        <w:rPr>
          <w:rFonts w:ascii="Times New Roman" w:cs="Times New Roman" w:eastAsia="Times New Roman" w:hAnsi="Times New Roman"/>
          <w:sz w:val="18"/>
          <w:szCs w:val="18"/>
          <w:color w:val="auto"/>
        </w:rPr>
      </w:pPr>
    </w:p>
    <w:p>
      <w:pPr>
        <w:ind w:left="992" w:hanging="317"/>
        <w:spacing w:after="0" w:line="282" w:lineRule="auto"/>
        <w:tabs>
          <w:tab w:leader="none" w:pos="99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all approved business-related expenses incurred up to your Separation Date consistent with established travel and expense policies; and</w:t>
      </w:r>
    </w:p>
    <w:p>
      <w:pPr>
        <w:spacing w:after="0" w:line="147" w:lineRule="exact"/>
        <w:rPr>
          <w:rFonts w:ascii="Times New Roman" w:cs="Times New Roman" w:eastAsia="Times New Roman" w:hAnsi="Times New Roman"/>
          <w:sz w:val="18"/>
          <w:szCs w:val="18"/>
          <w:color w:val="auto"/>
        </w:rPr>
      </w:pPr>
    </w:p>
    <w:p>
      <w:pPr>
        <w:jc w:val="both"/>
        <w:ind w:left="992" w:hanging="317"/>
        <w:spacing w:after="0" w:line="225" w:lineRule="auto"/>
        <w:tabs>
          <w:tab w:leader="none" w:pos="99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long as you direct reference inquiries from potential employers to </w:t>
      </w:r>
      <w:r>
        <w:rPr>
          <w:rFonts w:ascii="Times New Roman" w:cs="Times New Roman" w:eastAsia="Times New Roman" w:hAnsi="Times New Roman"/>
          <w:sz w:val="18"/>
          <w:szCs w:val="18"/>
          <w:b w:val="1"/>
          <w:bCs w:val="1"/>
          <w:color w:val="auto"/>
        </w:rPr>
        <w:t>Katie Koprowski, Roivant Sciences, Inc., 151 West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Street, 15th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Floor, New York, NY 10036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unless otherwise authorized in writing</w:t>
      </w:r>
      <w:r>
        <w:rPr>
          <w:rFonts w:ascii="Times New Roman" w:cs="Times New Roman" w:eastAsia="Times New Roman" w:hAnsi="Times New Roman"/>
          <w:sz w:val="18"/>
          <w:szCs w:val="18"/>
          <w:color w:val="auto"/>
        </w:rPr>
        <w:t>, the Company will limit information it discloses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requests to: (1) your dates of employment; and (2) your last position held. Of course, the Company reserves the right to respond truthfully to any compulsory process of law (such as a subpoena) or as otherwise required by law.</w:t>
      </w:r>
    </w:p>
    <w:p>
      <w:pPr>
        <w:spacing w:after="0" w:line="195"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What You Will Receive Only If You Enter Into This Agreement.</w:t>
      </w:r>
    </w:p>
    <w:p>
      <w:pPr>
        <w:spacing w:after="0" w:line="229" w:lineRule="exact"/>
        <w:rPr>
          <w:sz w:val="20"/>
          <w:szCs w:val="20"/>
          <w:color w:val="auto"/>
        </w:rPr>
      </w:pPr>
    </w:p>
    <w:p>
      <w:pPr>
        <w:jc w:val="both"/>
        <w:ind w:left="652"/>
        <w:spacing w:after="0" w:line="256" w:lineRule="auto"/>
        <w:rPr>
          <w:sz w:val="20"/>
          <w:szCs w:val="20"/>
          <w:color w:val="auto"/>
        </w:rPr>
      </w:pPr>
      <w:r>
        <w:rPr>
          <w:rFonts w:ascii="Times New Roman" w:cs="Times New Roman" w:eastAsia="Times New Roman" w:hAnsi="Times New Roman"/>
          <w:sz w:val="18"/>
          <w:szCs w:val="18"/>
          <w:color w:val="auto"/>
        </w:rPr>
        <w:t>As long as you (i) sign, date and return this Agreement within twenty (21) days following the date of this Agreement, (ii) do not revoke this Agreement under Section 24(c) below and (iii) comply with this Agreement's requirements (including, without limitation, your continued compliance with your obligations under your Employee Non-Disclosure, Invention Assignment and Restrictive Covenant Agreement executed by you on April 19, 2021, a copy of which is appended hereto as Exhibit A (the “NDIA”) (clauses (i) – (iii), collectively, the “Payment Conditions”), then, in addition to those payments and benefits described in Section 2 above, and notwithstanding anything to the contrary in your Existing Employment Agreement or your 2023 Telavant Bonus Statement, you will be entitled to receive the following:</w:t>
      </w:r>
    </w:p>
    <w:p>
      <w:pPr>
        <w:spacing w:after="0" w:line="187" w:lineRule="exact"/>
        <w:rPr>
          <w:sz w:val="20"/>
          <w:szCs w:val="20"/>
          <w:color w:val="auto"/>
        </w:rPr>
      </w:pPr>
    </w:p>
    <w:p>
      <w:pPr>
        <w:ind w:left="1332" w:hanging="320"/>
        <w:spacing w:after="0" w:line="282" w:lineRule="auto"/>
        <w:tabs>
          <w:tab w:leader="none" w:pos="133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twelve (12) months of your base salary, payable in a cash lump sum within sixty (60) days following the Separation Date (less applicable tax withholdings and other deductions);</w:t>
      </w:r>
    </w:p>
    <w:p>
      <w:pPr>
        <w:spacing w:after="0" w:line="161" w:lineRule="exact"/>
        <w:rPr>
          <w:rFonts w:ascii="Times New Roman" w:cs="Times New Roman" w:eastAsia="Times New Roman" w:hAnsi="Times New Roman"/>
          <w:sz w:val="18"/>
          <w:szCs w:val="18"/>
          <w:color w:val="auto"/>
        </w:rPr>
      </w:pPr>
    </w:p>
    <w:p>
      <w:pPr>
        <w:ind w:left="1332" w:hanging="320"/>
        <w:spacing w:after="0" w:line="282" w:lineRule="auto"/>
        <w:tabs>
          <w:tab w:leader="none" w:pos="133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100% of your target annual bonus for the Company’s fiscal year ending March 31, 2025, payable in cash lump sum within sixty (60) days following the Separation Date (less applicable tax withholdings and other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02" w:name="page203"/>
    <w:bookmarkEnd w:id="202"/>
    <w:p>
      <w:pPr>
        <w:ind w:left="1332" w:hanging="320"/>
        <w:spacing w:after="0" w:line="282" w:lineRule="auto"/>
        <w:tabs>
          <w:tab w:leader="none" w:pos="13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Payment of the unpaid portion of your Telavant bonus awards ($632,039.00), which shall be paid to you in a cash lump sum within sixty (60) days following the Separation Date (less applicable tax withholdings and other deductions);</w:t>
      </w:r>
    </w:p>
    <w:p>
      <w:pPr>
        <w:spacing w:after="0" w:line="161" w:lineRule="exact"/>
        <w:rPr>
          <w:rFonts w:ascii="Times New Roman" w:cs="Times New Roman" w:eastAsia="Times New Roman" w:hAnsi="Times New Roman"/>
          <w:sz w:val="18"/>
          <w:szCs w:val="18"/>
          <w:color w:val="auto"/>
        </w:rPr>
      </w:pPr>
    </w:p>
    <w:p>
      <w:pPr>
        <w:jc w:val="both"/>
        <w:ind w:left="1332" w:hanging="320"/>
        <w:spacing w:after="0" w:line="253" w:lineRule="auto"/>
        <w:tabs>
          <w:tab w:leader="none" w:pos="13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currently enrolled and participating in the Company’s medical/dental/vision benefits and you timely and properly elect COBRA continuation coverage, the Company will pay for the cost of COBRA coverage under the Company’s Group Health Plans through the twelve (12) month period following the Separation Date or until the date you become eligible to be covered under a subsequent employer’s group health insurance plan, whichever occurs earlier. The cost of COBRA coverage to be paid by the Company includes (i) the portion of your premium that the Company subsidized while you were an active employee and (ii) a two (2) percent administrative fee. Thereafter, you will be able to continue as a member of the Company’s Group Health Plans at your expense in accordance with the terms of those plans, as well as COBRA, for the legally required benefit continuation period. You will be receiving a separate letter explaining your rights and responsibilities with regard to electing your COBRA benefits. You acknowledge and agree that you must provide the Company with written notice of your eligibility to be covered under a subsequent employer’s group health insurance plan no later than five (5) business days after you become eligible for such coverage.</w:t>
      </w:r>
    </w:p>
    <w:p>
      <w:pPr>
        <w:spacing w:after="0" w:line="194" w:lineRule="exact"/>
        <w:rPr>
          <w:sz w:val="20"/>
          <w:szCs w:val="20"/>
          <w:color w:val="auto"/>
        </w:rPr>
      </w:pPr>
    </w:p>
    <w:p>
      <w:pPr>
        <w:jc w:val="both"/>
        <w:ind w:left="652"/>
        <w:spacing w:after="0" w:line="254" w:lineRule="auto"/>
        <w:rPr>
          <w:sz w:val="20"/>
          <w:szCs w:val="20"/>
          <w:color w:val="auto"/>
        </w:rPr>
      </w:pPr>
      <w:r>
        <w:rPr>
          <w:rFonts w:ascii="Times New Roman" w:cs="Times New Roman" w:eastAsia="Times New Roman" w:hAnsi="Times New Roman"/>
          <w:sz w:val="18"/>
          <w:szCs w:val="18"/>
          <w:color w:val="auto"/>
        </w:rPr>
        <w:t>In addition to the foregoing, subject to your (i) satisfaction of the Payment Conditions, (ii) your execution of the Consulting Agreement and your continued compliance with your obligations under the Consulting Agreement and (iii) your reaffirmation of the release of claims included in Sections 7 and 8 below as of the Separation Date (which such release affirmation is set forth as Exhibit C to this Agreement), then you will continue to vest your outstanding equity awards under the applicable Equity Award Documents in accordance with their existing terms during the actual duration of the Consulting Period, subject to the terms and conditions of the Consulting Agreement. For the avoidance of doubt, if you do not timely sign, date and return this Agreement and otherwise comply with the Agreement’s requirements, or do not enter into the Consulting Agreement, all or any portion of your outstanding equity awards under the applicable Equity Award Documents that have not vested as of immediately prior to the Separation Date shall be forfeited effective as of the Separation Date in accordance with the terms of the Plan and the award agreements thereunder.</w:t>
      </w:r>
    </w:p>
    <w:p>
      <w:pPr>
        <w:spacing w:after="0" w:line="184" w:lineRule="exact"/>
        <w:rPr>
          <w:sz w:val="20"/>
          <w:szCs w:val="20"/>
          <w:color w:val="auto"/>
        </w:rPr>
      </w:pPr>
    </w:p>
    <w:p>
      <w:pPr>
        <w:ind w:left="612" w:hanging="612"/>
        <w:spacing w:after="0"/>
        <w:tabs>
          <w:tab w:leader="none" w:pos="612"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W-2s.</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Company will issue an IRS Form W-2 to you in connection with payments described in Section 3.</w:t>
      </w:r>
    </w:p>
    <w:p>
      <w:pPr>
        <w:spacing w:after="0" w:line="221" w:lineRule="exact"/>
        <w:rPr>
          <w:sz w:val="20"/>
          <w:szCs w:val="20"/>
          <w:color w:val="auto"/>
        </w:rPr>
      </w:pPr>
    </w:p>
    <w:p>
      <w:pPr>
        <w:ind w:left="612" w:hanging="612"/>
        <w:spacing w:after="0"/>
        <w:tabs>
          <w:tab w:leader="none" w:pos="612"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How To Enter Into This Agreement.</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 order to enter into this Agreement, you must take the following steps:</w:t>
      </w:r>
    </w:p>
    <w:p>
      <w:pPr>
        <w:spacing w:after="0" w:line="225" w:lineRule="exact"/>
        <w:rPr>
          <w:sz w:val="20"/>
          <w:szCs w:val="20"/>
          <w:color w:val="auto"/>
        </w:rPr>
      </w:pPr>
    </w:p>
    <w:p>
      <w:pPr>
        <w:ind w:left="992" w:hanging="317"/>
        <w:spacing w:after="0"/>
        <w:tabs>
          <w:tab w:leader="none" w:pos="99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sign and date the Agreement. Signing and dating the Agreement is how you “Execute” the Agreement.</w:t>
      </w:r>
    </w:p>
    <w:p>
      <w:pPr>
        <w:spacing w:after="0" w:line="225" w:lineRule="exact"/>
        <w:rPr>
          <w:rFonts w:ascii="Times New Roman" w:cs="Times New Roman" w:eastAsia="Times New Roman" w:hAnsi="Times New Roman"/>
          <w:sz w:val="18"/>
          <w:szCs w:val="18"/>
          <w:color w:val="auto"/>
        </w:rPr>
      </w:pPr>
    </w:p>
    <w:p>
      <w:pPr>
        <w:jc w:val="both"/>
        <w:ind w:left="992" w:hanging="317"/>
        <w:spacing w:after="0" w:line="266" w:lineRule="auto"/>
        <w:tabs>
          <w:tab w:leader="none" w:pos="99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return the Executed Agreement to the Company within 21 days following the date hereof, unless such period is extended in writing by the Company. If the Company does not receive the signed and dated Agreement by that date, the offer will be deemed withdrawn, this Agreement will not take effect and you will not receive the pay and benefits described in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42" w:right="339" w:bottom="1440" w:gutter="0" w:footer="0" w:header="0"/>
        </w:sectPr>
      </w:pPr>
    </w:p>
    <w:bookmarkStart w:id="203" w:name="page204"/>
    <w:bookmarkEnd w:id="203"/>
    <w:p>
      <w:pPr>
        <w:ind w:left="992" w:hanging="317"/>
        <w:spacing w:after="0"/>
        <w:tabs>
          <w:tab w:leader="none" w:pos="99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You must comply with the terms and conditions of this Agreement.</w:t>
      </w:r>
    </w:p>
    <w:p>
      <w:pPr>
        <w:spacing w:after="0" w:line="225" w:lineRule="exact"/>
        <w:rPr>
          <w:rFonts w:ascii="Times New Roman" w:cs="Times New Roman" w:eastAsia="Times New Roman" w:hAnsi="Times New Roman"/>
          <w:sz w:val="18"/>
          <w:szCs w:val="18"/>
          <w:color w:val="auto"/>
        </w:rPr>
      </w:pPr>
    </w:p>
    <w:p>
      <w:pPr>
        <w:ind w:left="992" w:hanging="317"/>
        <w:spacing w:after="0" w:line="282" w:lineRule="auto"/>
        <w:tabs>
          <w:tab w:leader="none" w:pos="99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sign and return a Form of Acknowledgment substantially similar to that attached hereto as Exhibit B, on but not before your last day of employment with the Company.</w:t>
      </w:r>
    </w:p>
    <w:p>
      <w:pPr>
        <w:spacing w:after="0" w:line="157"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Your Acknowledgments.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entering into this Agreement, you are agreeing:</w:t>
      </w:r>
    </w:p>
    <w:p>
      <w:pPr>
        <w:spacing w:after="0" w:line="225" w:lineRule="exact"/>
        <w:rPr>
          <w:rFonts w:ascii="Times New Roman" w:cs="Times New Roman" w:eastAsia="Times New Roman" w:hAnsi="Times New Roman"/>
          <w:sz w:val="18"/>
          <w:szCs w:val="18"/>
          <w:b w:val="1"/>
          <w:bCs w:val="1"/>
          <w:color w:val="auto"/>
        </w:rPr>
      </w:pPr>
    </w:p>
    <w:p>
      <w:pPr>
        <w:jc w:val="both"/>
        <w:ind w:left="1332" w:hanging="320"/>
        <w:spacing w:after="0" w:line="261" w:lineRule="auto"/>
        <w:tabs>
          <w:tab w:leader="none" w:pos="133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Separation Date, you will (a) resign (and will be deemed to have automatically resigned without any further action by you) from all positions with the Company, its subsidiaries and its affiliates, including as a director or officer of any such entity or as a fiduciary of any benefit plan of the Company or any of its subsidiaries or affiliates and (b) promptly execute such documents as the Company may request to separately document, record or verify the foregoing.</w:t>
      </w:r>
    </w:p>
    <w:p>
      <w:pPr>
        <w:spacing w:after="0" w:line="179" w:lineRule="exact"/>
        <w:rPr>
          <w:rFonts w:ascii="Times New Roman" w:cs="Times New Roman" w:eastAsia="Times New Roman" w:hAnsi="Times New Roman"/>
          <w:sz w:val="18"/>
          <w:szCs w:val="18"/>
          <w:color w:val="auto"/>
        </w:rPr>
      </w:pPr>
    </w:p>
    <w:p>
      <w:pPr>
        <w:ind w:left="1332" w:hanging="320"/>
        <w:spacing w:after="0" w:line="282" w:lineRule="auto"/>
        <w:tabs>
          <w:tab w:leader="none" w:pos="133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 and benefits in Section 3 are more than any money or benefits that you are otherwise promised or entitled to receive under any policy, plan, handbook or practice of the Company or any prior offer letter, agreement or understanding between the Company and you.</w:t>
      </w:r>
    </w:p>
    <w:p>
      <w:pPr>
        <w:spacing w:after="0" w:line="161" w:lineRule="exact"/>
        <w:rPr>
          <w:rFonts w:ascii="Times New Roman" w:cs="Times New Roman" w:eastAsia="Times New Roman" w:hAnsi="Times New Roman"/>
          <w:sz w:val="18"/>
          <w:szCs w:val="18"/>
          <w:color w:val="auto"/>
        </w:rPr>
      </w:pPr>
    </w:p>
    <w:p>
      <w:pPr>
        <w:jc w:val="both"/>
        <w:ind w:left="1332" w:hanging="320"/>
        <w:spacing w:after="0" w:line="266" w:lineRule="auto"/>
        <w:tabs>
          <w:tab w:leader="none" w:pos="133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your employment ends, except as provided for in this Agreement (and without impacting any accrued vested benefits under any applicable tax-qualified retirement or other benefit plans of the Company), you will no longer participate or accrue service credit of any kind in any employee benefits plan of the Company or any of its affiliates.</w:t>
      </w:r>
    </w:p>
    <w:p>
      <w:pPr>
        <w:spacing w:after="0" w:line="175" w:lineRule="exact"/>
        <w:rPr>
          <w:rFonts w:ascii="Times New Roman" w:cs="Times New Roman" w:eastAsia="Times New Roman" w:hAnsi="Times New Roman"/>
          <w:sz w:val="18"/>
          <w:szCs w:val="18"/>
          <w:color w:val="auto"/>
        </w:rPr>
      </w:pPr>
    </w:p>
    <w:p>
      <w:pPr>
        <w:jc w:val="both"/>
        <w:ind w:left="1332" w:hanging="320"/>
        <w:spacing w:after="0" w:line="266" w:lineRule="auto"/>
        <w:tabs>
          <w:tab w:leader="none" w:pos="133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obligations under your signed Existing Employment Agreement and your NDIA, including your confidentiality, invention assignment, non-competition, and non-solicitation obligations, shall remain in full force and effect and you acknowledge and re-affirm those obligations.</w:t>
      </w:r>
    </w:p>
    <w:p>
      <w:pPr>
        <w:spacing w:after="0" w:line="175" w:lineRule="exact"/>
        <w:rPr>
          <w:rFonts w:ascii="Times New Roman" w:cs="Times New Roman" w:eastAsia="Times New Roman" w:hAnsi="Times New Roman"/>
          <w:sz w:val="18"/>
          <w:szCs w:val="18"/>
          <w:color w:val="auto"/>
        </w:rPr>
      </w:pPr>
    </w:p>
    <w:p>
      <w:pPr>
        <w:ind w:left="1332" w:hanging="320"/>
        <w:spacing w:after="0" w:line="282" w:lineRule="auto"/>
        <w:tabs>
          <w:tab w:leader="none" w:pos="133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Company satisfies its obligations under this Agreement, it will not owe you anything except for the items set forth in Section 2, which you will receive regardless of whether you Execute this Agreement.</w:t>
      </w:r>
    </w:p>
    <w:p>
      <w:pPr>
        <w:spacing w:after="0" w:line="161" w:lineRule="exact"/>
        <w:rPr>
          <w:rFonts w:ascii="Times New Roman" w:cs="Times New Roman" w:eastAsia="Times New Roman" w:hAnsi="Times New Roman"/>
          <w:sz w:val="18"/>
          <w:szCs w:val="18"/>
          <w:color w:val="auto"/>
        </w:rPr>
      </w:pPr>
    </w:p>
    <w:p>
      <w:pPr>
        <w:ind w:left="1332" w:hanging="320"/>
        <w:spacing w:after="0" w:line="282" w:lineRule="auto"/>
        <w:tabs>
          <w:tab w:leader="none" w:pos="133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equity awards previously granted to you under Equity Award Documents that are outstanding as of the Separation Date shall be subject to their existing terms and conditions, unless otherwise expressly provided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42" w:right="339" w:bottom="1440" w:gutter="0" w:footer="0" w:header="0"/>
        </w:sectPr>
      </w:pPr>
    </w:p>
    <w:bookmarkStart w:id="204" w:name="page205"/>
    <w:bookmarkEnd w:id="204"/>
    <w:p>
      <w:pPr>
        <w:jc w:val="both"/>
        <w:ind w:left="1332" w:hanging="320"/>
        <w:spacing w:after="0" w:line="258" w:lineRule="auto"/>
        <w:tabs>
          <w:tab w:leader="none" w:pos="133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By executing this Agreement, you hereby agree and acknowledge that (i) unless as expressly provided in this Agreement, you shall have no further rights or entitlements to any amounts or benefits specified in your Existing Employment Agreement or any other agreement or arrangement with the Company or RSL and (ii) all of your obligations under your Existing Employment Agreement that are intended to survive following the Separation Date shall continue in full force in accordance with their terms notwithstanding your separation from employment on the Separation Date.</w:t>
      </w:r>
    </w:p>
    <w:p>
      <w:pPr>
        <w:spacing w:after="0" w:line="183" w:lineRule="exact"/>
        <w:rPr>
          <w:rFonts w:ascii="Times New Roman" w:cs="Times New Roman" w:eastAsia="Times New Roman" w:hAnsi="Times New Roman"/>
          <w:sz w:val="18"/>
          <w:szCs w:val="18"/>
          <w:color w:val="auto"/>
        </w:rPr>
      </w:pPr>
    </w:p>
    <w:p>
      <w:pPr>
        <w:ind w:left="1332" w:hanging="320"/>
        <w:spacing w:after="0" w:line="282" w:lineRule="auto"/>
        <w:tabs>
          <w:tab w:leader="none" w:pos="133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your employment with the Company, you did not violate any federal, state, or local law, statute, or regulation while acting within the scope of your employment with the Company (collectively, “Violations”).</w:t>
      </w:r>
    </w:p>
    <w:p>
      <w:pPr>
        <w:spacing w:after="0" w:line="161" w:lineRule="exact"/>
        <w:rPr>
          <w:rFonts w:ascii="Times New Roman" w:cs="Times New Roman" w:eastAsia="Times New Roman" w:hAnsi="Times New Roman"/>
          <w:sz w:val="18"/>
          <w:szCs w:val="18"/>
          <w:color w:val="auto"/>
        </w:rPr>
      </w:pPr>
    </w:p>
    <w:p>
      <w:pPr>
        <w:jc w:val="both"/>
        <w:ind w:left="1332" w:right="20" w:hanging="320"/>
        <w:spacing w:after="0" w:line="261" w:lineRule="auto"/>
        <w:tabs>
          <w:tab w:leader="none" w:pos="133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Protected Rights (as described in Section 11 below), you are not aware of any Violation(s) committed by a Company employee, vendor, or customer acting within the scope of his/her/its employment or business with the Company that have not been previously reported to the Company; or (ii) to the extent you are aware of any such unreported Violation(s), you will, prior to your execution of this Agreement, immediately report such Violation(s) to the Company.</w:t>
      </w:r>
    </w:p>
    <w:p>
      <w:pPr>
        <w:spacing w:after="0" w:line="179" w:lineRule="exact"/>
        <w:rPr>
          <w:rFonts w:ascii="Times New Roman" w:cs="Times New Roman" w:eastAsia="Times New Roman" w:hAnsi="Times New Roman"/>
          <w:sz w:val="18"/>
          <w:szCs w:val="18"/>
          <w:color w:val="auto"/>
        </w:rPr>
      </w:pPr>
    </w:p>
    <w:p>
      <w:pPr>
        <w:ind w:left="1332" w:right="200" w:hanging="320"/>
        <w:spacing w:after="0" w:line="266" w:lineRule="auto"/>
        <w:tabs>
          <w:tab w:leader="none" w:pos="133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Protected Rights (as described in Section 11 below), during your employment with the Company, you did not raise any claims related to discrimination or harassment and none of the payments set forth in this Agreement are related to discrimination or harassment.</w:t>
      </w:r>
    </w:p>
    <w:p>
      <w:pPr>
        <w:spacing w:after="0" w:line="171"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YOU ARE RELEASING AND WAIVING CLAIMS.</w:t>
      </w:r>
    </w:p>
    <w:p>
      <w:pPr>
        <w:spacing w:after="0" w:line="227" w:lineRule="exact"/>
        <w:rPr>
          <w:sz w:val="20"/>
          <w:szCs w:val="20"/>
          <w:color w:val="auto"/>
        </w:rPr>
      </w:pPr>
    </w:p>
    <w:p>
      <w:pPr>
        <w:jc w:val="both"/>
        <w:ind w:left="692" w:firstLine="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While it is very important that you read this entire Agreement carefully, it is </w:t>
      </w:r>
      <w:r>
        <w:rPr>
          <w:rFonts w:ascii="Times New Roman" w:cs="Times New Roman" w:eastAsia="Times New Roman" w:hAnsi="Times New Roman"/>
          <w:sz w:val="18"/>
          <w:szCs w:val="18"/>
          <w:i w:val="1"/>
          <w:iCs w:val="1"/>
          <w:u w:val="single" w:color="auto"/>
          <w:color w:val="auto"/>
        </w:rPr>
        <w:t>especially</w:t>
      </w:r>
      <w:r>
        <w:rPr>
          <w:rFonts w:ascii="Times New Roman" w:cs="Times New Roman" w:eastAsia="Times New Roman" w:hAnsi="Times New Roman"/>
          <w:sz w:val="18"/>
          <w:szCs w:val="18"/>
          <w:i w:val="1"/>
          <w:iCs w:val="1"/>
          <w:color w:val="auto"/>
        </w:rPr>
        <w:t xml:space="preserve"> important that you read this Section carefully, because it lists important rights you are giving up if you decide to enter into this Agreement.</w:t>
      </w:r>
    </w:p>
    <w:p>
      <w:pPr>
        <w:spacing w:after="0" w:line="156" w:lineRule="exact"/>
        <w:rPr>
          <w:sz w:val="20"/>
          <w:szCs w:val="20"/>
          <w:color w:val="auto"/>
        </w:rPr>
      </w:pPr>
    </w:p>
    <w:p>
      <w:pPr>
        <w:jc w:val="both"/>
        <w:ind w:left="692"/>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What Are You Giving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the Company’s position that you have no legitimate basis for bringing a legal action against it. You may agree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otherwise or simply not know. However, if you Execute this Agreement, you will, except for certain exceptions described in Section 11 (including your Protected Rights), give up your ability to bring a legal action against the Company and others, including, but not limited to its affiliates. More specifically, by Executing this Agreement, you will give up any right you may have to bring various types of “Claims,” which means possible lawsuits, claims, demands and causes of action of any kind (based on any legal or equitable theory, whether contractual, common-law, statutory, federal, state, local or otherwise), whether known or unknown, by reason of any act or omission up to and including the date on which you Execute this Agreement. You are also giving up potential Claims arising under any contract or implied contract, including but not limited to your Existing Employment Agreement or any handbook, tort law or public policy having any bearing on your employment or the termination of your employment, such as Claims for wrongful discharge, discrimination, hostile work environment, breach of contract, tortious interference, harassment, bullying, infliction of emotional distress, defamation, back pay, vacation pay, sick pay, wage, commission or bonus payment, equity grants, stock options, restricted stock option payments, payments under any bonus or incentive plan, attorneys’ fees, costs and future wage loss. This Agreement includes a release of your right to assert a Claim of discrimination on the basis of age, sex, race, religion, national origin, marital status, sexual orientation, gender identity, gender expression, ancestry, parental status, handicap, disability, military status, veteran status, harassment, retaliation, attainment of benefit plan rights, or any other characteristic protected under applicable federal, state or local laws. However, as described in Section 11, this Agreement does not and cannot prevent you from asserting your right to bring a claim against the Company and Releasees, as defined below, before the Equal Employment Opportunity Commission or other agencies enforcing non-discrimination laws or the National Labor Relations Board, or otherwise interfere with your Protected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42" w:right="339" w:bottom="1440" w:gutter="0" w:footer="0" w:header="0"/>
        </w:sectPr>
      </w:pPr>
    </w:p>
    <w:bookmarkStart w:id="205" w:name="page206"/>
    <w:bookmarkEnd w:id="205"/>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Whose Possible Claims Are You Giving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waiving Claims that you may otherwise be able to bring. You are not only agreeing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personally bring these Claims in the future, but that no one else will bring them in your place, such as your heirs and executors, and your dependents, legal representatives and assigns. Together, you and these groups of individuals are referred to in the Agreement as “Releasors.”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Who Are You Releasing From Possible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not only waiving Claims that you and the Releasors may otherwise be able to bring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Company, but also Claims that could be brought against “Releasees,” which means the Company and all of their past, present and future:</w:t>
      </w:r>
    </w:p>
    <w:p>
      <w:pPr>
        <w:spacing w:after="0" w:line="175" w:lineRule="exact"/>
        <w:rPr>
          <w:sz w:val="20"/>
          <w:szCs w:val="20"/>
          <w:color w:val="auto"/>
        </w:rPr>
      </w:pPr>
    </w:p>
    <w:p>
      <w:pPr>
        <w:ind w:left="760" w:hanging="332"/>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w:t>
      </w:r>
    </w:p>
    <w:p>
      <w:pPr>
        <w:spacing w:after="0" w:line="2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directors, employees, attorneys and agents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divisions and affiliated and related entities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and pension plans or funds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trustees, fiduciaries and administrators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Possible Claims You May Not Know.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possible that you may have a Claim that you do not know exists. By entering into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your Protected Rights (as described in Section 11 below), you are giving up all Claims that you ever had including Claims arising out of your employment or the termination of your employment. Even if Claims exist that you do not know about, you are giving them up.</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What Types of Claims Are You Giving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exchange for the pay and benefits in Section 3, you (on behalf of yourself and the Releasors)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forever release and discharge the Company and all of the Releasees from any and all Claims including Claims arising under the following laws (including amendments to these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Laws, such as:</w:t>
      </w:r>
    </w:p>
    <w:p>
      <w:pPr>
        <w:spacing w:after="0" w:line="229" w:lineRule="exact"/>
        <w:rPr>
          <w:sz w:val="20"/>
          <w:szCs w:val="20"/>
          <w:color w:val="auto"/>
        </w:rPr>
      </w:pPr>
    </w:p>
    <w:p>
      <w:pPr>
        <w:ind w:left="760" w:hanging="332"/>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Discrimination in Employment Act;</w:t>
      </w:r>
    </w:p>
    <w:p>
      <w:pPr>
        <w:spacing w:after="0" w:line="2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Older Workers Benefit Protection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VII of the Civil Rights Act of 1964;</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1981 through 1988 of Title 42 of the United States Code;</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Rights Act of 1991;</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Pay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Rehabilitation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245745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38" w:right="339" w:bottom="1440" w:gutter="0" w:footer="0" w:header="0"/>
        </w:sectPr>
      </w:pPr>
    </w:p>
    <w:bookmarkStart w:id="206" w:name="page207"/>
    <w:bookmarkEnd w:id="206"/>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The Employee Retirement Income Security Act;</w:t>
      </w:r>
    </w:p>
    <w:p>
      <w:pPr>
        <w:spacing w:after="0" w:line="2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Worker Adjustment and Retraining Notification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Labor Relations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Occupational Safety and Health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Uniformed Services Employment and Reemployment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Polygraph Protection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Immigration Reform Control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Family and Medical Leave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Genetic Information Nondiscrimination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Omnibus Budget Reconciliation Act;</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Lilly Ledbetter Fair Pay Act; and</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federal, statute, law, amendment, directive, order, and/or regulation enacted in response to the COVID-19 pandemic.</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State and Municipal Laws, such as:</w:t>
      </w:r>
    </w:p>
    <w:p>
      <w:pPr>
        <w:spacing w:after="0" w:line="229" w:lineRule="exact"/>
        <w:rPr>
          <w:sz w:val="20"/>
          <w:szCs w:val="20"/>
          <w:color w:val="auto"/>
        </w:rPr>
      </w:pPr>
    </w:p>
    <w:p>
      <w:pPr>
        <w:ind w:left="760" w:hanging="332"/>
        <w:spacing w:after="0" w:line="282" w:lineRule="auto"/>
        <w:tabs>
          <w:tab w:leader="none" w:pos="7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 local, and/or municipal statute, law, amendment, directive, order, and/or regulation enacted in response to the COVID-19 pandemic; and</w:t>
      </w:r>
    </w:p>
    <w:p>
      <w:pPr>
        <w:spacing w:after="0" w:line="148" w:lineRule="exact"/>
        <w:rPr>
          <w:rFonts w:ascii="Times New Roman" w:cs="Times New Roman" w:eastAsia="Times New Roman" w:hAnsi="Times New Roman"/>
          <w:sz w:val="18"/>
          <w:szCs w:val="18"/>
          <w:color w:val="auto"/>
        </w:rPr>
      </w:pPr>
    </w:p>
    <w:p>
      <w:pPr>
        <w:jc w:val="both"/>
        <w:ind w:left="760" w:hanging="332"/>
        <w:spacing w:after="0" w:line="253" w:lineRule="auto"/>
        <w:tabs>
          <w:tab w:leader="none" w:pos="7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State Human Rights Law; the New York State Executive Law; the New York State Civil Rights Law; the New York Nondiscrimination for Legal Actions Law; the New York State Whistleblower Law; the New York State Legal Recreational Activities Law; the retaliation provisions of the New York State Workers' Compensation Law; the New York Labor Law; the New York State Worker Adjustment and Retraining Notification Act; the New York State False Claims Act; New York State Wage and Hour Laws; the New York Wage Theft Prevention Act; the New York State Equal Pay Law; the New York State Rights of Persons with Disabilities Law; the New York State Nondiscrimination Against Genetic Disorders Law; the New York State Smokers' Rights Law; the New York AIDS Testing Confidentiality Act; the New York Genetic Testing Confidentiality Law; the New York Discrimination by Employment Agencies Law; the New York Bone Marrow Leave Law; the New York Adoptive Parents Child Care Leave Law; Leave Law; the New York Off-Duty Conduct Lawful Activities Discrimination Law; the New York Family Leave Law; the New York State Corrections Law; the New York State Paid Sick Leave Law; the New York City Human Rights Law; the New York City Administrative Code; the New York City Paid Sick Leave Law; and the New York City Charter; and any federal, state, local, and/or municipal statute, law, amendment, directive, order, and/or regulation enacted in response to the COVID- 19 pandemic including, without limitation, the New York State Paid COVID-19 Leave Law and COVID-19 Vaccination Leave Law</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You Are Giving Up Potential Remedies and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waiving any relief that may be available to you (such as money damages,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benefits, attorneys’ fees, and equitable relief such as reinstatement) under any of the waived Claims, except as provided in Section 11 (including your Protected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225425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42" w:right="339" w:bottom="1440" w:gutter="0" w:footer="0" w:header="0"/>
        </w:sectPr>
      </w:pPr>
    </w:p>
    <w:bookmarkStart w:id="207" w:name="page208"/>
    <w:bookmarkEnd w:id="207"/>
    <w:p>
      <w:pPr>
        <w:jc w:val="both"/>
        <w:ind w:left="652"/>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This Release Is Extremely Broad.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release is meant to be as broad as legally permissible and applies to both employment-related and non-employment-related Claims up to the time that you execute this Agreement. This release includes a waiver of jury trials and non-jury trials. This Agreement does not release or waive Claims or rights that, as a matter of law, cannot be waived, which include, but are not necessarily limited to, the exceptions to your release of claims or covenant not to sue referenced in Section 11 (including your Protected Rights).</w:t>
      </w:r>
    </w:p>
    <w:p>
      <w:pPr>
        <w:spacing w:after="0" w:line="176" w:lineRule="exact"/>
        <w:rPr>
          <w:sz w:val="20"/>
          <w:szCs w:val="20"/>
          <w:color w:val="auto"/>
        </w:rPr>
      </w:pPr>
    </w:p>
    <w:p>
      <w:pPr>
        <w:ind w:left="652" w:hanging="652"/>
        <w:spacing w:after="0"/>
        <w:tabs>
          <w:tab w:leader="none" w:pos="65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YOU ARE AGREEING NOT TO SUE.</w:t>
      </w:r>
    </w:p>
    <w:p>
      <w:pPr>
        <w:spacing w:after="0" w:line="229" w:lineRule="exact"/>
        <w:rPr>
          <w:sz w:val="20"/>
          <w:szCs w:val="20"/>
          <w:color w:val="auto"/>
        </w:rPr>
      </w:pPr>
    </w:p>
    <w:p>
      <w:pPr>
        <w:jc w:val="both"/>
        <w:ind w:left="692" w:hanging="3"/>
        <w:spacing w:after="0" w:line="255" w:lineRule="auto"/>
        <w:rPr>
          <w:sz w:val="20"/>
          <w:szCs w:val="20"/>
          <w:color w:val="auto"/>
        </w:rPr>
      </w:pPr>
      <w:r>
        <w:rPr>
          <w:rFonts w:ascii="Times New Roman" w:cs="Times New Roman" w:eastAsia="Times New Roman" w:hAnsi="Times New Roman"/>
          <w:sz w:val="18"/>
          <w:szCs w:val="18"/>
          <w:color w:val="auto"/>
        </w:rPr>
        <w:t>Except as provided in Section 11 (including with respect to your Protected Rights), you agree not to sue or otherwise bring any legal action against the Company or any of the Releasees ever for any Claim released in Section 7 arising before you Execute this Agreement. You are not only waiving any right you may have to proceed individually, but also as a member of a class or collective action. You waive any and all rights you may have had to receive notice of any class or collective action against Releases for claims arising before you Execute this Agreement. In the event that you receive notice of a class or collective action against Releasees for claims arising before you Execute this Agreement, you must “opt out” of and may not “opt in” to such action. You are also giving up any right you may have to recover any relief, including money damages, from the Releasees as a member of a class or collective action.</w:t>
      </w:r>
    </w:p>
    <w:p>
      <w:pPr>
        <w:spacing w:after="0" w:line="185" w:lineRule="exact"/>
        <w:rPr>
          <w:sz w:val="20"/>
          <w:szCs w:val="20"/>
          <w:color w:val="auto"/>
        </w:rPr>
      </w:pPr>
    </w:p>
    <w:p>
      <w:pPr>
        <w:ind w:left="652" w:hanging="652"/>
        <w:spacing w:after="0"/>
        <w:tabs>
          <w:tab w:leader="none" w:pos="652"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Under The FMLA (leave law) And FLSA (wage and hour law).</w:t>
      </w:r>
    </w:p>
    <w:p>
      <w:pPr>
        <w:spacing w:after="0" w:line="229" w:lineRule="exact"/>
        <w:rPr>
          <w:sz w:val="20"/>
          <w:szCs w:val="20"/>
          <w:color w:val="auto"/>
        </w:rPr>
      </w:pPr>
    </w:p>
    <w:p>
      <w:pPr>
        <w:jc w:val="both"/>
        <w:ind w:left="692" w:firstLine="6"/>
        <w:spacing w:after="0" w:line="256" w:lineRule="auto"/>
        <w:rPr>
          <w:sz w:val="20"/>
          <w:szCs w:val="20"/>
          <w:color w:val="auto"/>
        </w:rPr>
      </w:pPr>
      <w:r>
        <w:rPr>
          <w:rFonts w:ascii="Times New Roman" w:cs="Times New Roman" w:eastAsia="Times New Roman" w:hAnsi="Times New Roman"/>
          <w:sz w:val="18"/>
          <w:szCs w:val="18"/>
          <w:color w:val="auto"/>
        </w:rPr>
        <w:t>Subject to your Protected Rights (as described in Section 11 below), you represent that you are not aware of any facts that might justify a Claim by you against the Company for any violation of the Family and Medical Leave Act (“FMLA”). You also represent that you have received all wages for all work you performed and any commissions, bonuses, stock options, restricted stock option payments, overtime compensation and FMLA leave to which you may have been entitled, and that, subject to your Protected Rights (as described in Section 11 below), you are not aware of any facts constituting a violation by the Company or Releasees of any violation of the Fair Labor Standards Act or any other federal, state or municipal laws.</w:t>
      </w:r>
    </w:p>
    <w:p>
      <w:pPr>
        <w:spacing w:after="0" w:line="183" w:lineRule="exact"/>
        <w:rPr>
          <w:sz w:val="20"/>
          <w:szCs w:val="20"/>
          <w:color w:val="auto"/>
        </w:rPr>
      </w:pPr>
    </w:p>
    <w:p>
      <w:pPr>
        <w:ind w:left="652" w:hanging="652"/>
        <w:spacing w:after="0"/>
        <w:tabs>
          <w:tab w:leader="none" w:pos="652"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You Have Not Already Filed An Action.</w:t>
      </w:r>
    </w:p>
    <w:p>
      <w:pPr>
        <w:spacing w:after="0" w:line="229" w:lineRule="exact"/>
        <w:rPr>
          <w:sz w:val="20"/>
          <w:szCs w:val="20"/>
          <w:color w:val="auto"/>
        </w:rPr>
      </w:pPr>
    </w:p>
    <w:p>
      <w:pPr>
        <w:jc w:val="both"/>
        <w:ind w:left="692" w:firstLine="4"/>
        <w:spacing w:after="0" w:line="266" w:lineRule="auto"/>
        <w:rPr>
          <w:sz w:val="20"/>
          <w:szCs w:val="20"/>
          <w:color w:val="auto"/>
        </w:rPr>
      </w:pPr>
      <w:r>
        <w:rPr>
          <w:rFonts w:ascii="Times New Roman" w:cs="Times New Roman" w:eastAsia="Times New Roman" w:hAnsi="Times New Roman"/>
          <w:sz w:val="18"/>
          <w:szCs w:val="18"/>
          <w:color w:val="auto"/>
        </w:rPr>
        <w:t>Subject to your Protected Rights (as described in Section 11 below), you represent that you have not sued or otherwise filed any actions (or participated in any actions) of any kind against the Company or Releasees in any court or before any administrative or investigative body or agency. The Company is relying on this assurance in entering into this Agreement.</w:t>
      </w:r>
    </w:p>
    <w:p>
      <w:pPr>
        <w:spacing w:after="0" w:line="172" w:lineRule="exact"/>
        <w:rPr>
          <w:sz w:val="20"/>
          <w:szCs w:val="20"/>
          <w:color w:val="auto"/>
        </w:rPr>
      </w:pPr>
    </w:p>
    <w:p>
      <w:pPr>
        <w:ind w:left="712" w:right="5540" w:hanging="712"/>
        <w:spacing w:after="0" w:line="503" w:lineRule="auto"/>
        <w:tabs>
          <w:tab w:leader="none" w:pos="64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Exceptions To Your Release Of Claims And Covenant Not To Sue. </w:t>
      </w:r>
      <w:r>
        <w:rPr>
          <w:rFonts w:ascii="Times New Roman" w:cs="Times New Roman" w:eastAsia="Times New Roman" w:hAnsi="Times New Roman"/>
          <w:sz w:val="18"/>
          <w:szCs w:val="18"/>
          <w:b w:val="1"/>
          <w:bCs w:val="1"/>
          <w:i w:val="1"/>
          <w:iCs w:val="1"/>
          <w:color w:val="auto"/>
        </w:rPr>
        <w:t>Excluded Claims</w:t>
      </w:r>
    </w:p>
    <w:p>
      <w:pPr>
        <w:ind w:left="712"/>
        <w:spacing w:after="0"/>
        <w:rPr>
          <w:sz w:val="20"/>
          <w:szCs w:val="20"/>
          <w:color w:val="auto"/>
        </w:rPr>
      </w:pPr>
      <w:r>
        <w:rPr>
          <w:rFonts w:ascii="Times New Roman" w:cs="Times New Roman" w:eastAsia="Times New Roman" w:hAnsi="Times New Roman"/>
          <w:sz w:val="18"/>
          <w:szCs w:val="18"/>
          <w:color w:val="auto"/>
        </w:rPr>
        <w:t>In Sections 7 and 8, you are releasing Claims and agreeing not to sue, but there are exceptions to those commitments. Specifically, nothing in this</w:t>
      </w:r>
    </w:p>
    <w:p>
      <w:pPr>
        <w:spacing w:after="0" w:line="27"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18"/>
          <w:szCs w:val="18"/>
          <w:color w:val="auto"/>
        </w:rPr>
        <w:t>Agreement prevents you from bringing a legal action or otherwise taking steps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38" w:right="339" w:bottom="1440" w:gutter="0" w:footer="0" w:header="0"/>
        </w:sectPr>
      </w:pPr>
    </w:p>
    <w:bookmarkStart w:id="208" w:name="page209"/>
    <w:bookmarkEnd w:id="208"/>
    <w:p>
      <w:pPr>
        <w:ind w:left="324" w:hanging="324"/>
        <w:spacing w:after="0"/>
        <w:tabs>
          <w:tab w:leader="none" w:pos="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Enforce the terms of this Agreement;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the validity of this Agreement;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disclosure of information required by law; or</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to, testify before or otherwise assist in any investigation or proceeding brought by, any regulatory or law enforcement agency or legislative body, any self-regulatory organization, or the Company; or</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truthful testimony in any forum;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fully and provide information as requested in any investigation by a governmental agency or commission; or</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or</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lawsuit or other action to pursue Claims that arise after you Execute this Agreement.</w:t>
      </w:r>
    </w:p>
    <w:p>
      <w:pPr>
        <w:spacing w:after="0" w:line="221"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8"/>
          <w:szCs w:val="18"/>
          <w:b w:val="1"/>
          <w:bCs w:val="1"/>
          <w:i w:val="1"/>
          <w:iCs w:val="1"/>
          <w:color w:val="auto"/>
        </w:rPr>
        <w:t>Your Protected Rights</w:t>
      </w:r>
    </w:p>
    <w:p>
      <w:pPr>
        <w:spacing w:after="0" w:line="229" w:lineRule="exact"/>
        <w:rPr>
          <w:sz w:val="20"/>
          <w:szCs w:val="20"/>
          <w:color w:val="auto"/>
        </w:rPr>
      </w:pPr>
    </w:p>
    <w:p>
      <w:pPr>
        <w:jc w:val="both"/>
        <w:ind w:left="44" w:firstLine="4"/>
        <w:spacing w:after="0" w:line="255" w:lineRule="auto"/>
        <w:rPr>
          <w:sz w:val="20"/>
          <w:szCs w:val="20"/>
          <w:color w:val="auto"/>
        </w:rPr>
      </w:pPr>
      <w:r>
        <w:rPr>
          <w:rFonts w:ascii="Times New Roman" w:cs="Times New Roman" w:eastAsia="Times New Roman" w:hAnsi="Times New Roman"/>
          <w:sz w:val="18"/>
          <w:szCs w:val="18"/>
          <w:color w:val="auto"/>
        </w:rPr>
        <w:t>Nothing in this Agreement or otherwise limits your ability to communicate directly with and provide information, including documents, not otherwise protected from disclosure by any applicable law or privilege to the Securities Exchange Commission (“SEC”), the Department of Justice (“DOJ”), or any other Government Agency regarding possible legal violations, without disclosure to the Company. The Company may not retaliate against you for any of these activities, and nothing in this Agreement or otherwise requires you to waive any monetary award or other relief that you might become entitled to from the SEC, DOJ or any other Government Agency. Nothing in this Agreement or otherwise requires you to disclose any communications Employee may have had or information you may have provided to the SEC, DOJ, or any other Government Agencies regarding possible legal violations.</w:t>
      </w:r>
    </w:p>
    <w:p>
      <w:pPr>
        <w:spacing w:after="0" w:line="189" w:lineRule="exact"/>
        <w:rPr>
          <w:sz w:val="20"/>
          <w:szCs w:val="20"/>
          <w:color w:val="auto"/>
        </w:rPr>
      </w:pPr>
    </w:p>
    <w:p>
      <w:pPr>
        <w:jc w:val="both"/>
        <w:ind w:left="44" w:firstLine="4"/>
        <w:spacing w:after="0" w:line="261" w:lineRule="auto"/>
        <w:rPr>
          <w:sz w:val="20"/>
          <w:szCs w:val="20"/>
          <w:color w:val="auto"/>
        </w:rPr>
      </w:pPr>
      <w:r>
        <w:rPr>
          <w:rFonts w:ascii="Times New Roman" w:cs="Times New Roman" w:eastAsia="Times New Roman" w:hAnsi="Times New Roman"/>
          <w:sz w:val="18"/>
          <w:szCs w:val="18"/>
          <w:color w:val="auto"/>
        </w:rPr>
        <w:t>In addition, pursuant to the Defend Trade Secrets Act of 2016, you acknowledge and understand that you will not be held criminally or civilly liable under any federal or state trade secret law for the disclosure of the trade secrets of the Company or any of its affiliates that is made by you</w:t>
      </w:r>
    </w:p>
    <w:p>
      <w:pPr>
        <w:jc w:val="both"/>
        <w:ind w:left="44" w:hanging="1"/>
        <w:spacing w:after="0" w:line="255" w:lineRule="auto"/>
        <w:tabs>
          <w:tab w:leader="none" w:pos="28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186"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8"/>
          <w:szCs w:val="18"/>
          <w:color w:val="auto"/>
        </w:rPr>
        <w:t>Your rights described in the above two paragraphs are collectively referred to as your “</w:t>
      </w: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257175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ind w:left="2244"/>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42" w:right="339" w:bottom="1440" w:gutter="0" w:footer="0" w:header="0"/>
        </w:sectPr>
      </w:pPr>
    </w:p>
    <w:bookmarkStart w:id="209" w:name="page210"/>
    <w:bookmarkEnd w:id="209"/>
    <w:p>
      <w:pPr>
        <w:ind w:left="632" w:hanging="632"/>
        <w:spacing w:after="0"/>
        <w:tabs>
          <w:tab w:leader="none" w:pos="632"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Your Continuing Obligations.</w:t>
      </w:r>
    </w:p>
    <w:p>
      <w:pPr>
        <w:spacing w:after="0" w:line="229" w:lineRule="exact"/>
        <w:rPr>
          <w:sz w:val="20"/>
          <w:szCs w:val="20"/>
          <w:color w:val="auto"/>
        </w:rPr>
      </w:pPr>
    </w:p>
    <w:p>
      <w:pPr>
        <w:jc w:val="both"/>
        <w:ind w:left="692" w:firstLine="4"/>
        <w:spacing w:after="0" w:line="256" w:lineRule="auto"/>
        <w:rPr>
          <w:sz w:val="20"/>
          <w:szCs w:val="20"/>
          <w:color w:val="auto"/>
        </w:rPr>
      </w:pPr>
      <w:r>
        <w:rPr>
          <w:rFonts w:ascii="Times New Roman" w:cs="Times New Roman" w:eastAsia="Times New Roman" w:hAnsi="Times New Roman"/>
          <w:sz w:val="18"/>
          <w:szCs w:val="18"/>
          <w:color w:val="auto"/>
        </w:rPr>
        <w:t>You acknowledge and re-affirm your continuing obligations pursuant to your Existing Employment Agreement and the NDIA executed between you and the Company, including your confidentiality, invention assignment, non-competition, and non-solicitation obligations, the terms of which are incorporated herein by reference and made part of this Agreement. Nothing in this Agreement should be read to prevent you from exercising your rights under Section 7 of the National Labor Relations Act, including by communicating with coworkers, former coworkers, and others, including third parties, regarding the terms and conditions of your employment with the Company, or from making truthful statements or disclosures to any government agency, in response to a subpoena or other valid legal process, or as otherwise required under applicable law.</w:t>
      </w:r>
    </w:p>
    <w:p>
      <w:pPr>
        <w:spacing w:after="0" w:line="183" w:lineRule="exact"/>
        <w:rPr>
          <w:sz w:val="20"/>
          <w:szCs w:val="20"/>
          <w:color w:val="auto"/>
        </w:rPr>
      </w:pPr>
    </w:p>
    <w:p>
      <w:pPr>
        <w:ind w:left="632" w:hanging="632"/>
        <w:spacing w:after="0"/>
        <w:tabs>
          <w:tab w:leader="none" w:pos="632"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Return Of Property.</w:t>
      </w:r>
    </w:p>
    <w:p>
      <w:pPr>
        <w:spacing w:after="0" w:line="229" w:lineRule="exact"/>
        <w:rPr>
          <w:sz w:val="20"/>
          <w:szCs w:val="20"/>
          <w:color w:val="auto"/>
        </w:rPr>
      </w:pPr>
    </w:p>
    <w:p>
      <w:pPr>
        <w:ind w:left="692" w:firstLine="4"/>
        <w:spacing w:after="0" w:line="282" w:lineRule="auto"/>
        <w:rPr>
          <w:sz w:val="20"/>
          <w:szCs w:val="20"/>
          <w:color w:val="auto"/>
        </w:rPr>
      </w:pPr>
      <w:r>
        <w:rPr>
          <w:rFonts w:ascii="Times New Roman" w:cs="Times New Roman" w:eastAsia="Times New Roman" w:hAnsi="Times New Roman"/>
          <w:sz w:val="18"/>
          <w:szCs w:val="18"/>
          <w:color w:val="auto"/>
        </w:rPr>
        <w:t>As of your Separation Date, you agree that you have returned to the Company all property belonging to the Company including, but not limited to, electronic devices, equipment, access cards, and paper and electronic documents obtained in the course of your employment.</w:t>
      </w:r>
    </w:p>
    <w:p>
      <w:pPr>
        <w:spacing w:after="0" w:line="158" w:lineRule="exact"/>
        <w:rPr>
          <w:sz w:val="20"/>
          <w:szCs w:val="20"/>
          <w:color w:val="auto"/>
        </w:rPr>
      </w:pPr>
    </w:p>
    <w:p>
      <w:pPr>
        <w:ind w:left="632" w:hanging="632"/>
        <w:spacing w:after="0"/>
        <w:tabs>
          <w:tab w:leader="none" w:pos="632"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Disclosures.</w:t>
      </w:r>
    </w:p>
    <w:p>
      <w:pPr>
        <w:spacing w:after="0" w:line="229" w:lineRule="exact"/>
        <w:rPr>
          <w:sz w:val="20"/>
          <w:szCs w:val="20"/>
          <w:color w:val="auto"/>
        </w:rPr>
      </w:pPr>
    </w:p>
    <w:p>
      <w:pPr>
        <w:jc w:val="both"/>
        <w:ind w:left="692" w:firstLine="4"/>
        <w:spacing w:after="0" w:line="253" w:lineRule="auto"/>
        <w:rPr>
          <w:sz w:val="20"/>
          <w:szCs w:val="20"/>
          <w:color w:val="auto"/>
        </w:rPr>
      </w:pPr>
      <w:r>
        <w:rPr>
          <w:rFonts w:ascii="Times New Roman" w:cs="Times New Roman" w:eastAsia="Times New Roman" w:hAnsi="Times New Roman"/>
          <w:sz w:val="18"/>
          <w:szCs w:val="18"/>
          <w:color w:val="auto"/>
        </w:rPr>
        <w:t>You acknowledge that, prior to the termination of your employment with the Company, you disclosed to the Company, in accordance with applicable policies and procedures, any and all information relevant to any investigation of the Company’s business practices conducted by any governmental agency or to any existing, threatened or anticipated litigation involving the Company, whether administrative, civil or criminal in nature, and that you are otherwise unaware of any wrongdoing committed by any current or former employee of the Company that has not been disclosed. Nothing in this Agreement shall interfere with your Protected Rights or otherwise prohibit or restrict you or the Company from (1) making any disclosure of information required by law; (2) providing information to, or testifying or otherwise assisting in any investigation or proceeding brought by any federal or state regulatory or law enforcement agency or legislative body, any self-regulatory organization, or with respect to any internal investigation by the Company or its affiliates; or (3) testifying, participating in or otherwise assisting in a proceeding relating to an alleged violation of the Sarbanes-Oxley Act of 2002, the Dodd-Frank Wall Street Reform and Consumer Protection Act, any federal, state or municipal law relating to fraud, or any rule or regulation of any self-regulatory organization.</w:t>
      </w:r>
    </w:p>
    <w:p>
      <w:pPr>
        <w:spacing w:after="0" w:line="190" w:lineRule="exact"/>
        <w:rPr>
          <w:sz w:val="20"/>
          <w:szCs w:val="20"/>
          <w:color w:val="auto"/>
        </w:rPr>
      </w:pPr>
    </w:p>
    <w:p>
      <w:pPr>
        <w:ind w:left="592" w:hanging="592"/>
        <w:spacing w:after="0"/>
        <w:tabs>
          <w:tab w:leader="none" w:pos="592"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Non-Disparagement.</w:t>
      </w:r>
    </w:p>
    <w:p>
      <w:pPr>
        <w:spacing w:after="0" w:line="229" w:lineRule="exact"/>
        <w:rPr>
          <w:sz w:val="20"/>
          <w:szCs w:val="20"/>
          <w:color w:val="auto"/>
        </w:rPr>
      </w:pPr>
    </w:p>
    <w:p>
      <w:pPr>
        <w:jc w:val="both"/>
        <w:ind w:left="692" w:firstLine="11"/>
        <w:spacing w:after="0" w:line="256" w:lineRule="auto"/>
        <w:rPr>
          <w:sz w:val="20"/>
          <w:szCs w:val="20"/>
          <w:color w:val="auto"/>
        </w:rPr>
      </w:pPr>
      <w:r>
        <w:rPr>
          <w:rFonts w:ascii="Times New Roman" w:cs="Times New Roman" w:eastAsia="Times New Roman" w:hAnsi="Times New Roman"/>
          <w:sz w:val="18"/>
          <w:szCs w:val="18"/>
          <w:color w:val="auto"/>
        </w:rPr>
        <w:t>You acknowledge and re-affirm your continuing non-disparagement obligations pursuant to the Section 7 of the NDIA executed between you and the Company. Nothing in this Agreement should be read to prevent you from exercising your rights under Section 7 of the National Labor Relations Act, including by communicating with coworkers, former coworkers, and others, including third parties, regarding the terms and conditions of your employment with the Company. In addition, nothing in this Agreement prevents you or the Company from making truthful statements or disclosures to any government agency, in response to a subpoena or other valid legal process, exercising your Protected Rights or as otherwise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38" w:right="339" w:bottom="1440" w:gutter="0" w:footer="0" w:header="0"/>
        </w:sectPr>
      </w:pPr>
    </w:p>
    <w:bookmarkStart w:id="210" w:name="page211"/>
    <w:bookmarkEnd w:id="210"/>
    <w:p>
      <w:pPr>
        <w:ind w:left="652" w:hanging="652"/>
        <w:spacing w:after="0"/>
        <w:tabs>
          <w:tab w:leader="none" w:pos="652"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Cooperation.</w:t>
      </w:r>
    </w:p>
    <w:p>
      <w:pPr>
        <w:spacing w:after="0" w:line="229" w:lineRule="exact"/>
        <w:rPr>
          <w:sz w:val="20"/>
          <w:szCs w:val="20"/>
          <w:color w:val="auto"/>
        </w:rPr>
      </w:pPr>
    </w:p>
    <w:p>
      <w:pPr>
        <w:jc w:val="both"/>
        <w:ind w:left="692"/>
        <w:spacing w:after="0" w:line="253" w:lineRule="auto"/>
        <w:rPr>
          <w:sz w:val="20"/>
          <w:szCs w:val="20"/>
          <w:color w:val="auto"/>
        </w:rPr>
      </w:pPr>
      <w:r>
        <w:rPr>
          <w:rFonts w:ascii="Times New Roman" w:cs="Times New Roman" w:eastAsia="Times New Roman" w:hAnsi="Times New Roman"/>
          <w:sz w:val="18"/>
          <w:szCs w:val="18"/>
          <w:color w:val="auto"/>
        </w:rPr>
        <w:t>You agree to cooperate with the Company and all of the Releasees after the Separation Date by (a) at the Company’s or a Releasee’s request, meeting with the Company’s or a Releasee’s representatives, counsel, or other designees at mutually convenient times and places with respect to any items within the scope of this provision; (b) providing truthful testimony regarding matters within your knowledge or responsibility to any court, agency, or other adjudicatory body; (c) providing the Company with notice of contact by any non-governmental adverse party or such adverse party’s representative, except as may be required by. In addition, you agree to law cooperate in good faith with the Company in any internal investigation or administrative, regulatory or judicial proceeding as reasonably requested by the Company (including, without limitation, you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your possession, all at times and on schedules that are reasonably consistent with your other permitted activities and commitments).</w:t>
      </w:r>
    </w:p>
    <w:p>
      <w:pPr>
        <w:spacing w:after="0" w:line="194" w:lineRule="exact"/>
        <w:rPr>
          <w:sz w:val="20"/>
          <w:szCs w:val="20"/>
          <w:color w:val="auto"/>
        </w:rPr>
      </w:pPr>
    </w:p>
    <w:p>
      <w:pPr>
        <w:jc w:val="both"/>
        <w:ind w:left="692" w:firstLine="11"/>
        <w:spacing w:after="0" w:line="282" w:lineRule="auto"/>
        <w:rPr>
          <w:sz w:val="20"/>
          <w:szCs w:val="20"/>
          <w:color w:val="auto"/>
        </w:rPr>
      </w:pPr>
      <w:r>
        <w:rPr>
          <w:rFonts w:ascii="Times New Roman" w:cs="Times New Roman" w:eastAsia="Times New Roman" w:hAnsi="Times New Roman"/>
          <w:sz w:val="18"/>
          <w:szCs w:val="18"/>
          <w:color w:val="auto"/>
        </w:rPr>
        <w:t>The Company will reimburse you for any reasonable, out-of-pocket travel, lodging and meal expenses incurred in connection with your performance of obligations pursuant to this Section 16 for which Executive has obtained prior written approval from the Company.</w:t>
      </w:r>
    </w:p>
    <w:p>
      <w:pPr>
        <w:spacing w:after="0" w:line="158" w:lineRule="exact"/>
        <w:rPr>
          <w:sz w:val="20"/>
          <w:szCs w:val="20"/>
          <w:color w:val="auto"/>
        </w:rPr>
      </w:pPr>
    </w:p>
    <w:p>
      <w:pPr>
        <w:ind w:left="652" w:hanging="652"/>
        <w:spacing w:after="0"/>
        <w:tabs>
          <w:tab w:leader="none" w:pos="652"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Company’s Remedies For Breach.</w:t>
      </w:r>
    </w:p>
    <w:p>
      <w:pPr>
        <w:spacing w:after="0" w:line="229" w:lineRule="exact"/>
        <w:rPr>
          <w:sz w:val="20"/>
          <w:szCs w:val="20"/>
          <w:color w:val="auto"/>
        </w:rPr>
      </w:pPr>
    </w:p>
    <w:p>
      <w:pPr>
        <w:jc w:val="both"/>
        <w:ind w:left="692" w:hanging="13"/>
        <w:spacing w:after="0" w:line="266" w:lineRule="auto"/>
        <w:rPr>
          <w:sz w:val="20"/>
          <w:szCs w:val="20"/>
          <w:color w:val="auto"/>
        </w:rPr>
      </w:pPr>
      <w:r>
        <w:rPr>
          <w:rFonts w:ascii="Times New Roman" w:cs="Times New Roman" w:eastAsia="Times New Roman" w:hAnsi="Times New Roman"/>
          <w:sz w:val="18"/>
          <w:szCs w:val="18"/>
          <w:color w:val="auto"/>
        </w:rPr>
        <w:t>If you breach any section of this Agreement, including without limitation, Section 7, 8, 12 or 15 or otherwise seek to bring a Claim given up under this Agreement, the Company will be entitled to all relief legally available to it including equitable relief such as injunctions, and the Company will not be required to post a bond.</w:t>
      </w:r>
    </w:p>
    <w:p>
      <w:pPr>
        <w:spacing w:after="0" w:line="176" w:lineRule="exact"/>
        <w:rPr>
          <w:sz w:val="20"/>
          <w:szCs w:val="20"/>
          <w:color w:val="auto"/>
        </w:rPr>
      </w:pPr>
    </w:p>
    <w:p>
      <w:pPr>
        <w:jc w:val="both"/>
        <w:ind w:left="692" w:right="20" w:hanging="13"/>
        <w:spacing w:after="0" w:line="282" w:lineRule="auto"/>
        <w:rPr>
          <w:sz w:val="20"/>
          <w:szCs w:val="20"/>
          <w:color w:val="auto"/>
        </w:rPr>
      </w:pPr>
      <w:r>
        <w:rPr>
          <w:rFonts w:ascii="Times New Roman" w:cs="Times New Roman" w:eastAsia="Times New Roman" w:hAnsi="Times New Roman"/>
          <w:sz w:val="18"/>
          <w:szCs w:val="18"/>
          <w:color w:val="auto"/>
        </w:rPr>
        <w:t>You further acknowledge that if you breach any section of this Agreement, you will automatically forfeit your right to receive any of the benefits enumerated in Section 3 of this Agreement and the Consulting Agreement will be automatically terminated.</w:t>
      </w:r>
    </w:p>
    <w:p>
      <w:pPr>
        <w:spacing w:after="0" w:line="162" w:lineRule="exact"/>
        <w:rPr>
          <w:sz w:val="20"/>
          <w:szCs w:val="20"/>
          <w:color w:val="auto"/>
        </w:rPr>
      </w:pPr>
    </w:p>
    <w:p>
      <w:pPr>
        <w:jc w:val="both"/>
        <w:ind w:left="692" w:hanging="13"/>
        <w:spacing w:after="0" w:line="266" w:lineRule="auto"/>
        <w:rPr>
          <w:sz w:val="20"/>
          <w:szCs w:val="20"/>
          <w:color w:val="auto"/>
        </w:rPr>
      </w:pPr>
      <w:r>
        <w:rPr>
          <w:rFonts w:ascii="Times New Roman" w:cs="Times New Roman" w:eastAsia="Times New Roman" w:hAnsi="Times New Roman"/>
          <w:sz w:val="18"/>
          <w:szCs w:val="18"/>
          <w:color w:val="auto"/>
        </w:rPr>
        <w:t>You further acknowledge and understand that if the Company should discover any such Violation(s) as described in Section 6 after your execution of this Agreement and/or your separation from employment with the Company, it will be considered a material breach of this Agreement, and all of the Company’s obligations to you hereunder will become immediately null and void.</w:t>
      </w:r>
    </w:p>
    <w:p>
      <w:pPr>
        <w:spacing w:after="0" w:line="172" w:lineRule="exact"/>
        <w:rPr>
          <w:sz w:val="20"/>
          <w:szCs w:val="20"/>
          <w:color w:val="auto"/>
        </w:rPr>
      </w:pPr>
    </w:p>
    <w:p>
      <w:pPr>
        <w:ind w:left="632" w:hanging="632"/>
        <w:spacing w:after="0"/>
        <w:tabs>
          <w:tab w:leader="none" w:pos="632"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w:t>
      </w:r>
    </w:p>
    <w:p>
      <w:pPr>
        <w:spacing w:after="0" w:line="229" w:lineRule="exact"/>
        <w:rPr>
          <w:sz w:val="20"/>
          <w:szCs w:val="20"/>
          <w:color w:val="auto"/>
        </w:rPr>
      </w:pPr>
    </w:p>
    <w:p>
      <w:pPr>
        <w:jc w:val="both"/>
        <w:ind w:left="692"/>
        <w:spacing w:after="0" w:line="266" w:lineRule="auto"/>
        <w:rPr>
          <w:sz w:val="20"/>
          <w:szCs w:val="20"/>
          <w:color w:val="auto"/>
        </w:rPr>
      </w:pPr>
      <w:r>
        <w:rPr>
          <w:rFonts w:ascii="Times New Roman" w:cs="Times New Roman" w:eastAsia="Times New Roman" w:hAnsi="Times New Roman"/>
          <w:sz w:val="18"/>
          <w:szCs w:val="18"/>
          <w:color w:val="auto"/>
        </w:rPr>
        <w:t>Any payments made or benefits provided to you under this Agreement shall be reduced by any applicable withholding taxes or other amounts required to be withheld by law or contract. The Company, in its sole and absolute discretion, shall make all determinations as to whether it is obligated to withhold any taxes hereunder and the amount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38" w:right="339" w:bottom="1440" w:gutter="0" w:footer="0" w:header="0"/>
        </w:sectPr>
      </w:pPr>
    </w:p>
    <w:bookmarkStart w:id="211" w:name="page212"/>
    <w:bookmarkEnd w:id="211"/>
    <w:p>
      <w:pPr>
        <w:jc w:val="both"/>
        <w:ind w:left="69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It is intended that the provisions of this Agreement comply with or are exempt from Section 409A and Section 457A of the Internal Revenue Code of 1986, as amended (the “Code”) (together with the regulations and other interpretive guidance issued thereunder, “Section 409A” and “Section 457A”, respectively), and all provisions of this Agreement will be construed and interpreted in a manner consistent with such intent. In no event shall the Company or any of its affiliates be liable for any additional tax, interest or penalty that may be imposed on you by Section 409A or Section 457A. For purposes of Section 409A, each right to a payment hereunder will be deemed a “separate payment” within the meaning of Treas. Reg. Section 1.409A-2(b)(iii). With respect to the timing of payments of any deferred compensation payable upon a termination of employment hereunder, references in this Agreement to “termination of employment” (and substantially similar phrases) mean “separation from service” within the meaning of Section 409A. For the avoidance of doubt, it is intended that any expense reimbursement made to you hereunder is exempt from Section 409A; however, if any expense reimbursement hereunder is determined to be deferred compensation within the meaning of Section 409A, then (i) the amount of the expense reimbursement during one taxable year will not affect the amount of the expense reimbursement during any other taxable year, (ii) the expense reimbursement will be made on or before the last day of the year following the year in which the expense was incurred, and (iii) the right to expense reimbursement hereunder will not be subject to liquidation or exchange for another benefit. To the extent that you are a “specified employee” within the meaning of Section 409A as of the date of Executive’s separation from service (as determined by the Company), no amounts payable under this Agreement that constitute “deferred compensation” within the meaning of Section 409A that are payable on account of your separation from service shall be paid to you until the expiration of the six (6)-month period measured from the date of such separation from service (or, if earlier, the date of your death following such separation from service). Upon the first business day following the expiration of such delay period, all such amounts deferred pursuant to the preceding sentence will be paid to you (without interest).</w:t>
      </w:r>
    </w:p>
    <w:p>
      <w:pPr>
        <w:spacing w:after="0" w:line="188" w:lineRule="exact"/>
        <w:rPr>
          <w:sz w:val="20"/>
          <w:szCs w:val="20"/>
          <w:color w:val="auto"/>
        </w:rPr>
      </w:pPr>
    </w:p>
    <w:p>
      <w:pPr>
        <w:ind w:left="632" w:hanging="632"/>
        <w:spacing w:after="0"/>
        <w:tabs>
          <w:tab w:leader="none" w:pos="632"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p>
    <w:p>
      <w:pPr>
        <w:spacing w:after="0" w:line="229"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8"/>
          <w:szCs w:val="18"/>
          <w:color w:val="auto"/>
        </w:rPr>
        <w:t>This Agreement is governed by New York law, without regard to conflicts of laws principles.</w:t>
      </w:r>
    </w:p>
    <w:p>
      <w:pPr>
        <w:spacing w:after="0" w:line="221" w:lineRule="exact"/>
        <w:rPr>
          <w:sz w:val="20"/>
          <w:szCs w:val="20"/>
          <w:color w:val="auto"/>
        </w:rPr>
      </w:pPr>
    </w:p>
    <w:p>
      <w:pPr>
        <w:ind w:left="632" w:hanging="632"/>
        <w:spacing w:after="0"/>
        <w:tabs>
          <w:tab w:leader="none" w:pos="632"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w:t>
      </w:r>
    </w:p>
    <w:p>
      <w:pPr>
        <w:spacing w:after="0" w:line="229"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8"/>
          <w:szCs w:val="18"/>
          <w:color w:val="auto"/>
        </w:rPr>
        <w:t>This Agreement is binding on the Parties and their heirs, executors, successors and assigns.</w:t>
      </w:r>
    </w:p>
    <w:p>
      <w:pPr>
        <w:spacing w:after="0" w:line="221" w:lineRule="exact"/>
        <w:rPr>
          <w:sz w:val="20"/>
          <w:szCs w:val="20"/>
          <w:color w:val="auto"/>
        </w:rPr>
      </w:pPr>
    </w:p>
    <w:p>
      <w:pPr>
        <w:ind w:left="632" w:hanging="632"/>
        <w:spacing w:after="0"/>
        <w:tabs>
          <w:tab w:leader="none" w:pos="632"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 And Construction.</w:t>
      </w:r>
    </w:p>
    <w:p>
      <w:pPr>
        <w:spacing w:after="0" w:line="229" w:lineRule="exact"/>
        <w:rPr>
          <w:sz w:val="20"/>
          <w:szCs w:val="20"/>
          <w:color w:val="auto"/>
        </w:rPr>
      </w:pPr>
    </w:p>
    <w:p>
      <w:pPr>
        <w:jc w:val="both"/>
        <w:ind w:left="692" w:hanging="14"/>
        <w:spacing w:after="0" w:line="266" w:lineRule="auto"/>
        <w:rPr>
          <w:sz w:val="20"/>
          <w:szCs w:val="20"/>
          <w:color w:val="auto"/>
        </w:rPr>
      </w:pPr>
      <w:r>
        <w:rPr>
          <w:rFonts w:ascii="Times New Roman" w:cs="Times New Roman" w:eastAsia="Times New Roman" w:hAnsi="Times New Roman"/>
          <w:sz w:val="18"/>
          <w:szCs w:val="18"/>
          <w:color w:val="auto"/>
        </w:rPr>
        <w:t>If a court or agency with jurisdiction to consider this Agreement determines that any provision is illegal, void or unenforceable (including but not limited to Sections 12 and 15), that provision will be invalid. However, the rest of the Agreement will remain in full force and effect. A court with jurisdiction to consider this Agreement may modify invalid provisions if necessary to achieve the intent of the Parties.</w:t>
      </w:r>
    </w:p>
    <w:p>
      <w:pPr>
        <w:spacing w:after="0" w:line="172" w:lineRule="exact"/>
        <w:rPr>
          <w:sz w:val="20"/>
          <w:szCs w:val="20"/>
          <w:color w:val="auto"/>
        </w:rPr>
      </w:pPr>
    </w:p>
    <w:p>
      <w:pPr>
        <w:ind w:left="632" w:hanging="632"/>
        <w:spacing w:after="0"/>
        <w:tabs>
          <w:tab w:leader="none" w:pos="632"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Admission</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8"/>
          <w:szCs w:val="18"/>
          <w:color w:val="auto"/>
        </w:rPr>
        <w:t>By entering into this Agreement, neither you nor the Company admits wrongdoing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42" w:right="339" w:bottom="1440" w:gutter="0" w:footer="0" w:header="0"/>
        </w:sectPr>
      </w:pPr>
    </w:p>
    <w:bookmarkStart w:id="212" w:name="page213"/>
    <w:bookmarkEnd w:id="212"/>
    <w:p>
      <w:pPr>
        <w:ind w:left="632" w:hanging="632"/>
        <w:spacing w:after="0"/>
        <w:tabs>
          <w:tab w:leader="none" w:pos="632"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Do Not Rely On Verbal Statements.</w:t>
      </w:r>
    </w:p>
    <w:p>
      <w:pPr>
        <w:spacing w:after="0" w:line="229" w:lineRule="exact"/>
        <w:rPr>
          <w:rFonts w:ascii="Times New Roman" w:cs="Times New Roman" w:eastAsia="Times New Roman" w:hAnsi="Times New Roman"/>
          <w:sz w:val="18"/>
          <w:szCs w:val="18"/>
          <w:b w:val="1"/>
          <w:bCs w:val="1"/>
          <w:color w:val="auto"/>
        </w:rPr>
      </w:pPr>
    </w:p>
    <w:p>
      <w:pPr>
        <w:ind w:left="1332" w:hanging="320"/>
        <w:spacing w:after="0"/>
        <w:tabs>
          <w:tab w:leader="none" w:pos="1332"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forth the complete understanding between the Parties.</w:t>
      </w:r>
    </w:p>
    <w:p>
      <w:pPr>
        <w:spacing w:after="0" w:line="225" w:lineRule="exact"/>
        <w:rPr>
          <w:rFonts w:ascii="Times New Roman" w:cs="Times New Roman" w:eastAsia="Times New Roman" w:hAnsi="Times New Roman"/>
          <w:sz w:val="18"/>
          <w:szCs w:val="18"/>
          <w:color w:val="auto"/>
        </w:rPr>
      </w:pPr>
    </w:p>
    <w:p>
      <w:pPr>
        <w:ind w:left="1332" w:hanging="320"/>
        <w:spacing w:after="0"/>
        <w:tabs>
          <w:tab w:leader="none" w:pos="1332"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changed orally.</w:t>
      </w:r>
    </w:p>
    <w:p>
      <w:pPr>
        <w:spacing w:after="0" w:line="225" w:lineRule="exact"/>
        <w:rPr>
          <w:rFonts w:ascii="Times New Roman" w:cs="Times New Roman" w:eastAsia="Times New Roman" w:hAnsi="Times New Roman"/>
          <w:sz w:val="18"/>
          <w:szCs w:val="18"/>
          <w:color w:val="auto"/>
        </w:rPr>
      </w:pPr>
    </w:p>
    <w:p>
      <w:pPr>
        <w:jc w:val="both"/>
        <w:ind w:left="1332" w:hanging="320"/>
        <w:spacing w:after="0" w:line="266" w:lineRule="auto"/>
        <w:tabs>
          <w:tab w:leader="none" w:pos="1332"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and contains the complete understanding of the Parties with regard to the end of your employment and supersedes and replaces all prior oral and written agreements and promises between the Parties, except that the obligations set forth in your NDIA remain in full force and effect in accordance with this Agreement.</w:t>
      </w:r>
    </w:p>
    <w:p>
      <w:pPr>
        <w:spacing w:after="0" w:line="175" w:lineRule="exact"/>
        <w:rPr>
          <w:rFonts w:ascii="Times New Roman" w:cs="Times New Roman" w:eastAsia="Times New Roman" w:hAnsi="Times New Roman"/>
          <w:sz w:val="18"/>
          <w:szCs w:val="18"/>
          <w:color w:val="auto"/>
        </w:rPr>
      </w:pPr>
    </w:p>
    <w:p>
      <w:pPr>
        <w:jc w:val="both"/>
        <w:ind w:left="1332" w:hanging="320"/>
        <w:spacing w:after="0" w:line="266" w:lineRule="auto"/>
        <w:tabs>
          <w:tab w:leader="none" w:pos="1332"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representative (nor any representative of any other company affiliated with the Company), has made any promises to you other than as written in this Agreement. All future promises and agreements must be in writing and signed by both Parties.</w:t>
      </w:r>
    </w:p>
    <w:p>
      <w:pPr>
        <w:spacing w:after="0" w:line="171"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Your Opportunity To Review and Revoke.</w:t>
      </w:r>
    </w:p>
    <w:p>
      <w:pPr>
        <w:spacing w:after="0" w:line="225" w:lineRule="exact"/>
        <w:rPr>
          <w:rFonts w:ascii="Times New Roman" w:cs="Times New Roman" w:eastAsia="Times New Roman" w:hAnsi="Times New Roman"/>
          <w:sz w:val="18"/>
          <w:szCs w:val="18"/>
          <w:b w:val="1"/>
          <w:bCs w:val="1"/>
          <w:color w:val="auto"/>
        </w:rPr>
      </w:pPr>
    </w:p>
    <w:p>
      <w:pPr>
        <w:jc w:val="both"/>
        <w:ind w:left="1332" w:hanging="644"/>
        <w:spacing w:after="0" w:line="235" w:lineRule="auto"/>
        <w:tabs>
          <w:tab w:leader="none" w:pos="133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Twenty-One Day Review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have</w:t>
      </w:r>
      <w:r>
        <w:rPr>
          <w:rFonts w:ascii="Times New Roman" w:cs="Times New Roman" w:eastAsia="Times New Roman" w:hAnsi="Times New Roman"/>
          <w:sz w:val="18"/>
          <w:szCs w:val="18"/>
          <w:b w:val="1"/>
          <w:bCs w:val="1"/>
          <w:color w:val="auto"/>
        </w:rPr>
        <w:t xml:space="preserve"> twenty-one (21) calendar days </w:t>
      </w:r>
      <w:r>
        <w:rPr>
          <w:rFonts w:ascii="Times New Roman" w:cs="Times New Roman" w:eastAsia="Times New Roman" w:hAnsi="Times New Roman"/>
          <w:sz w:val="18"/>
          <w:szCs w:val="18"/>
          <w:color w:val="auto"/>
        </w:rPr>
        <w:t>from the day you receive this Agreement to review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consider the terms of this Agreement, sign it and return it to </w:t>
      </w:r>
      <w:r>
        <w:rPr>
          <w:rFonts w:ascii="Times New Roman" w:cs="Times New Roman" w:eastAsia="Times New Roman" w:hAnsi="Times New Roman"/>
          <w:sz w:val="18"/>
          <w:szCs w:val="18"/>
          <w:b w:val="1"/>
          <w:bCs w:val="1"/>
          <w:color w:val="auto"/>
        </w:rPr>
        <w:t>Katie Koprowski, Roivant Sciences, Inc., 151 West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Street, 15th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Floor, New York, NY 10036 ([...]). </w:t>
      </w:r>
      <w:r>
        <w:rPr>
          <w:rFonts w:ascii="Times New Roman" w:cs="Times New Roman" w:eastAsia="Times New Roman" w:hAnsi="Times New Roman"/>
          <w:sz w:val="18"/>
          <w:szCs w:val="18"/>
          <w:color w:val="auto"/>
        </w:rPr>
        <w:t xml:space="preserve">Your opportunity to accept the terms of this Agreement will expire at the conclusion of the twenty-one (21) calendar day period if you do not accept those terms before time expires. That means that your opportunity to accept the terms of this Agreement will expire on March 7, 2025. You may sign the Agreement in fewer than twenty-one (21) calendar days, but no earlier than February 14, 2025, if you wish to do so. If you elect to do so, you acknowledge that you have done so voluntarily. </w:t>
      </w:r>
      <w:r>
        <w:rPr>
          <w:rFonts w:ascii="Times New Roman" w:cs="Times New Roman" w:eastAsia="Times New Roman" w:hAnsi="Times New Roman"/>
          <w:sz w:val="18"/>
          <w:szCs w:val="18"/>
          <w:b w:val="1"/>
          <w:bCs w:val="1"/>
          <w:color w:val="auto"/>
        </w:rPr>
        <w:t>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signature below indicates that you are entering into this Agreement freely, knowingly and voluntarily, with full understanding of its terms.</w:t>
      </w:r>
    </w:p>
    <w:p>
      <w:pPr>
        <w:spacing w:after="0" w:line="198" w:lineRule="exact"/>
        <w:rPr>
          <w:rFonts w:ascii="Times New Roman" w:cs="Times New Roman" w:eastAsia="Times New Roman" w:hAnsi="Times New Roman"/>
          <w:sz w:val="18"/>
          <w:szCs w:val="18"/>
          <w:color w:val="auto"/>
        </w:rPr>
      </w:pPr>
    </w:p>
    <w:p>
      <w:pPr>
        <w:ind w:left="1332" w:hanging="644"/>
        <w:spacing w:after="0" w:line="286" w:lineRule="auto"/>
        <w:tabs>
          <w:tab w:leader="none" w:pos="133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Talk To A Lawyer.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review period, and before executing this Agreement, the Company advises you to consult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 at your own expense, regarding the terms of this Agreement.</w:t>
      </w:r>
    </w:p>
    <w:p>
      <w:pPr>
        <w:spacing w:after="0" w:line="154" w:lineRule="exact"/>
        <w:rPr>
          <w:rFonts w:ascii="Times New Roman" w:cs="Times New Roman" w:eastAsia="Times New Roman" w:hAnsi="Times New Roman"/>
          <w:sz w:val="18"/>
          <w:szCs w:val="18"/>
          <w:color w:val="auto"/>
        </w:rPr>
      </w:pPr>
    </w:p>
    <w:p>
      <w:pPr>
        <w:jc w:val="both"/>
        <w:ind w:left="1332" w:hanging="644"/>
        <w:spacing w:after="0" w:line="215" w:lineRule="auto"/>
        <w:tabs>
          <w:tab w:leader="none" w:pos="133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Seven Days to Change Your Mind.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have</w:t>
      </w:r>
      <w:r>
        <w:rPr>
          <w:rFonts w:ascii="Times New Roman" w:cs="Times New Roman" w:eastAsia="Times New Roman" w:hAnsi="Times New Roman"/>
          <w:sz w:val="18"/>
          <w:szCs w:val="18"/>
          <w:b w:val="1"/>
          <w:bCs w:val="1"/>
          <w:color w:val="auto"/>
        </w:rPr>
        <w:t xml:space="preserve"> seven (7) calendar days </w:t>
      </w:r>
      <w:r>
        <w:rPr>
          <w:rFonts w:ascii="Times New Roman" w:cs="Times New Roman" w:eastAsia="Times New Roman" w:hAnsi="Times New Roman"/>
          <w:sz w:val="18"/>
          <w:szCs w:val="18"/>
          <w:color w:val="auto"/>
        </w:rPr>
        <w:t>from the date of signing this Agreement to revoke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by expressing a desire to do so in writing addressed to </w:t>
      </w:r>
      <w:r>
        <w:rPr>
          <w:rFonts w:ascii="Times New Roman" w:cs="Times New Roman" w:eastAsia="Times New Roman" w:hAnsi="Times New Roman"/>
          <w:sz w:val="18"/>
          <w:szCs w:val="18"/>
          <w:b w:val="1"/>
          <w:bCs w:val="1"/>
          <w:color w:val="auto"/>
        </w:rPr>
        <w:t>Katie Koprowski, Roivant Sciences, Inc., 151 West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15th Floor, New York, NY 10036 ([...])</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We Want To Make Absolutely Certain That You Understand This Agreement.</w:t>
      </w:r>
    </w:p>
    <w:p>
      <w:pPr>
        <w:spacing w:after="0" w:line="229"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18"/>
          <w:szCs w:val="18"/>
          <w:color w:val="auto"/>
        </w:rPr>
        <w:t>You acknowledge and agree that:</w:t>
      </w:r>
    </w:p>
    <w:p>
      <w:pPr>
        <w:spacing w:after="0" w:line="221" w:lineRule="exact"/>
        <w:rPr>
          <w:sz w:val="20"/>
          <w:szCs w:val="20"/>
          <w:color w:val="auto"/>
        </w:rPr>
      </w:pPr>
    </w:p>
    <w:p>
      <w:pPr>
        <w:ind w:left="1352" w:hanging="326"/>
        <w:spacing w:after="0"/>
        <w:tabs>
          <w:tab w:leader="none" w:pos="135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have carefully read this Agreement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38" w:right="339" w:bottom="1440" w:gutter="0" w:footer="0" w:header="0"/>
        </w:sectPr>
      </w:pPr>
    </w:p>
    <w:bookmarkStart w:id="213" w:name="page214"/>
    <w:bookmarkEnd w:id="213"/>
    <w:p>
      <w:pPr>
        <w:ind w:left="1360" w:hanging="326"/>
        <w:spacing w:after="0"/>
        <w:tabs>
          <w:tab w:leader="none" w:pos="136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2454275</wp:posOffset>
            </wp:positionH>
            <wp:positionV relativeFrom="page">
              <wp:posOffset>88900</wp:posOffset>
            </wp:positionV>
            <wp:extent cx="2640330" cy="6083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t>You were provided an opportunity to review and consider the terms of this Agreement for at least twenty-one (21) calendar days;</w:t>
      </w:r>
    </w:p>
    <w:p>
      <w:pPr>
        <w:spacing w:after="0" w:line="236" w:lineRule="exact"/>
        <w:rPr>
          <w:rFonts w:ascii="Times New Roman" w:cs="Times New Roman" w:eastAsia="Times New Roman" w:hAnsi="Times New Roman"/>
          <w:sz w:val="17"/>
          <w:szCs w:val="17"/>
          <w:color w:val="auto"/>
        </w:rPr>
      </w:pPr>
    </w:p>
    <w:p>
      <w:pPr>
        <w:ind w:left="1360" w:hanging="326"/>
        <w:spacing w:after="0" w:line="286" w:lineRule="auto"/>
        <w:tabs>
          <w:tab w:leader="none" w:pos="13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understand that the Company urges you to consult with an attorney of your choosing, at your expense, regarding this Agreement;</w:t>
      </w:r>
    </w:p>
    <w:p>
      <w:pPr>
        <w:spacing w:after="0" w:line="154" w:lineRule="exact"/>
        <w:rPr>
          <w:rFonts w:ascii="Times New Roman" w:cs="Times New Roman" w:eastAsia="Times New Roman" w:hAnsi="Times New Roman"/>
          <w:sz w:val="18"/>
          <w:szCs w:val="18"/>
          <w:color w:val="auto"/>
        </w:rPr>
      </w:pPr>
    </w:p>
    <w:p>
      <w:pPr>
        <w:jc w:val="both"/>
        <w:ind w:left="1360" w:hanging="326"/>
        <w:spacing w:after="0" w:line="268" w:lineRule="auto"/>
        <w:tabs>
          <w:tab w:leader="none" w:pos="13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have the opportunity to discuss this Agreement with a lawyer of your choosing, and agree that you had a reasonable opportunity to do so, and he or she has answered to your satisfaction any questions you asked with regard to the meaning and significance of any of the provisions of this Agreement;</w:t>
      </w:r>
    </w:p>
    <w:p>
      <w:pPr>
        <w:spacing w:after="0" w:line="170" w:lineRule="exact"/>
        <w:rPr>
          <w:rFonts w:ascii="Times New Roman" w:cs="Times New Roman" w:eastAsia="Times New Roman" w:hAnsi="Times New Roman"/>
          <w:sz w:val="18"/>
          <w:szCs w:val="18"/>
          <w:color w:val="auto"/>
        </w:rPr>
      </w:pPr>
    </w:p>
    <w:p>
      <w:pPr>
        <w:ind w:left="1360" w:hanging="326"/>
        <w:spacing w:after="0"/>
        <w:tabs>
          <w:tab w:leader="none" w:pos="13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fully understand the significance of all of the terms and conditions of this Agreement; and</w:t>
      </w:r>
    </w:p>
    <w:p>
      <w:pPr>
        <w:spacing w:after="0" w:line="225" w:lineRule="exact"/>
        <w:rPr>
          <w:rFonts w:ascii="Times New Roman" w:cs="Times New Roman" w:eastAsia="Times New Roman" w:hAnsi="Times New Roman"/>
          <w:sz w:val="18"/>
          <w:szCs w:val="18"/>
          <w:color w:val="auto"/>
        </w:rPr>
      </w:pPr>
    </w:p>
    <w:p>
      <w:pPr>
        <w:ind w:left="1360" w:hanging="326"/>
        <w:spacing w:after="0" w:line="286" w:lineRule="auto"/>
        <w:tabs>
          <w:tab w:leader="none" w:pos="13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are Executing this Agreement voluntarily and of your own free will and agree to all the terms and conditions contained in this Agreement.</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AGREE THAT ANY MODIFICATIONS, MATERIAL OR OTHERWISE, MADE TO THIS AGREEMENT DO NOT RESTART, EXTEND OR AFFECT IN ANY MANNER THE ORIGINAL TWENTY-ONE (21) CALENDAR DAY REVIEW PERIOD DESCRIBED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Eric Venker</w:t>
            </w:r>
          </w:p>
        </w:tc>
        <w:tc>
          <w:tcPr>
            <w:tcW w:w="730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/s/ Rakhi Kumar</w:t>
            </w:r>
          </w:p>
        </w:tc>
      </w:tr>
      <w:tr>
        <w:trPr>
          <w:trHeight w:val="234"/>
        </w:trPr>
        <w:tc>
          <w:tcPr>
            <w:tcW w:w="3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ROIVANT SCIENCES, INC.</w:t>
            </w:r>
          </w:p>
        </w:tc>
        <w:tc>
          <w:tcPr>
            <w:tcW w:w="3380" w:type="dxa"/>
            <w:vAlign w:val="bottom"/>
          </w:tcPr>
          <w:p>
            <w:pPr>
              <w:spacing w:after="0"/>
              <w:rPr>
                <w:sz w:val="20"/>
                <w:szCs w:val="20"/>
                <w:color w:val="auto"/>
              </w:rPr>
            </w:pPr>
          </w:p>
        </w:tc>
        <w:tc>
          <w:tcPr>
            <w:tcW w:w="3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RAKHI KUMAR</w:t>
            </w: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color w:val="auto"/>
                <w:w w:val="93"/>
              </w:rPr>
              <w:t>Eric Venker</w:t>
            </w:r>
          </w:p>
        </w:tc>
        <w:tc>
          <w:tcPr>
            <w:tcW w:w="3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00" w:type="dxa"/>
            <w:vAlign w:val="bottom"/>
          </w:tcPr>
          <w:p>
            <w:pPr>
              <w:spacing w:after="0"/>
              <w:rPr>
                <w:sz w:val="24"/>
                <w:szCs w:val="24"/>
                <w:color w:val="auto"/>
              </w:rPr>
            </w:pPr>
          </w:p>
        </w:tc>
        <w:tc>
          <w:tcPr>
            <w:tcW w:w="326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8"/>
              </w:rPr>
              <w:t>2/13/2025</w:t>
            </w:r>
          </w:p>
        </w:tc>
        <w:tc>
          <w:tcPr>
            <w:tcW w:w="338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3/9/2025</w:t>
            </w:r>
          </w:p>
        </w:tc>
      </w:tr>
      <w:tr>
        <w:trPr>
          <w:trHeight w:val="27"/>
        </w:trPr>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3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Roivant Sciences, Inc. • 151 West 42nd Street, 15th Floor, New York, NY 10036 • 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10.38</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18"/>
          <w:szCs w:val="18"/>
          <w:color w:val="auto"/>
        </w:rPr>
        <w:t xml:space="preserve">THIS CONSULTING AGREEMENT (the “Agreement”) is made and entered into as of the March 16, 2025, by and between </w:t>
      </w:r>
      <w:r>
        <w:rPr>
          <w:rFonts w:ascii="Times New Roman" w:cs="Times New Roman" w:eastAsia="Times New Roman" w:hAnsi="Times New Roman"/>
          <w:sz w:val="18"/>
          <w:szCs w:val="18"/>
          <w:b w:val="1"/>
          <w:bCs w:val="1"/>
          <w:color w:val="auto"/>
        </w:rPr>
        <w:t>Roivant Sciences,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 </w:t>
      </w:r>
      <w:r>
        <w:rPr>
          <w:rFonts w:ascii="Times New Roman" w:cs="Times New Roman" w:eastAsia="Times New Roman" w:hAnsi="Times New Roman"/>
          <w:sz w:val="18"/>
          <w:szCs w:val="18"/>
          <w:color w:val="auto"/>
        </w:rPr>
        <w:t>(the “Company”), a Delaware corporation, having a place of business at 151 West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 10036, and</w:t>
      </w:r>
      <w:r>
        <w:rPr>
          <w:rFonts w:ascii="Times New Roman" w:cs="Times New Roman" w:eastAsia="Times New Roman" w:hAnsi="Times New Roman"/>
          <w:sz w:val="18"/>
          <w:szCs w:val="18"/>
          <w:b w:val="1"/>
          <w:bCs w:val="1"/>
          <w:color w:val="auto"/>
        </w:rPr>
        <w:t xml:space="preserve"> Rakhi Kumar </w:t>
      </w:r>
      <w:r>
        <w:rPr>
          <w:rFonts w:ascii="Times New Roman" w:cs="Times New Roman" w:eastAsia="Times New Roman" w:hAnsi="Times New Roman"/>
          <w:sz w:val="18"/>
          <w:szCs w:val="18"/>
          <w:color w:val="auto"/>
        </w:rPr>
        <w:t>(“Consultant”), an individual, with domicile in New Jersey.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reference is made in this Agreement to that certain Separation Agreement and General Release Agreement, dated as of February 14, 2025 by and between the Company and Consultant (the “Separation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terms of the Separation Agreement, Consultant’s employment with the Company will cease, effective as of March 16, 2025 (the “Separation Date”);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engage Consultant to provide services to the Company, and Consultant desires to accept engagement on the terms and conditions hereinafter stated.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agree as follows:</w:t>
      </w:r>
    </w:p>
    <w:p>
      <w:pPr>
        <w:spacing w:after="0" w:line="221" w:lineRule="exact"/>
        <w:rPr>
          <w:sz w:val="20"/>
          <w:szCs w:val="20"/>
          <w:color w:val="auto"/>
        </w:rPr>
      </w:pPr>
    </w:p>
    <w:p>
      <w:pPr>
        <w:ind w:left="680" w:hanging="672"/>
        <w:spacing w:after="0"/>
        <w:tabs>
          <w:tab w:leader="none" w:pos="68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 Consultant shall provide the advisory and transitional services as may be reasonably requested by the Company from time to time, including without limitation, (a) identification and analysis of books and records, (b) making introductions to vendors, advisers and other industry participants, (c) referring inquiries and correspondence from third parties to the Company and (d) execution of such documents as reasonably requested by the Company to effectuate such transition (collectively, the “Services”).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 Consultant will carry out the Services to the best of Consultant’s ability in a professional manner consistent with industry standards, in accordance with the standard of care customarily observed with regard to such Services in Consultant’s profession and using the Consultant’s expertise and creative talents. Consultant will perform Services in a timely manner and at a location, time and place that Consultant deems appropriate. Consultant will perform the Services in compliance with all applicable laws, rules and regulations.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1.3. Consultant and the Company acknowledge and agree this Agreement is an independent contractor agreement and does not create an employer/employee or agency relationship between the Company and Consultant. Accordingly, the Company, shall have no withholding obligations with respect to Consultant’s compensation and Consultant shall be solely responsible for payment of, and shall indemnify and hold the Company harmless against, all taxes, including, without limitation, federal, state and local taxes arising out of Consultant’s compensation under this Agreement. Consultant shall not be covered by or have any rights to participate under any employee benefit plans of the Company that are in existence or hereafter adopted or implemented and the Company shall not be responsible for payment of workers’ compensation, disability benefits or unemployment insurance. As an independent contractor, Consultant shall not have the power or authority to bind the Company to any obligations whatsoever to third parties without the prior written consent of the Company.</w:t>
      </w:r>
    </w:p>
    <w:p>
      <w:pPr>
        <w:spacing w:after="0" w:line="349" w:lineRule="exact"/>
        <w:rPr>
          <w:sz w:val="20"/>
          <w:szCs w:val="20"/>
          <w:color w:val="auto"/>
        </w:rPr>
      </w:pPr>
    </w:p>
    <w:p>
      <w:pPr>
        <w:ind w:left="20"/>
        <w:spacing w:after="0"/>
        <w:tabs>
          <w:tab w:leader="none" w:pos="5320" w:val="left"/>
          <w:tab w:leader="none" w:pos="992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 of 9</w:t>
      </w:r>
      <w:r>
        <w:rPr>
          <w:sz w:val="20"/>
          <w:szCs w:val="20"/>
          <w:color w:val="auto"/>
        </w:rPr>
        <w:tab/>
      </w:r>
      <w:r>
        <w:rPr>
          <w:rFonts w:ascii="Times New Roman" w:cs="Times New Roman" w:eastAsia="Times New Roman" w:hAnsi="Times New Roman"/>
          <w:sz w:val="14"/>
          <w:szCs w:val="14"/>
          <w:color w:val="auto"/>
        </w:rPr>
        <w:t>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15" w:name="page216"/>
    <w:bookmarkEnd w:id="2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 Consultant represents and warrants to the Company that this Agreement does not violate or breach, and Consultant’s performance of Consultant’s obligations hereunder will not violate or breach, any terms or provisions of any agreement or understanding to which Consultant is subject or bound. Consultant represents, warrants, covenants and agrees that Consultant will not improperly use or disclose any proprietary information or trade secrets of any other party, and will not bring onto the premises of the Company or place on any Company network systems or any Company device any unpublished documents or any property belonging to any other party unless consented to in writing by said party.</w:t>
      </w:r>
    </w:p>
    <w:p>
      <w:pPr>
        <w:spacing w:after="0" w:line="179" w:lineRule="exact"/>
        <w:rPr>
          <w:sz w:val="20"/>
          <w:szCs w:val="20"/>
          <w:color w:val="auto"/>
        </w:rPr>
      </w:pPr>
    </w:p>
    <w:p>
      <w:pPr>
        <w:ind w:left="680" w:hanging="672"/>
        <w:spacing w:after="0"/>
        <w:tabs>
          <w:tab w:leader="none" w:pos="68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Subject to the terms and provisions set forth below in this Section 2, the term of Consultant’s engagement as a consultant to the Company will begin on the Separation Date and end on the 18 month anniversary thereof (or, if earlier, the date this Agreement is terminated in accordance with Sections 2.2, 2.3, 2.4 or 2.5 of this Agreement) (the “Consulting Period”). This Agreement and the Consulting Period may be extended upon the mutual written consent of the parties.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 The effectiveness of this Agreement is contingent upon the Separation Agreement becoming effective and irrevocable within the time period set forth in the Separation Agreement. In the event the Separation Agreement does not become effective and irrevocable in accordance with its terms, this Agreement shall be void ab initio and of no force or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 The Company and Consultant may mutually agree in writing to terminate this Agreement. In addition, the Company may immediately terminate this Agreement as set forth in Section 8.3.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The Company may immediately terminate this Agreement in the event that Consultant breaches any of Consultant’s obligations under this Agreement (including Sections 4 and 5 hereof), the Separation Agreement or the NDIA (as defined in the Separation Agreement), including, without limitation, Consultant’s failure to adequately and timely perform the Services in accordance with the terms of this Agreement.</w:t>
      </w:r>
    </w:p>
    <w:p>
      <w:pPr>
        <w:spacing w:after="0" w:line="17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Consultant may voluntarily terminate this Agreement upon written notice to the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2.6. Upon termination of this Agreement, all obligations of the Company under this Agreement shall terminate. All of Consultant’s obligations, including without limitation the obligations relating to Confidential Information, Trade Secrets, Other Confidential Information and non-disparagement as set forth in Section 4 under this Agreement and all of Consultant’s obligations under the NDIA shall survive any termination of this Agreement.</w:t>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5320" w:val="left"/>
          <w:tab w:leader="none" w:pos="992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 of 9</w:t>
      </w:r>
      <w:r>
        <w:rPr>
          <w:sz w:val="20"/>
          <w:szCs w:val="20"/>
          <w:color w:val="auto"/>
        </w:rPr>
        <w:tab/>
      </w:r>
      <w:r>
        <w:rPr>
          <w:rFonts w:ascii="Times New Roman" w:cs="Times New Roman" w:eastAsia="Times New Roman" w:hAnsi="Times New Roman"/>
          <w:sz w:val="14"/>
          <w:szCs w:val="14"/>
          <w:color w:val="auto"/>
        </w:rPr>
        <w:t>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ind w:left="640" w:hanging="632"/>
        <w:spacing w:after="0"/>
        <w:tabs>
          <w:tab w:leader="none" w:pos="6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3.1. In consideration of the continuous Services provided by Consultant hereunder, during the Consulting Period, Consultant will be eligible to continue to vest in the outstanding equity incentive awards held by the Consultant under the Roivant Sciences Ltd. 2021 Equity Incentive Plan (as amended and restated from time to time, the “2021 EIP”) and the Amended and Restated Roivant Sciences Ltd. 2015 Equity Incentive Plan (as amended and restated from time to time, the “2015 EIP” and, together with the 2021 EIP, the “Plans”), as set forth on Exhibit A attached hereto (the “Equity Awards”). The Equity Awards shall otherwise remain subject to the terms of the Plans and the applicable award agreements and grant notices thereunder (including,</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respect to the timing of the settlement and exercisability, as applicable). Notwithstanding anything to the contrary herein or pursuant to the terms of any grant documentation relating to the Equity Awards, provided that (i) Consultant fully performs, and otherwise fully complies with, Consultant’s obligations under this Agreement, the Separation Agreement and the NDIA and (ii) this Agreement is not otherwise terminated in accordance with Section 2 prior to the 18 month anniversary hereof, then any Equity Awards remaining outstanding and unvested as of the last day of the Consulting Period (September 16, 2026) shall fully vest as of such date. Upon the termination of this Agreement, all of Consultant’s Equity Awards will cease to vest, and any of the Equity Awards that are unvested as of immediately prior to the termination date shall be forfeited and cancelled in their entirety, in accordance with their existing terms.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3.2. The Company and Consultant acknowledge and agree that the benefits provided for herein represent the fair market value for the Services, have not been determined in a manner that takes into account the volume or value of any business otherwise generated between the Parties, and shall not obligate or in any manner encourage Consultant to purchase, use, recommend, or arrange for the use of any product developed, manufactured, and/or marketed by the Company, any of its affiliates and/or business collaborators, or to affect the formulary status of any products of the Company, any of its affiliates and/or business collaborators.</w:t>
      </w:r>
    </w:p>
    <w:p>
      <w:pPr>
        <w:spacing w:after="0" w:line="179" w:lineRule="exact"/>
        <w:rPr>
          <w:sz w:val="20"/>
          <w:szCs w:val="20"/>
          <w:color w:val="auto"/>
        </w:rPr>
      </w:pPr>
    </w:p>
    <w:p>
      <w:pPr>
        <w:ind w:left="680" w:hanging="672"/>
        <w:spacing w:after="0"/>
        <w:tabs>
          <w:tab w:leader="none" w:pos="68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 Trade Secrets, Nonuse and Non-Disparagement.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4.1. “Confidential Information” means any and all information disclosed directly or indirectly to Consultant in any form (written, oral or otherwise) by the Company or its affiliates, including but not limited to, its or its affiliates’ representatives, or learned by the Consultant, whether (a) as a result of or in connection with this Agreement or the Services provided hereunder, (b) in connection with or during Consultant’s employment with the Company prior to the Separation Date or (c) otherwise. Confidential Information includes, without limitation, information about the Company’s or its affiliates’ business, finances, operations, research and development, clinical studies and related activities (including protocols, data, findings and conclusions), technical information, marketing information, manufacturing information, information about actual or potential transactions conducted or contemplated, regulatory information, and other information about the Company’s discoveries, inventions (whether patentable or not), methods, processes, materials, algorithms, software, specifications, designs, drawings, schematics, data, strategies, plans, prospects, know-how, formulas, processes and ideas (whether tangible or intangible), and including all copies, analyses and derivatives thereof. Any documents, memoranda, programs, or drafts which incorporate or include any Confidential Information shall also be deemed Confidential Information.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4.2. “Trade Secrets” means information not generally known about the Company’s or affiliates’ business which is the subject of efforts that are reasonable under the circumstances to maintain its secrecy or confidentiality and from which the Company derives economic value from the fact that the information is not generally known to other persons. Trade Secrets include, but are not limited to, technical or non-technical data, compilations, programs and methods, designs, techniques, improvements, drawings, processes, formulae, financial data, business and product development plans, service reports, price lists, product licensing information, computer programs and source codes of the Company.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4.3. “Other Confidential Information” shall mean all information respecting the business and activities of the Company and its affiliates’, including, without limitation, as set forth in Section 17, the terms and provisions of this Agreement, the clients, customers, suppliers, employees, consultants, computer or other files, projects, products, computer disks or other media, computer hardware or computer software programs, marketing plans, methodologies, know-how, processes, practices, approaches, projections, forecasts, formats, systems, data gathering methods and/or strategies of the Company.</w:t>
      </w:r>
    </w:p>
    <w:p>
      <w:pPr>
        <w:spacing w:after="0" w:line="341" w:lineRule="exact"/>
        <w:rPr>
          <w:sz w:val="20"/>
          <w:szCs w:val="20"/>
          <w:color w:val="auto"/>
        </w:rPr>
      </w:pPr>
    </w:p>
    <w:p>
      <w:pPr>
        <w:ind w:left="20"/>
        <w:spacing w:after="0"/>
        <w:tabs>
          <w:tab w:leader="none" w:pos="5320" w:val="left"/>
          <w:tab w:leader="none" w:pos="992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 of 9</w:t>
      </w:r>
      <w:r>
        <w:rPr>
          <w:sz w:val="20"/>
          <w:szCs w:val="20"/>
          <w:color w:val="auto"/>
        </w:rPr>
        <w:tab/>
      </w:r>
      <w:r>
        <w:rPr>
          <w:rFonts w:ascii="Times New Roman" w:cs="Times New Roman" w:eastAsia="Times New Roman" w:hAnsi="Times New Roman"/>
          <w:sz w:val="14"/>
          <w:szCs w:val="14"/>
          <w:color w:val="auto"/>
        </w:rPr>
        <w:t>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7" w:name="page218"/>
    <w:bookmarkEnd w:id="2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4.4. Consultant covenants and agrees that Consultant will treat as confidential and will not use (other than in the performance of Consultant’s duties hereunder), or disclose in any manner either during or after the term of this Agreement any Confidential Information, Trade Secrets or Other Confidential Information. Consultant also agrees that Consultant will diligently protect all Confidential Information, Trade Secrets or Other Confidential Information against loss by inadvertent or unauthorized disclosure and will comply with any regulations established by the Company for the purpose of protecting such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4.5. All Confidential Information, Trade Secrets or Other Confidential Information which shall be disclosed to or which shall come into the possession of Consultant, shall be and remain the sole and exclusive property of the Company. Consultant agrees that, at any time upon request, Consultant will promptly deliver to the Company or destroy the originals and all copies of any Confidential Information, Trade Secrets or Other Confidential Information that are in Consultant’s possession, custody, or control, and any other property belonging to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4.6. Consultant agrees that Consultant will not, through any medium including, but not limited to, the press, Internet or any other form of communication, disparage, defame, or otherwise damage or assail the reputation, integrity or professionalism of the Company. Nothing in this Agreement should be read to restrict or impede Consultant’s participation in proceedings or investigations brought by or before the United States Equal Employment Opportunity Commission, National Labor Relations Board, or other federal, state or local government agencies, or otherwise exercising protected rights to the extent that such rights cannot be waived by agreement, including Section 7 rights under the National Labor Relations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4.7. Consultant hereby acknowledges and reaffirms Consultant’s obligations under the NDIA, the terms of which are incorporated herein by reference.</w:t>
      </w:r>
    </w:p>
    <w:p>
      <w:pPr>
        <w:spacing w:after="0" w:line="16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The foregoing provisions of this Section 4 are subject to the Protected Rights set forth in Section 6 below.</w:t>
      </w:r>
    </w:p>
    <w:p>
      <w:pPr>
        <w:spacing w:after="0" w:line="221" w:lineRule="exact"/>
        <w:rPr>
          <w:sz w:val="20"/>
          <w:szCs w:val="20"/>
          <w:color w:val="auto"/>
        </w:rPr>
      </w:pPr>
    </w:p>
    <w:p>
      <w:pPr>
        <w:ind w:left="640" w:hanging="632"/>
        <w:spacing w:after="0"/>
        <w:tabs>
          <w:tab w:leader="none" w:pos="6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Non-solicitation of Employees and Independent Contractors.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term of this Agreement, Consultant will not, without the prior consent of the Company, directly or indirectly, on Consultant’s own behalf or in the service or on behalf of others solicit, interfere with, divert, recruit or attempt to recruit any employee or independent contractor of the Company to leave such employment or engagement, whether or not such engagement is pursuant to a written contract by the Company or at will. Without limiting the restrictions applicable to Consultant under the NDIA, in the event Consultant voluntarily terminates this Agreement pursuant to Section 2.5 hereof prior to the 18 month anniversary of the Separation Date, Consultant acknowledges and agrees that Consultant’s obligations under this Section 5 survive and are not affected by such termination and shall continue to apply to Consultant until the 18 month anniversary of the Separation Date.</w:t>
      </w:r>
    </w:p>
    <w:p>
      <w:pPr>
        <w:spacing w:after="0" w:line="345" w:lineRule="exact"/>
        <w:rPr>
          <w:sz w:val="20"/>
          <w:szCs w:val="20"/>
          <w:color w:val="auto"/>
        </w:rPr>
      </w:pPr>
    </w:p>
    <w:p>
      <w:pPr>
        <w:ind w:left="20"/>
        <w:spacing w:after="0"/>
        <w:tabs>
          <w:tab w:leader="none" w:pos="5320" w:val="left"/>
          <w:tab w:leader="none" w:pos="992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4 of 9</w:t>
      </w:r>
      <w:r>
        <w:rPr>
          <w:sz w:val="20"/>
          <w:szCs w:val="20"/>
          <w:color w:val="auto"/>
        </w:rPr>
        <w:tab/>
      </w:r>
      <w:r>
        <w:rPr>
          <w:rFonts w:ascii="Times New Roman" w:cs="Times New Roman" w:eastAsia="Times New Roman" w:hAnsi="Times New Roman"/>
          <w:sz w:val="14"/>
          <w:szCs w:val="14"/>
          <w:color w:val="auto"/>
        </w:rPr>
        <w:t>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ind w:left="640" w:hanging="632"/>
        <w:spacing w:after="0"/>
        <w:tabs>
          <w:tab w:leader="none" w:pos="6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Protected Rights.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Consultant has the right under federal law to certain protections for cooperating with or reporting legal violations to the Securities and Exchange Commission (the “SEC”) and/or its Office of the Whistleblower, as well as certain other governmental entities and self-regulatory organizations. As such, nothing in this Agreement or otherwise prohibits or limits the Consultant from disclosing this Agreement to, or from cooperating with or reporting violations to or initiating communications with, the SEC or any other such governmental entity or self-regulatory organization, and the Consultant may do so without notifying the Company. Neither the Company nor any of its subsidiaries or affiliates may retaliate against the Consultant for any of these activities, and nothing in this Agreement or otherwise requires the Consultant to waive any monetary award or other payment that the Consultant might become entitled to from the SEC or any other governmental entity or self-regulatory organization. Moreover, nothing in this Agreement or otherwise prohibits the Consultant from notifying the Company that the Consultant is going to make a report or disclosure to law enforcement. Notwithstanding anything to the contrary in this Agreement or otherwise, as provided for in the Defend Trade Secrets Act of 2016 (18 U.S.C. § 1833(b)), the Consultant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Without limiting the foregoing, if the Consultant files a lawsuit for retaliation by the Company for reporting a suspected violation of law, the Consultant may disclose the trade secret to his or her attorney and use the trade secret information in the court proceeding, if the Consultant (x) files any document containing the trade secret under seal, and (y) does not disclose the trade secret, except pursuant to court order.</w:t>
      </w:r>
    </w:p>
    <w:p>
      <w:pPr>
        <w:spacing w:after="0" w:line="192" w:lineRule="exact"/>
        <w:rPr>
          <w:sz w:val="20"/>
          <w:szCs w:val="20"/>
          <w:color w:val="auto"/>
        </w:rPr>
      </w:pPr>
    </w:p>
    <w:p>
      <w:pPr>
        <w:ind w:left="680" w:hanging="672"/>
        <w:spacing w:after="0"/>
        <w:tabs>
          <w:tab w:leader="none" w:pos="68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 and Special Severability.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7.1. Consultant acknowledges and agrees that by virtue of the duties and responsibilities attendant to Consultant’s performance of the Services and the special knowledge of the Company’s affairs, business, clients, and operations, that the Company will have as a consequence of such Services, irreparable loss and damage if Consultant should breach or violate any of the covenants and agreements contained in Sections 4, 5, and/or 8 hereof. Consultant further acknowledges and agrees that each of such covenants is reasonably necessary to protect and preserve the business and the assets of the Company. Consultant acknowledges and agrees that the Company will have no adequate remedy at law and would be irreparably harmed, if Consultant actually breaches or threatens to breach any of the provisions of Sections 4 and/or 5 hereof. Consultant agrees that the Company shall be entitled to equitable and/or injunctive relief, if legally warranted, to prevent any actual breach or contemplated breach of Sections 4 and/or 5 hereof, and to specific performance of each of the terms of such Section in addition to any other legal or equitable remedies that the Company may have. Consultant further agrees that he shall not, in any equity proceeding relating to the enforcement of the terms of this Sections 4, 5 and/or 7 hereof, raise the defense that the Company has an adequate remedy at law.</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7.2. Nothing contained in this Agreement shall limit, abridge, or modify the rights of the Company under applicable trade secret, trademark, copyright, or patent law or under the laws of unfair competition.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7.3. The terms and provisions of Sections 4, 5, and/or 7 hereof are intended to be separate and divisible provisions and if, for any reason, any one or more of them is held to be invalid or unenforceable, neither the validity nor the enforceability of any other provision of this Agreement shall thereby be affected. It is the intention of the parties to this Agreement that the potential restrictions on Consultant’s conduct are reasonable in both duration and geographic scope and in all other respects. If for any reason any court of competent jurisdiction shall find any provisions of Sections 4, 5, and/or 7 unreasonable in duration or geographic scope or otherwise, the restrictions and prohibitions contained therein shall be effective to the fullest extent allowed under applicable law in such jurisdiction.</w:t>
      </w:r>
    </w:p>
    <w:p>
      <w:pPr>
        <w:spacing w:after="0" w:line="345" w:lineRule="exact"/>
        <w:rPr>
          <w:sz w:val="20"/>
          <w:szCs w:val="20"/>
          <w:color w:val="auto"/>
        </w:rPr>
      </w:pPr>
    </w:p>
    <w:p>
      <w:pPr>
        <w:ind w:left="20"/>
        <w:spacing w:after="0"/>
        <w:tabs>
          <w:tab w:leader="none" w:pos="5320" w:val="left"/>
          <w:tab w:leader="none" w:pos="992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5 of 9</w:t>
      </w:r>
      <w:r>
        <w:rPr>
          <w:sz w:val="20"/>
          <w:szCs w:val="20"/>
          <w:color w:val="auto"/>
        </w:rPr>
        <w:tab/>
      </w:r>
      <w:r>
        <w:rPr>
          <w:rFonts w:ascii="Times New Roman" w:cs="Times New Roman" w:eastAsia="Times New Roman" w:hAnsi="Times New Roman"/>
          <w:sz w:val="14"/>
          <w:szCs w:val="14"/>
          <w:color w:val="auto"/>
        </w:rPr>
        <w:t>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9" w:name="page220"/>
    <w:bookmarkEnd w:id="219"/>
    <w:p>
      <w:pPr>
        <w:ind w:left="640" w:hanging="632"/>
        <w:spacing w:after="0"/>
        <w:tabs>
          <w:tab w:leader="none" w:pos="6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  Consultant represents, warrants and covenants that:</w:t>
      </w:r>
    </w:p>
    <w:p>
      <w:pPr>
        <w:spacing w:after="0" w:line="225" w:lineRule="exact"/>
        <w:rPr>
          <w:sz w:val="20"/>
          <w:szCs w:val="20"/>
          <w:color w:val="auto"/>
        </w:rPr>
      </w:pPr>
    </w:p>
    <w:p>
      <w:pPr>
        <w:jc w:val="both"/>
        <w:ind w:left="1540" w:hanging="552"/>
        <w:spacing w:after="0" w:line="258" w:lineRule="auto"/>
        <w:tabs>
          <w:tab w:leader="none" w:pos="1520" w:val="left"/>
        </w:tabs>
        <w:rPr>
          <w:sz w:val="20"/>
          <w:szCs w:val="20"/>
          <w:color w:val="auto"/>
        </w:rPr>
      </w:pPr>
      <w:r>
        <w:rPr>
          <w:rFonts w:ascii="Times New Roman" w:cs="Times New Roman" w:eastAsia="Times New Roman" w:hAnsi="Times New Roman"/>
          <w:sz w:val="18"/>
          <w:szCs w:val="18"/>
          <w:color w:val="auto"/>
        </w:rPr>
        <w:t>8.1.1</w:t>
        <w:tab/>
        <w:t>Consultant has not been debarred or received notice of any action or threat with respect to debarment under the provisions of the Generic Drug Enforcement Act of 1992, 21 U.S.C. § 335(a) or any similar legislation applicable in the US or in any other country where the Company intends to develop its activities and Consultant agrees to promptly notify the Company upon receipt of any such notice or similar notice and further agrees, upon the Company’s request, to provide a separate written certification, on a form provided by the Company, to this effect;</w:t>
      </w:r>
    </w:p>
    <w:p>
      <w:pPr>
        <w:spacing w:after="0" w:line="183" w:lineRule="exact"/>
        <w:rPr>
          <w:sz w:val="20"/>
          <w:szCs w:val="20"/>
          <w:color w:val="auto"/>
        </w:rPr>
      </w:pPr>
    </w:p>
    <w:p>
      <w:pPr>
        <w:jc w:val="both"/>
        <w:ind w:left="1540" w:hanging="552"/>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8.1.2</w:t>
        <w:tab/>
        <w:t>Consultant has not made, offered or solicited and will not make, offer or solicit any remuneration, kickbacks, or anything else of value to any person or entity in violation of the federal Anti-Kickback Statute (42 U.S.C. § 1320-a7b(b)) or any applicable state anti-kickback statutes;</w:t>
      </w:r>
    </w:p>
    <w:p>
      <w:pPr>
        <w:spacing w:after="0" w:line="176" w:lineRule="exact"/>
        <w:rPr>
          <w:sz w:val="20"/>
          <w:szCs w:val="20"/>
          <w:color w:val="auto"/>
        </w:rPr>
      </w:pPr>
    </w:p>
    <w:p>
      <w:pPr>
        <w:jc w:val="both"/>
        <w:ind w:left="1540" w:hanging="552"/>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8.1.3.</w:t>
        <w:tab/>
        <w:t>Consultant conducts its businesses in compliance in all material respects with the United States Foreign Corrupt Practices Act, as amended, the UK Bribery Act, and other similar anti- corruption legislation in other jurisdictions.</w:t>
      </w:r>
    </w:p>
    <w:p>
      <w:pPr>
        <w:spacing w:after="0" w:line="162" w:lineRule="exact"/>
        <w:rPr>
          <w:sz w:val="20"/>
          <w:szCs w:val="20"/>
          <w:color w:val="auto"/>
        </w:rPr>
      </w:pPr>
    </w:p>
    <w:p>
      <w:pPr>
        <w:jc w:val="both"/>
        <w:ind w:left="1540" w:hanging="552"/>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8.1.4.</w:t>
        <w:tab/>
        <w:t>Consultant will not, engage in any activity, practice or conduct that would breach or contravene all applicable laws regarding tax evasion or the facilitation of tax evasion in connection with this Agreement;</w:t>
      </w:r>
    </w:p>
    <w:p>
      <w:pPr>
        <w:spacing w:after="0" w:line="162" w:lineRule="exact"/>
        <w:rPr>
          <w:sz w:val="20"/>
          <w:szCs w:val="20"/>
          <w:color w:val="auto"/>
        </w:rPr>
      </w:pPr>
    </w:p>
    <w:p>
      <w:pPr>
        <w:jc w:val="both"/>
        <w:ind w:left="1540" w:hanging="552"/>
        <w:spacing w:after="0" w:line="256" w:lineRule="auto"/>
        <w:tabs>
          <w:tab w:leader="none" w:pos="1520" w:val="left"/>
        </w:tabs>
        <w:rPr>
          <w:sz w:val="20"/>
          <w:szCs w:val="20"/>
          <w:color w:val="auto"/>
        </w:rPr>
      </w:pPr>
      <w:r>
        <w:rPr>
          <w:rFonts w:ascii="Times New Roman" w:cs="Times New Roman" w:eastAsia="Times New Roman" w:hAnsi="Times New Roman"/>
          <w:sz w:val="18"/>
          <w:szCs w:val="18"/>
          <w:color w:val="auto"/>
        </w:rPr>
        <w:t>8.1.5.</w:t>
        <w:tab/>
        <w:t>With respect to any committee of which Consultant is a member and which (a) sets drug formularies; and/or (b) develops clinical practice guidelines (“Committee”), Consultant shall inform such Committee of the existence of this Agreement and the nature of the Services provided by Consultant hereunder. Such disclosures shall be made on a confidential basis. Furthermore, Consultant shall follow the procedures set forth by the Committee to avoid any appearance of impropriety that may result from Consultant’s performance of the Services. The obligations of this section shall remain for two (2) years following the termination or expiration of this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8.2. Consultant shall notify Company immediately if, at any time during the term of this Agreement, any compliance representation and warranty is no longer true, complete, or accurate.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8.3. Notwithstanding anything to the contrary in this Agreement, Company may, in addition to its other rights and remedies it may have, immediately terminate this Agreement in the event Company receives any information which it, in good faith, determines to be evidence of an actual, alleged, possible or potential breach by Consultant of any compliance representation, warranty or covenant. In the event of such termination, Company shall have no liability to Consultant for any charges, fees, reimbursements or other compensation or claims under this Agreement, including for services previously performed, and Consultant shall be responsible for any loss, cost, claim, liability, penalty or damage Company may incur resulting from the breach of this Section 8 (including, without limitation, those arising as a consequence of Company’s termination of this Agreement).</w:t>
      </w:r>
    </w:p>
    <w:p>
      <w:pPr>
        <w:spacing w:after="0" w:line="345" w:lineRule="exact"/>
        <w:rPr>
          <w:sz w:val="20"/>
          <w:szCs w:val="20"/>
          <w:color w:val="auto"/>
        </w:rPr>
      </w:pPr>
    </w:p>
    <w:p>
      <w:pPr>
        <w:ind w:left="20"/>
        <w:spacing w:after="0"/>
        <w:tabs>
          <w:tab w:leader="none" w:pos="5320" w:val="left"/>
          <w:tab w:leader="none" w:pos="992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6 of 9</w:t>
      </w:r>
      <w:r>
        <w:rPr>
          <w:sz w:val="20"/>
          <w:szCs w:val="20"/>
          <w:color w:val="auto"/>
        </w:rPr>
        <w:tab/>
      </w:r>
      <w:r>
        <w:rPr>
          <w:rFonts w:ascii="Times New Roman" w:cs="Times New Roman" w:eastAsia="Times New Roman" w:hAnsi="Times New Roman"/>
          <w:sz w:val="14"/>
          <w:szCs w:val="14"/>
          <w:color w:val="auto"/>
        </w:rPr>
        <w:t>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0" w:name="page221"/>
    <w:bookmarkEnd w:id="220"/>
    <w:p>
      <w:pPr>
        <w:ind w:left="640" w:hanging="632"/>
        <w:spacing w:after="0"/>
        <w:tabs>
          <w:tab w:leader="none" w:pos="64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Insider Trading.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Consultant may come into possession of material nonpublic information related to Company’s publicly listed affiliates as a result of its relationship with the Company. Consultant acknowledges the securities trading laws and regulations applicable to US listed entities and agrees to act in accordance with such laws and regulations while in possession of such information.</w:t>
      </w:r>
    </w:p>
    <w:p>
      <w:pPr>
        <w:spacing w:after="0" w:line="172" w:lineRule="exact"/>
        <w:rPr>
          <w:sz w:val="20"/>
          <w:szCs w:val="20"/>
          <w:color w:val="auto"/>
        </w:rPr>
      </w:pPr>
    </w:p>
    <w:p>
      <w:pPr>
        <w:ind w:left="640" w:hanging="632"/>
        <w:spacing w:after="0"/>
        <w:tabs>
          <w:tab w:leader="none" w:pos="64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to any party shall be deemed to be sufficient if contained in a written instrument delivered in person (including delivery by overnight or express courier) or duly sent by certified mail, return receipt requested, proper postage prepaid, addressed to such party at the address set forth below or such other addresses as may hereafter be designated in writing by the addressee to the addressor listing all parties:</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Roivant 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151 West 42</w:t>
      </w:r>
      <w:r>
        <w:rPr>
          <w:rFonts w:ascii="Times New Roman" w:cs="Times New Roman" w:eastAsia="Times New Roman" w:hAnsi="Times New Roman"/>
          <w:sz w:val="13"/>
          <w:szCs w:val="13"/>
          <w:color w:val="auto"/>
        </w:rPr>
        <w:t>nd</w:t>
      </w:r>
      <w:r>
        <w:rPr>
          <w:rFonts w:ascii="Times New Roman" w:cs="Times New Roman" w:eastAsia="Times New Roman" w:hAnsi="Times New Roman"/>
          <w:sz w:val="17"/>
          <w:szCs w:val="17"/>
          <w:color w:val="auto"/>
        </w:rPr>
        <w:t xml:space="preserve"> Street,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0" w:lineRule="exact"/>
        <w:rPr>
          <w:sz w:val="20"/>
          <w:szCs w:val="20"/>
          <w:color w:val="auto"/>
        </w:rPr>
      </w:pPr>
    </w:p>
    <w:p>
      <w:pPr>
        <w:sectPr>
          <w:pgSz w:w="11900" w:h="16838" w:orient="portrait"/>
          <w:cols w:equalWidth="0" w:num="2">
            <w:col w:w="1400" w:space="400"/>
            <w:col w:w="9440"/>
          </w:cols>
          <w:pgMar w:left="320" w:top="117"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Consultant: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Latest address of Consultant on file with the Company</w:t>
      </w:r>
    </w:p>
    <w:p>
      <w:pPr>
        <w:spacing w:after="0" w:line="200" w:lineRule="exact"/>
        <w:rPr>
          <w:sz w:val="20"/>
          <w:szCs w:val="20"/>
          <w:color w:val="auto"/>
        </w:rPr>
      </w:pPr>
    </w:p>
    <w:p>
      <w:pPr>
        <w:sectPr>
          <w:pgSz w:w="11900" w:h="16838" w:orient="portrait"/>
          <w:cols w:equalWidth="0" w:num="2">
            <w:col w:w="1480" w:space="320"/>
            <w:col w:w="9440"/>
          </w:cols>
          <w:pgMar w:left="320" w:top="117" w:right="339" w:bottom="1440" w:gutter="0" w:footer="0" w:header="0"/>
          <w:type w:val="continuous"/>
        </w:sectPr>
      </w:pPr>
    </w:p>
    <w:p>
      <w:pPr>
        <w:spacing w:after="0" w:line="3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such notices, advices, and communications shall be deemed to have been received (a) in the case of personal delivery, on the date of actual personal receipt, and (b) in the case of mailing, on the third day after the posting by certified mail, return receipt requested.</w:t>
      </w:r>
    </w:p>
    <w:p>
      <w:pPr>
        <w:spacing w:after="0" w:line="158" w:lineRule="exact"/>
        <w:rPr>
          <w:sz w:val="20"/>
          <w:szCs w:val="20"/>
          <w:color w:val="auto"/>
        </w:rPr>
      </w:pPr>
    </w:p>
    <w:p>
      <w:pPr>
        <w:ind w:left="620" w:hanging="612"/>
        <w:spacing w:after="0"/>
        <w:tabs>
          <w:tab w:leader="none" w:pos="62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rights and obligations of the Company under this Agreement shall inure to the benefit of and shall be binding upon the successors and assigns of the Company. This Agreement is a personal service agreement and may not be assigned in whole or in part by Consultant.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the terms of this Agreement conflict with the terms of that Separation Agreement, the terms of the Separation Agreement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w:t>
      </w:r>
    </w:p>
    <w:p>
      <w:pPr>
        <w:spacing w:after="0" w:line="203" w:lineRule="exact"/>
        <w:rPr>
          <w:sz w:val="20"/>
          <w:szCs w:val="20"/>
          <w:color w:val="auto"/>
        </w:rPr>
      </w:pPr>
    </w:p>
    <w:p>
      <w:pPr>
        <w:ind w:left="640" w:hanging="632"/>
        <w:spacing w:after="0"/>
        <w:tabs>
          <w:tab w:leader="none" w:pos="64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Severable Provisions.</w:t>
      </w:r>
    </w:p>
    <w:p>
      <w:pPr>
        <w:spacing w:after="0" w:line="229" w:lineRule="exact"/>
        <w:rPr>
          <w:sz w:val="20"/>
          <w:szCs w:val="20"/>
          <w:color w:val="auto"/>
        </w:rPr>
      </w:pPr>
    </w:p>
    <w:p>
      <w:pPr>
        <w:jc w:val="both"/>
        <w:ind w:left="100" w:right="160" w:firstLine="648"/>
        <w:spacing w:after="0" w:line="266" w:lineRule="auto"/>
        <w:rPr>
          <w:sz w:val="20"/>
          <w:szCs w:val="20"/>
          <w:color w:val="auto"/>
        </w:rPr>
      </w:pPr>
      <w:r>
        <w:rPr>
          <w:rFonts w:ascii="Times New Roman" w:cs="Times New Roman" w:eastAsia="Times New Roman" w:hAnsi="Times New Roman"/>
          <w:sz w:val="18"/>
          <w:szCs w:val="18"/>
          <w:color w:val="auto"/>
        </w:rPr>
        <w:t>The provisions of this Agreement are severable and if any one or more provisions may be determined to be illegal or otherwise unenforceable, in whole or in part, the remaining provisions, and any partial enforceable provision to the extent enforceable in any jurisdiction, shall nevertheless be binding and enforceable.</w:t>
      </w:r>
    </w:p>
    <w:p>
      <w:pPr>
        <w:spacing w:after="0" w:line="333" w:lineRule="exact"/>
        <w:rPr>
          <w:sz w:val="20"/>
          <w:szCs w:val="20"/>
          <w:color w:val="auto"/>
        </w:rPr>
      </w:pPr>
    </w:p>
    <w:p>
      <w:pPr>
        <w:ind w:left="20"/>
        <w:spacing w:after="0"/>
        <w:tabs>
          <w:tab w:leader="none" w:pos="5320" w:val="left"/>
          <w:tab w:leader="none" w:pos="992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7 of 9</w:t>
      </w:r>
      <w:r>
        <w:rPr>
          <w:sz w:val="20"/>
          <w:szCs w:val="20"/>
          <w:color w:val="auto"/>
        </w:rPr>
        <w:tab/>
      </w:r>
      <w:r>
        <w:rPr>
          <w:rFonts w:ascii="Times New Roman" w:cs="Times New Roman" w:eastAsia="Times New Roman" w:hAnsi="Times New Roman"/>
          <w:sz w:val="14"/>
          <w:szCs w:val="14"/>
          <w:color w:val="auto"/>
        </w:rPr>
        <w:t>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1" w:name="page222"/>
    <w:bookmarkEnd w:id="221"/>
    <w:p>
      <w:pPr>
        <w:ind w:left="680" w:hanging="672"/>
        <w:spacing w:after="0"/>
        <w:tabs>
          <w:tab w:leader="none" w:pos="68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waiver by one party of a breach of any provision of this Agreement by the other party shall not operate or be construed as a waiver of any subsequent breach of the same or any other provision by the other party.</w:t>
      </w:r>
    </w:p>
    <w:p>
      <w:pPr>
        <w:spacing w:after="0" w:line="158" w:lineRule="exact"/>
        <w:rPr>
          <w:sz w:val="20"/>
          <w:szCs w:val="20"/>
          <w:color w:val="auto"/>
        </w:rPr>
      </w:pPr>
    </w:p>
    <w:p>
      <w:pPr>
        <w:ind w:left="720" w:hanging="712"/>
        <w:spacing w:after="0"/>
        <w:tabs>
          <w:tab w:leader="none" w:pos="72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(together with the Separation Agreement) constitutes the entire agreement of the parties hereto with respect to Consultant’s provision of the Services and supersedes all prior agreements, understandings, discussions, negotiations and undertakings, whether written or oral, between the parties with respect thereto and may not be changed orally, but only by an agreement in writing signed by the party against whom the enforcement of any waiver, change, modification, extension, or discharge is sought.</w:t>
      </w:r>
    </w:p>
    <w:p>
      <w:pPr>
        <w:spacing w:after="0" w:line="176" w:lineRule="exact"/>
        <w:rPr>
          <w:sz w:val="20"/>
          <w:szCs w:val="20"/>
          <w:color w:val="auto"/>
        </w:rPr>
      </w:pPr>
    </w:p>
    <w:p>
      <w:pPr>
        <w:ind w:left="680" w:hanging="672"/>
        <w:spacing w:after="0"/>
        <w:tabs>
          <w:tab w:leader="none" w:pos="68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each of which shall be deemed an original, but all which together shall constitute one and the same instrument. Signatures to this Agreement transmitted by facsimile, by electronic mail in “portable document format” (“.pdf”), or by any other electronic means which preserves the original graphic and pictorial appearance of the Agreement, shall have the same effect as physical delivery of the paper document bearing the original signature.</w:t>
      </w:r>
    </w:p>
    <w:p>
      <w:pPr>
        <w:spacing w:after="0" w:line="176" w:lineRule="exact"/>
        <w:rPr>
          <w:sz w:val="20"/>
          <w:szCs w:val="20"/>
          <w:color w:val="auto"/>
        </w:rPr>
      </w:pPr>
    </w:p>
    <w:p>
      <w:pPr>
        <w:ind w:left="680" w:hanging="672"/>
        <w:spacing w:after="0"/>
        <w:tabs>
          <w:tab w:leader="none" w:pos="68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Jurisdiction.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be governed by and interpreted under the laws of the State of New York, without giving effect to the principles of conflicts of law of any jurisdiction. The parties will submit any dispute or claim arising under this Agreement to the exclusive jurisdiction of the U.S. federal or New York state courts within New York County, and the parties hereby submit to, and waive any objection to, personal jurisdiction and venue in such courts for such purpose.</w:t>
      </w:r>
    </w:p>
    <w:p>
      <w:pPr>
        <w:spacing w:after="0" w:line="176" w:lineRule="exact"/>
        <w:rPr>
          <w:sz w:val="20"/>
          <w:szCs w:val="20"/>
          <w:color w:val="auto"/>
        </w:rPr>
      </w:pPr>
    </w:p>
    <w:p>
      <w:pPr>
        <w:ind w:left="680" w:hanging="672"/>
        <w:spacing w:after="0"/>
        <w:tabs>
          <w:tab w:leader="none" w:pos="68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Dispute Resolution.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dispute, claim or controversy arising out of or in connection with this Agreement, including any dispute regarding its existence, validity or termination (the “Dispute”), except to the extent that the Company is seeking injunctive relief pursuant to Sections 5, 6, or 7 hereunder, shall be finally resolved through arbitration under the Commercial Arbitration Rules of the American Arbitration Association in force as of the date of this Agreement (the “Rules”). The Dispute shall be resolved by a sole arbitrator appointed in accordance with the Rules. The place of arbitration shall be New York City, New York. The arbitration shall be conducted in the English language. The award issued by the sole arbitrator shall be final and binding upon the parties and shall not be subject to appeal.</w:t>
      </w:r>
    </w:p>
    <w:p>
      <w:pPr>
        <w:spacing w:after="0" w:line="183" w:lineRule="exact"/>
        <w:rPr>
          <w:sz w:val="20"/>
          <w:szCs w:val="20"/>
          <w:color w:val="auto"/>
        </w:rPr>
      </w:pPr>
    </w:p>
    <w:p>
      <w:pPr>
        <w:ind w:left="680" w:hanging="672"/>
        <w:spacing w:after="0"/>
        <w:tabs>
          <w:tab w:leader="none" w:pos="68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captions of this Agreement are not part of the provisions hereof and shall have no force or effect.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85" w:lineRule="exact"/>
        <w:rPr>
          <w:sz w:val="20"/>
          <w:szCs w:val="20"/>
          <w:color w:val="auto"/>
        </w:rPr>
      </w:pPr>
    </w:p>
    <w:p>
      <w:pPr>
        <w:ind w:left="20"/>
        <w:spacing w:after="0"/>
        <w:tabs>
          <w:tab w:leader="none" w:pos="5320" w:val="left"/>
          <w:tab w:leader="none" w:pos="992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8 of 9</w:t>
      </w:r>
      <w:r>
        <w:rPr>
          <w:sz w:val="20"/>
          <w:szCs w:val="20"/>
          <w:color w:val="auto"/>
        </w:rPr>
        <w:tab/>
      </w:r>
      <w:r>
        <w:rPr>
          <w:rFonts w:ascii="Times New Roman" w:cs="Times New Roman" w:eastAsia="Times New Roman" w:hAnsi="Times New Roman"/>
          <w:sz w:val="14"/>
          <w:szCs w:val="14"/>
          <w:color w:val="auto"/>
        </w:rPr>
        <w:t>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2" w:name="page223"/>
    <w:bookmarkEnd w:id="222"/>
    <w:p>
      <w:pPr>
        <w:ind w:left="660"/>
        <w:spacing w:after="0"/>
        <w:rPr>
          <w:sz w:val="20"/>
          <w:szCs w:val="20"/>
          <w:color w:val="auto"/>
        </w:rPr>
      </w:pPr>
      <w:r>
        <w:rPr>
          <w:rFonts w:ascii="Times New Roman" w:cs="Times New Roman" w:eastAsia="Times New Roman" w:hAnsi="Times New Roman"/>
          <w:sz w:val="18"/>
          <w:szCs w:val="18"/>
          <w:color w:val="auto"/>
        </w:rPr>
        <w:t>IN WITNESS WHEREOF, the duly authorized representatives of the parties hereto have caused this Agreement to be duly executed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ROIVANT SCIENCES, INC.</w:t>
            </w:r>
          </w:p>
        </w:tc>
        <w:tc>
          <w:tcPr>
            <w:tcW w:w="618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RAKHI KUMAR</w:t>
            </w: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618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(“Consultant”)</w:t>
            </w: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Eric Venker</w:t>
            </w:r>
          </w:p>
        </w:tc>
        <w:tc>
          <w:tcPr>
            <w:tcW w:w="18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 Rakhi Kumar</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Venker</w:t>
            </w:r>
          </w:p>
        </w:tc>
        <w:tc>
          <w:tcPr>
            <w:tcW w:w="18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4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Rakhi Kumar</w:t>
            </w:r>
          </w:p>
        </w:tc>
        <w:tc>
          <w:tcPr>
            <w:tcW w:w="20" w:type="dxa"/>
            <w:vAlign w:val="bottom"/>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Operating officer, Roivant</w:t>
            </w:r>
          </w:p>
        </w:tc>
        <w:tc>
          <w:tcPr>
            <w:tcW w:w="18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tcPr>
          <w:p>
            <w:pPr>
              <w:spacing w:after="0"/>
              <w:rPr>
                <w:sz w:val="19"/>
                <w:szCs w:val="19"/>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Healthcare Executive</w:t>
            </w:r>
          </w:p>
        </w:tc>
        <w:tc>
          <w:tcPr>
            <w:tcW w:w="20" w:type="dxa"/>
            <w:vAlign w:val="bottom"/>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3/17/2025</w:t>
            </w:r>
          </w:p>
        </w:tc>
        <w:tc>
          <w:tcPr>
            <w:tcW w:w="18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Date:</w:t>
            </w:r>
          </w:p>
        </w:tc>
        <w:tc>
          <w:tcPr>
            <w:tcW w:w="220" w:type="dxa"/>
            <w:vAlign w:val="bottom"/>
          </w:tcPr>
          <w:p>
            <w:pPr>
              <w:spacing w:after="0"/>
              <w:rPr>
                <w:sz w:val="19"/>
                <w:szCs w:val="19"/>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3/16/2025</w:t>
            </w:r>
          </w:p>
        </w:tc>
        <w:tc>
          <w:tcPr>
            <w:tcW w:w="20" w:type="dxa"/>
            <w:vAlign w:val="bottom"/>
          </w:tcPr>
          <w:p>
            <w:pPr>
              <w:spacing w:after="0"/>
              <w:rPr>
                <w:sz w:val="19"/>
                <w:szCs w:val="19"/>
                <w:color w:val="auto"/>
              </w:rPr>
            </w:pPr>
          </w:p>
        </w:tc>
      </w:tr>
      <w:tr>
        <w:trPr>
          <w:trHeight w:val="59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CONFIDENTIAL</w:t>
            </w:r>
          </w:p>
        </w:tc>
        <w:tc>
          <w:tcPr>
            <w:tcW w:w="1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Page 9 of 9</w:t>
            </w:r>
          </w:p>
        </w:tc>
        <w:tc>
          <w:tcPr>
            <w:tcW w:w="220" w:type="dxa"/>
            <w:vAlign w:val="bottom"/>
          </w:tcPr>
          <w:p>
            <w:pPr>
              <w:spacing w:after="0"/>
              <w:rPr>
                <w:sz w:val="24"/>
                <w:szCs w:val="24"/>
                <w:color w:val="auto"/>
              </w:rPr>
            </w:pPr>
          </w:p>
        </w:tc>
        <w:tc>
          <w:tcPr>
            <w:tcW w:w="4160" w:type="dxa"/>
            <w:vAlign w:val="bottom"/>
            <w:gridSpan w:val="2"/>
          </w:tcPr>
          <w:p>
            <w:pPr>
              <w:ind w:left="2840"/>
              <w:spacing w:after="0"/>
              <w:rPr>
                <w:sz w:val="20"/>
                <w:szCs w:val="20"/>
                <w:color w:val="auto"/>
              </w:rPr>
            </w:pPr>
            <w:r>
              <w:rPr>
                <w:rFonts w:ascii="Times New Roman" w:cs="Times New Roman" w:eastAsia="Times New Roman" w:hAnsi="Times New Roman"/>
                <w:sz w:val="14"/>
                <w:szCs w:val="14"/>
                <w:color w:val="auto"/>
              </w:rPr>
              <w:t>Consulting Agreement</w:t>
            </w:r>
          </w:p>
        </w:tc>
      </w:tr>
      <w:tr>
        <w:trPr>
          <w:trHeight w:val="84"/>
        </w:trPr>
        <w:tc>
          <w:tcPr>
            <w:tcW w:w="920" w:type="dxa"/>
            <w:vAlign w:val="bottom"/>
            <w:tcBorders>
              <w:bottom w:val="single" w:sz="8" w:color="auto"/>
            </w:tcBorders>
          </w:tcPr>
          <w:p>
            <w:pPr>
              <w:spacing w:after="0"/>
              <w:rPr>
                <w:sz w:val="7"/>
                <w:szCs w:val="7"/>
                <w:color w:val="auto"/>
              </w:rPr>
            </w:pPr>
          </w:p>
        </w:tc>
        <w:tc>
          <w:tcPr>
            <w:tcW w:w="416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19</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Effective as of May 28, 2025</w:t>
      </w:r>
    </w:p>
    <w:p>
      <w:pPr>
        <w:spacing w:after="0" w:line="223" w:lineRule="exact"/>
        <w:rPr>
          <w:sz w:val="20"/>
          <w:szCs w:val="20"/>
          <w:color w:val="auto"/>
        </w:rPr>
      </w:pPr>
    </w:p>
    <w:p>
      <w:pPr>
        <w:ind w:left="1300" w:hanging="658"/>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Introduction</w:t>
      </w:r>
    </w:p>
    <w:p>
      <w:pPr>
        <w:spacing w:after="0" w:line="223" w:lineRule="exact"/>
        <w:rPr>
          <w:sz w:val="20"/>
          <w:szCs w:val="20"/>
          <w:color w:val="auto"/>
        </w:rPr>
      </w:pPr>
    </w:p>
    <w:p>
      <w:pPr>
        <w:ind w:right="380" w:firstLine="648"/>
        <w:spacing w:after="0" w:line="278" w:lineRule="auto"/>
        <w:rPr>
          <w:sz w:val="20"/>
          <w:szCs w:val="20"/>
          <w:color w:val="auto"/>
        </w:rPr>
      </w:pPr>
      <w:r>
        <w:rPr>
          <w:rFonts w:ascii="Times New Roman" w:cs="Times New Roman" w:eastAsia="Times New Roman" w:hAnsi="Times New Roman"/>
          <w:sz w:val="17"/>
          <w:szCs w:val="17"/>
          <w:color w:val="auto"/>
        </w:rPr>
        <w:t>This Insider Trading Policy (this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determines acceptable transactions in the securities of Roivant Sciences Ltd. (“</w:t>
      </w:r>
      <w:r>
        <w:rPr>
          <w:rFonts w:ascii="Times New Roman" w:cs="Times New Roman" w:eastAsia="Times New Roman" w:hAnsi="Times New Roman"/>
          <w:sz w:val="17"/>
          <w:szCs w:val="17"/>
          <w:b w:val="1"/>
          <w:bCs w:val="1"/>
          <w:color w:val="auto"/>
        </w:rPr>
        <w:t>Roivant</w:t>
      </w:r>
      <w:r>
        <w:rPr>
          <w:rFonts w:ascii="Times New Roman" w:cs="Times New Roman" w:eastAsia="Times New Roman" w:hAnsi="Times New Roman"/>
          <w:sz w:val="17"/>
          <w:szCs w:val="17"/>
          <w:color w:val="auto"/>
        </w:rPr>
        <w:t>”) by directors, executive officers and employees (collectively, “</w:t>
      </w:r>
      <w:r>
        <w:rPr>
          <w:rFonts w:ascii="Times New Roman" w:cs="Times New Roman" w:eastAsia="Times New Roman" w:hAnsi="Times New Roman"/>
          <w:sz w:val="17"/>
          <w:szCs w:val="17"/>
          <w:b w:val="1"/>
          <w:bCs w:val="1"/>
          <w:color w:val="auto"/>
        </w:rPr>
        <w:t>personnel</w:t>
      </w:r>
      <w:r>
        <w:rPr>
          <w:rFonts w:ascii="Times New Roman" w:cs="Times New Roman" w:eastAsia="Times New Roman" w:hAnsi="Times New Roman"/>
          <w:sz w:val="17"/>
          <w:szCs w:val="17"/>
          <w:color w:val="auto"/>
        </w:rPr>
        <w:t>”) of Roivant and its controlled affiliates (each, a “</w:t>
      </w:r>
      <w:r>
        <w:rPr>
          <w:rFonts w:ascii="Times New Roman" w:cs="Times New Roman" w:eastAsia="Times New Roman" w:hAnsi="Times New Roman"/>
          <w:sz w:val="17"/>
          <w:szCs w:val="17"/>
          <w:b w:val="1"/>
          <w:bCs w:val="1"/>
          <w:color w:val="auto"/>
        </w:rPr>
        <w:t>Controlled Affiliate</w:t>
      </w:r>
      <w:r>
        <w:rPr>
          <w:rFonts w:ascii="Times New Roman" w:cs="Times New Roman" w:eastAsia="Times New Roman" w:hAnsi="Times New Roman"/>
          <w:sz w:val="17"/>
          <w:szCs w:val="17"/>
          <w:color w:val="auto"/>
        </w:rPr>
        <w:t>” and, together with Roivant,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addition, to the extent that Roivant has Controlled Affiliates that have publicly traded securities (each such Controlled Affiliate, a “</w:t>
      </w:r>
      <w:r>
        <w:rPr>
          <w:rFonts w:ascii="Times New Roman" w:cs="Times New Roman" w:eastAsia="Times New Roman" w:hAnsi="Times New Roman"/>
          <w:sz w:val="17"/>
          <w:szCs w:val="17"/>
          <w:b w:val="1"/>
          <w:bCs w:val="1"/>
          <w:color w:val="auto"/>
        </w:rPr>
        <w:t>Roivant Group Company</w:t>
      </w:r>
      <w:r>
        <w:rPr>
          <w:rFonts w:ascii="Times New Roman" w:cs="Times New Roman" w:eastAsia="Times New Roman" w:hAnsi="Times New Roman"/>
          <w:sz w:val="17"/>
          <w:szCs w:val="17"/>
          <w:color w:val="auto"/>
        </w:rPr>
        <w:t>” and, together with Roivant, the “</w:t>
      </w:r>
      <w:r>
        <w:rPr>
          <w:rFonts w:ascii="Times New Roman" w:cs="Times New Roman" w:eastAsia="Times New Roman" w:hAnsi="Times New Roman"/>
          <w:sz w:val="17"/>
          <w:szCs w:val="17"/>
          <w:b w:val="1"/>
          <w:bCs w:val="1"/>
          <w:color w:val="auto"/>
        </w:rPr>
        <w:t>Roivant Group Companies</w:t>
      </w:r>
      <w:r>
        <w:rPr>
          <w:rFonts w:ascii="Times New Roman" w:cs="Times New Roman" w:eastAsia="Times New Roman" w:hAnsi="Times New Roman"/>
          <w:sz w:val="17"/>
          <w:szCs w:val="17"/>
          <w:color w:val="auto"/>
        </w:rPr>
        <w:t>”), this Policy determines acceptable transactions in the securities of such Roivant Group Company, in conjunction with the insider trading policy of such Roivant Group Company.</w:t>
      </w:r>
    </w:p>
    <w:p>
      <w:pPr>
        <w:spacing w:after="0" w:line="168"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All Company personnel are required to comply with the provisions of this Policy. To the extent Company personnel are employed by a Roivant Group Company, they are also required to comply with the provisions of the insider trading policy of such Roivant Group Company. In the event of any conflict between this Policy and the terms of the insider trading policy of a Roivant Group Company regarding trading in Roivant securities, this Policy shall control unless otherwise specified below.</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Additionally, because of their access to confidential information on a regular basis, this Policy subjects certain of the Company’s directors, executive officers and employees to additional restrictions on trading in securities of Roivant Group Companies, as discussed herein. Directors, executive officers and employees with inside knowledge of material information may also be subject to ad hoc restrictions on trading from time to time.</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During the course of your directorship, officership or employment with the Company, you may receive material information that is not yet publicly available about the Roivant Group Companies or other publicly-traded companies with which the Company has business dealings (“</w:t>
      </w:r>
      <w:r>
        <w:rPr>
          <w:rFonts w:ascii="Times New Roman" w:cs="Times New Roman" w:eastAsia="Times New Roman" w:hAnsi="Times New Roman"/>
          <w:sz w:val="18"/>
          <w:szCs w:val="18"/>
          <w:b w:val="1"/>
          <w:bCs w:val="1"/>
          <w:color w:val="auto"/>
        </w:rPr>
        <w:t>inside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Inside information can include confidential information received from third parties in the course of such third parties exploring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 with the Company.</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Compliance with the terms of this Policy is essential to protect both the Company and Company personnel from legal penalties, fines and other potential sanctions, including imprisonment. Any Company personnel who are found to have violated this Policy will be subject to disciplinary action, up to and including termination, in addition to civil or criminal sanctions that may be imposed by governmental authorities and other parties.</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this Policy, or whether a particular action is permissible under this Policy, you should not hesitate to contact Roivant’s General Counsel or another member of the Roivant legal department in advance of taking that particular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24" w:name="page225"/>
    <w:bookmarkEnd w:id="224"/>
    <w:p>
      <w:pPr>
        <w:ind w:left="658" w:hanging="658"/>
        <w:spacing w:after="0"/>
        <w:tabs>
          <w:tab w:leader="none" w:pos="65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Trading Policy</w:t>
      </w:r>
    </w:p>
    <w:p>
      <w:pPr>
        <w:spacing w:after="0" w:line="225" w:lineRule="exact"/>
        <w:rPr>
          <w:rFonts w:ascii="Times New Roman" w:cs="Times New Roman" w:eastAsia="Times New Roman" w:hAnsi="Times New Roman"/>
          <w:sz w:val="18"/>
          <w:szCs w:val="18"/>
          <w:color w:val="auto"/>
        </w:rPr>
      </w:pPr>
    </w:p>
    <w:p>
      <w:pPr>
        <w:ind w:left="1498" w:hanging="512"/>
        <w:spacing w:after="0"/>
        <w:tabs>
          <w:tab w:leader="none" w:pos="149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p>
    <w:p>
      <w:pPr>
        <w:spacing w:after="0" w:line="227"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transactions by Company personnel in securities of Roivant Group Companies that are permissible are:</w:t>
      </w:r>
    </w:p>
    <w:p>
      <w:pPr>
        <w:spacing w:after="0" w:line="225" w:lineRule="exact"/>
        <w:rPr>
          <w:sz w:val="20"/>
          <w:szCs w:val="20"/>
          <w:color w:val="auto"/>
        </w:rPr>
      </w:pPr>
    </w:p>
    <w:p>
      <w:pPr>
        <w:ind w:left="898" w:hanging="317"/>
        <w:spacing w:after="0"/>
        <w:tabs>
          <w:tab w:leader="none" w:pos="89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conducted in accordance with this Policy; or</w:t>
      </w:r>
    </w:p>
    <w:p>
      <w:pPr>
        <w:spacing w:after="0" w:line="223" w:lineRule="exact"/>
        <w:rPr>
          <w:rFonts w:ascii="Times New Roman" w:cs="Times New Roman" w:eastAsia="Times New Roman" w:hAnsi="Times New Roman"/>
          <w:sz w:val="18"/>
          <w:szCs w:val="18"/>
          <w:color w:val="auto"/>
        </w:rPr>
      </w:pPr>
    </w:p>
    <w:p>
      <w:pPr>
        <w:ind w:left="898" w:hanging="317"/>
        <w:spacing w:after="0" w:line="284" w:lineRule="auto"/>
        <w:tabs>
          <w:tab w:leader="none" w:pos="89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directly with the Roivant Group Companies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option exercises for cash under the equity incentive plans of Roivant Group Companies).</w:t>
      </w:r>
    </w:p>
    <w:p>
      <w:pPr>
        <w:spacing w:after="0" w:line="158" w:lineRule="exact"/>
        <w:rPr>
          <w:sz w:val="20"/>
          <w:szCs w:val="20"/>
          <w:color w:val="auto"/>
        </w:rPr>
      </w:pPr>
    </w:p>
    <w:p>
      <w:pPr>
        <w:ind w:left="1518" w:hanging="532"/>
        <w:spacing w:after="0"/>
        <w:tabs>
          <w:tab w:leader="none" w:pos="151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Covered Securities Transactions</w:t>
      </w:r>
    </w:p>
    <w:p>
      <w:pPr>
        <w:spacing w:after="0" w:line="227"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You are required to comply with the following requirements under this Policy:</w:t>
      </w:r>
    </w:p>
    <w:p>
      <w:pPr>
        <w:spacing w:after="0" w:line="223" w:lineRule="exact"/>
        <w:rPr>
          <w:sz w:val="20"/>
          <w:szCs w:val="20"/>
          <w:color w:val="auto"/>
        </w:rPr>
      </w:pPr>
    </w:p>
    <w:p>
      <w:pPr>
        <w:jc w:val="both"/>
        <w:ind w:left="898" w:right="200" w:hanging="317"/>
        <w:spacing w:after="0" w:line="267" w:lineRule="auto"/>
        <w:tabs>
          <w:tab w:leader="none" w:pos="89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Generally</w:t>
      </w:r>
      <w:r>
        <w:rPr>
          <w:rFonts w:ascii="Times New Roman" w:cs="Times New Roman" w:eastAsia="Times New Roman" w:hAnsi="Times New Roman"/>
          <w:sz w:val="18"/>
          <w:szCs w:val="18"/>
          <w:color w:val="auto"/>
        </w:rPr>
        <w:t>. It is always illegal to, and it is a violation of this Policy for you to, buy, sell or otherwise transact in securities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Roivant Group Companies or any other publicly traded company with which we have dealings while in possession of material non-public information about such company.</w:t>
      </w:r>
    </w:p>
    <w:p>
      <w:pPr>
        <w:spacing w:after="0" w:line="173" w:lineRule="exact"/>
        <w:rPr>
          <w:rFonts w:ascii="Times New Roman" w:cs="Times New Roman" w:eastAsia="Times New Roman" w:hAnsi="Times New Roman"/>
          <w:sz w:val="18"/>
          <w:szCs w:val="18"/>
          <w:color w:val="auto"/>
        </w:rPr>
      </w:pPr>
    </w:p>
    <w:p>
      <w:pPr>
        <w:ind w:left="898" w:right="100" w:hanging="317"/>
        <w:spacing w:after="0" w:line="267" w:lineRule="auto"/>
        <w:tabs>
          <w:tab w:leader="none" w:pos="89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Tipping</w:t>
      </w:r>
      <w:r>
        <w:rPr>
          <w:rFonts w:ascii="Times New Roman" w:cs="Times New Roman" w:eastAsia="Times New Roman" w:hAnsi="Times New Roman"/>
          <w:sz w:val="18"/>
          <w:szCs w:val="18"/>
          <w:color w:val="auto"/>
        </w:rPr>
        <w:t>. It is also illegal to, and it is a violation of this Policy for you to, communicate or “tip” such information to others who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legitimate business need to receive such information. You can be held liable both for your own transactions and for transactions effected by a so-called “tippee” (or even further attenuated transactions – e.g., a tippee of a tippee).</w:t>
      </w:r>
    </w:p>
    <w:p>
      <w:pPr>
        <w:spacing w:after="0" w:line="173" w:lineRule="exact"/>
        <w:rPr>
          <w:rFonts w:ascii="Times New Roman" w:cs="Times New Roman" w:eastAsia="Times New Roman" w:hAnsi="Times New Roman"/>
          <w:sz w:val="18"/>
          <w:szCs w:val="18"/>
          <w:color w:val="auto"/>
        </w:rPr>
      </w:pPr>
    </w:p>
    <w:p>
      <w:pPr>
        <w:ind w:left="898" w:right="40" w:hanging="317"/>
        <w:spacing w:after="0" w:line="261" w:lineRule="auto"/>
        <w:tabs>
          <w:tab w:leader="none" w:pos="89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and Derivatives</w:t>
      </w:r>
      <w:r>
        <w:rPr>
          <w:rFonts w:ascii="Times New Roman" w:cs="Times New Roman" w:eastAsia="Times New Roman" w:hAnsi="Times New Roman"/>
          <w:sz w:val="18"/>
          <w:szCs w:val="18"/>
          <w:color w:val="auto"/>
        </w:rPr>
        <w:t>. Company personnel are prohibited from engaging in any derivative transactions (including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involving options, puts, calls, prepaid variable forward contracts, equity swaps, collars or other derivatives) that are designed to hedge against or speculate on any change in the market value of Roivant’s equity securities. Company personnel are also prohibited from short selling Roivant’s securities. These prohibitions apply at all times, even during the Window.</w:t>
      </w:r>
    </w:p>
    <w:p>
      <w:pPr>
        <w:spacing w:after="0" w:line="182" w:lineRule="exact"/>
        <w:rPr>
          <w:sz w:val="20"/>
          <w:szCs w:val="20"/>
          <w:color w:val="auto"/>
        </w:rPr>
      </w:pPr>
    </w:p>
    <w:p>
      <w:pPr>
        <w:ind w:left="1398" w:right="80" w:hanging="331"/>
        <w:spacing w:after="0" w:line="255" w:lineRule="auto"/>
        <w:tabs>
          <w:tab w:leader="none" w:pos="139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options or other derivatives is generally highly speculative and can be very risky. People who buy options are often betting that the stock price will move rapidly. For that reason, when a person trades in options in his or her employer’s stock, it may arouse suspicion in the eyes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other regulators that the person was trading on the basis of inside information, particularly where the trading occurs before a company announcement or other major event. It is often difficult for a director, executive officer or employee to rebut such allegations and affirmatively prove that he or she did not know about the announcement or event, which can make defending against such an allegation challenging.</w:t>
      </w:r>
    </w:p>
    <w:p>
      <w:pPr>
        <w:spacing w:after="0" w:line="346"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40640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98"/>
          </w:cols>
          <w:pgMar w:left="962" w:top="119" w:right="339" w:bottom="1440" w:gutter="0" w:footer="0" w:header="0"/>
        </w:sectPr>
      </w:pPr>
    </w:p>
    <w:bookmarkStart w:id="225" w:name="page226"/>
    <w:bookmarkEnd w:id="225"/>
    <w:p>
      <w:pPr>
        <w:ind w:left="2040" w:right="20" w:hanging="331"/>
        <w:spacing w:after="0" w:line="256" w:lineRule="auto"/>
        <w:tabs>
          <w:tab w:leader="none" w:pos="20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SEC or FINRA were to notice active options trading by one or more directors, executive officers or employees of the Company prior to an announcement, they would likely investigate. Such an investigation could be embarrassing to the Company (as well as expensive) and could result in severe penalties and expenses for the persons involved. </w:t>
      </w:r>
      <w:r>
        <w:rPr>
          <w:rFonts w:ascii="Times New Roman" w:cs="Times New Roman" w:eastAsia="Times New Roman" w:hAnsi="Times New Roman"/>
          <w:sz w:val="18"/>
          <w:szCs w:val="18"/>
          <w:b w:val="1"/>
          <w:bCs w:val="1"/>
          <w:color w:val="auto"/>
        </w:rPr>
        <w:t>For all of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reasons, the Company prohibits directors, executive officers and employees from engaging in derivative transactions as described above involving Roivant’s common shares. </w:t>
      </w:r>
      <w:r>
        <w:rPr>
          <w:rFonts w:ascii="Times New Roman" w:cs="Times New Roman" w:eastAsia="Times New Roman" w:hAnsi="Times New Roman"/>
          <w:sz w:val="18"/>
          <w:szCs w:val="18"/>
          <w:color w:val="auto"/>
        </w:rPr>
        <w:t>This prohibition on hedging and derivative transactions does not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transactions in employee stock options granted by Roivant (which are otherwise subject to the terms of this Policy).</w:t>
      </w:r>
    </w:p>
    <w:p>
      <w:pPr>
        <w:spacing w:after="0" w:line="183"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It is important that, in addition to strict compliance with applicable laws, Company personnel avoid any actions that have even the </w:t>
      </w:r>
      <w:r>
        <w:rPr>
          <w:rFonts w:ascii="Times New Roman" w:cs="Times New Roman" w:eastAsia="Times New Roman" w:hAnsi="Times New Roman"/>
          <w:sz w:val="18"/>
          <w:szCs w:val="18"/>
          <w:b w:val="1"/>
          <w:bCs w:val="1"/>
          <w:color w:val="auto"/>
        </w:rPr>
        <w:t>appearance</w:t>
      </w:r>
      <w:r>
        <w:rPr>
          <w:rFonts w:ascii="Times New Roman" w:cs="Times New Roman" w:eastAsia="Times New Roman" w:hAnsi="Times New Roman"/>
          <w:sz w:val="18"/>
          <w:szCs w:val="18"/>
          <w:color w:val="auto"/>
        </w:rPr>
        <w:t xml:space="preserve"> of insider trading in securities. As a result, this Policy is intentionally broad and restrictive and intended to be maximally protective of the Company and each of its directors, executive officers and employees.</w:t>
      </w:r>
    </w:p>
    <w:p>
      <w:pPr>
        <w:spacing w:after="0" w:line="173" w:lineRule="exact"/>
        <w:rPr>
          <w:sz w:val="20"/>
          <w:szCs w:val="20"/>
          <w:color w:val="auto"/>
        </w:rPr>
      </w:pPr>
    </w:p>
    <w:p>
      <w:pPr>
        <w:ind w:left="2140" w:hanging="512"/>
        <w:spacing w:after="0"/>
        <w:tabs>
          <w:tab w:leader="none" w:pos="21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What is Inside Information?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such company’s securities (either up or down) or would likely be considered important, or “material,” by investors who are considering trading in that company’s securities. Certainly, if the information makes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want to trade, it would probably have the same effect on others. Remember, both positive and negative information can be material. </w:t>
      </w:r>
      <w:r>
        <w:rPr>
          <w:rFonts w:ascii="Times New Roman" w:cs="Times New Roman" w:eastAsia="Times New Roman" w:hAnsi="Times New Roman"/>
          <w:sz w:val="18"/>
          <w:szCs w:val="18"/>
          <w:b w:val="1"/>
          <w:bCs w:val="1"/>
          <w:color w:val="auto"/>
        </w:rPr>
        <w:t>If you have any questions about whether certain information is inside information, please contact the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Counsel or another member of the Roivant legal team.</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you possess inside information about a company, including Roivant, a Roivant Group Company or a third party with whom Roivant is conducting business, you may not trade in such company’s securities, advise anyone else to do so or communicate inside information to anyone else (other than a Non-Covered Person in a manner consistent with applicable securities laws, rules and regulations) until you know that the information has been publicly disseminated (see below for information on what constitutes public dissemination) and as otherwise permitted by this Policy.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6" w:name="page227"/>
    <w:bookmarkEnd w:id="2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means that in some circumstances, you may have to forgo a proposed transaction in a company’s securities, including securities of Roivant or a Roivant Group Company, even if you planned to execute the transaction prior to learning of the inside information and even though you believe you may suffer an economic loss or sacrifice an anticipated profit by waiting.</w:t>
      </w:r>
    </w:p>
    <w:p>
      <w:pPr>
        <w:spacing w:after="0" w:line="172"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w:t>
      </w:r>
      <w:r>
        <w:rPr>
          <w:rFonts w:ascii="Times New Roman" w:cs="Times New Roman" w:eastAsia="Times New Roman" w:hAnsi="Times New Roman"/>
          <w:sz w:val="18"/>
          <w:szCs w:val="18"/>
          <w:color w:val="auto"/>
        </w:rPr>
        <w:t>” includes, but is not limited to, selling and purchasing securities of a company, engaging in short sales, transactions in any derivatives (including, but not limited to, put or call options) or any hedging transactions or transaction involving a pledge of securities.</w:t>
      </w:r>
    </w:p>
    <w:p>
      <w:pPr>
        <w:spacing w:after="0" w:line="15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Although by no means an all-inclusive list, information about the following items may be considered to be inside information until it is publicly disseminated:</w:t>
      </w:r>
    </w:p>
    <w:p>
      <w:pPr>
        <w:spacing w:after="0" w:line="162" w:lineRule="exact"/>
        <w:rPr>
          <w:sz w:val="20"/>
          <w:szCs w:val="20"/>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or forecasts;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dispositions of assets, companies, etc.;</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pre-clinical studies;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with government agencies;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and development of new product candidates;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transactions;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to enter into certain transactions with third parties;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business development activities with third parties;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public or private sales of debt or equity securities;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share splits, dividends or changes in dividend policy;</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contract awards or cancellations;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management or control changes;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tender offers or proxy fights;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write-offs;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significant partners, customers or suppliers;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changes or discount policies;</w:t>
      </w:r>
    </w:p>
    <w:p>
      <w:pPr>
        <w:spacing w:after="0" w:line="22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or collaborator relationships; and</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7" w:name="page228"/>
    <w:bookmarkEnd w:id="227"/>
    <w:p>
      <w:pPr>
        <w:ind w:left="1540" w:hanging="317"/>
        <w:spacing w:after="0"/>
        <w:tabs>
          <w:tab w:leader="none" w:pos="15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issuance of patents.</w:t>
      </w:r>
    </w:p>
    <w:p>
      <w:pPr>
        <w:spacing w:after="0" w:line="225"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 xml:space="preserve">For information to be considered publicly disseminated, it must be widely disclosed through a press release or filing with the SEC or otherwise publicly available, and a sufficient amount of time must have passed to allow the information to be fully disclosed. Generally speaking, information will be considered publicly disseminated after </w:t>
      </w:r>
      <w:r>
        <w:rPr>
          <w:rFonts w:ascii="Times New Roman" w:cs="Times New Roman" w:eastAsia="Times New Roman" w:hAnsi="Times New Roman"/>
          <w:sz w:val="17"/>
          <w:szCs w:val="17"/>
          <w:b w:val="1"/>
          <w:bCs w:val="1"/>
          <w:color w:val="auto"/>
        </w:rPr>
        <w:t>one full trading day</w:t>
      </w:r>
      <w:r>
        <w:rPr>
          <w:rFonts w:ascii="Times New Roman" w:cs="Times New Roman" w:eastAsia="Times New Roman" w:hAnsi="Times New Roman"/>
          <w:sz w:val="17"/>
          <w:szCs w:val="17"/>
          <w:color w:val="auto"/>
        </w:rPr>
        <w:t xml:space="preserve"> has elapsed since the date of public disclosure of the information in a national news medium. For example, if an announcement of inside information concerning a third-party company, of which you were aware, was made prior to trading on Thursday, then you may execute a transaction in the securities of that company on Friday (assuming such transaction is otherwise permitted by this Policy).</w:t>
      </w:r>
    </w:p>
    <w:p>
      <w:pPr>
        <w:spacing w:after="0" w:line="166" w:lineRule="exact"/>
        <w:rPr>
          <w:sz w:val="20"/>
          <w:szCs w:val="20"/>
          <w:color w:val="auto"/>
        </w:rPr>
      </w:pPr>
    </w:p>
    <w:p>
      <w:pPr>
        <w:ind w:left="2160" w:hanging="532"/>
        <w:spacing w:after="0"/>
        <w:tabs>
          <w:tab w:leader="none" w:pos="21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Who Does this Policy Apply To?</w:t>
      </w:r>
    </w:p>
    <w:p>
      <w:pPr>
        <w:spacing w:after="0" w:line="227"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 xml:space="preserve">Due to the size of our organization, all directors, executive officers and employees of the Company may possess inside information regarding the Roivant Group Companies at one time or another. Therefore, all </w:t>
      </w:r>
      <w:r>
        <w:rPr>
          <w:rFonts w:ascii="Times New Roman" w:cs="Times New Roman" w:eastAsia="Times New Roman" w:hAnsi="Times New Roman"/>
          <w:sz w:val="17"/>
          <w:szCs w:val="17"/>
          <w:b w:val="1"/>
          <w:bCs w:val="1"/>
          <w:color w:val="auto"/>
        </w:rPr>
        <w:t>directors, executive officers and employees of the Company</w:t>
      </w:r>
      <w:r>
        <w:rPr>
          <w:rFonts w:ascii="Times New Roman" w:cs="Times New Roman" w:eastAsia="Times New Roman" w:hAnsi="Times New Roman"/>
          <w:sz w:val="17"/>
          <w:szCs w:val="17"/>
          <w:color w:val="auto"/>
        </w:rPr>
        <w:t xml:space="preserve">, along with </w:t>
      </w:r>
      <w:r>
        <w:rPr>
          <w:rFonts w:ascii="Times New Roman" w:cs="Times New Roman" w:eastAsia="Times New Roman" w:hAnsi="Times New Roman"/>
          <w:sz w:val="17"/>
          <w:szCs w:val="17"/>
          <w:b w:val="1"/>
          <w:bCs w:val="1"/>
          <w:color w:val="auto"/>
        </w:rPr>
        <w:t>any Specified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(as defined below) (each, a “</w:t>
      </w:r>
      <w:r>
        <w:rPr>
          <w:rFonts w:ascii="Times New Roman" w:cs="Times New Roman" w:eastAsia="Times New Roman" w:hAnsi="Times New Roman"/>
          <w:sz w:val="17"/>
          <w:szCs w:val="17"/>
          <w:b w:val="1"/>
          <w:bCs w:val="1"/>
          <w:color w:val="auto"/>
        </w:rPr>
        <w:t>Covered Insider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Covered Insiders</w:t>
      </w:r>
      <w:r>
        <w:rPr>
          <w:rFonts w:ascii="Times New Roman" w:cs="Times New Roman" w:eastAsia="Times New Roman" w:hAnsi="Times New Roman"/>
          <w:sz w:val="17"/>
          <w:szCs w:val="17"/>
          <w:color w:val="auto"/>
        </w:rPr>
        <w:t>”), are subject to the requirements of this Policy.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21" w:lineRule="exact"/>
        <w:rPr>
          <w:sz w:val="20"/>
          <w:szCs w:val="20"/>
          <w:color w:val="auto"/>
        </w:rPr>
      </w:pPr>
    </w:p>
    <w:p>
      <w:pPr>
        <w:ind w:left="1540" w:right="60" w:hanging="317"/>
        <w:spacing w:after="0" w:line="259" w:lineRule="auto"/>
        <w:tabs>
          <w:tab w:leader="none" w:pos="1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Specified Person</w:t>
      </w:r>
      <w:r>
        <w:rPr>
          <w:rFonts w:ascii="Times New Roman" w:cs="Times New Roman" w:eastAsia="Times New Roman" w:hAnsi="Times New Roman"/>
          <w:sz w:val="18"/>
          <w:szCs w:val="18"/>
          <w:color w:val="auto"/>
        </w:rPr>
        <w:t>” is any (a) immediate family member of a Covered Insider, (b) individuals who share the same address as, or are financially dependent on, any Covered Insider, (c) individual, whether or not a family member, whose trades are subject to the direction of a Covered Insider and (d) entities whose trading activities are controlled by or influenced by any Covered Insider, including any controlled corporations, partnerships or trusts, are subject to the same restrictions as those of the Covered Insider himself or herself, in each case other than any Non-Covered Person.</w:t>
      </w:r>
    </w:p>
    <w:p>
      <w:pPr>
        <w:spacing w:after="0" w:line="179" w:lineRule="exact"/>
        <w:rPr>
          <w:rFonts w:ascii="Times New Roman" w:cs="Times New Roman" w:eastAsia="Times New Roman" w:hAnsi="Times New Roman"/>
          <w:sz w:val="18"/>
          <w:szCs w:val="18"/>
          <w:color w:val="auto"/>
        </w:rPr>
      </w:pPr>
    </w:p>
    <w:p>
      <w:pPr>
        <w:ind w:left="1540" w:hanging="317"/>
        <w:spacing w:after="0" w:line="256" w:lineRule="auto"/>
        <w:tabs>
          <w:tab w:leader="none" w:pos="1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Non-Covered Person</w:t>
      </w:r>
      <w:r>
        <w:rPr>
          <w:rFonts w:ascii="Times New Roman" w:cs="Times New Roman" w:eastAsia="Times New Roman" w:hAnsi="Times New Roman"/>
          <w:sz w:val="18"/>
          <w:szCs w:val="18"/>
          <w:color w:val="auto"/>
        </w:rPr>
        <w:t>” is any entity (i) of which the Covered Insider is an employee, member or partner, (ii) that engages in the management of investment in securities for investment funds in the ordinary course of its business or is a managed fund of such person and (iii) that has confirmed to Roivant in writing that it has established its own policies and procedures for compliance with insider trading restrictions under applicable securities laws. For the avoidance of doubt, a Non-Covered Person shall not be considered a Covered Insider subject to this Policy, and it shall not be a breach of this Policy for a Covered Insider to recommend investments or be involved in the investment decision making of a Non-Covered Person in accordance with applicable securities laws, rules and regulations.</w:t>
      </w:r>
    </w:p>
    <w:p>
      <w:pPr>
        <w:spacing w:after="0" w:line="185" w:lineRule="exact"/>
        <w:rPr>
          <w:sz w:val="20"/>
          <w:szCs w:val="20"/>
          <w:color w:val="auto"/>
        </w:rPr>
      </w:pPr>
    </w:p>
    <w:p>
      <w:pPr>
        <w:ind w:left="2140" w:hanging="512"/>
        <w:spacing w:after="0"/>
        <w:tabs>
          <w:tab w:leader="none" w:pos="21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w:t>
      </w:r>
    </w:p>
    <w:p>
      <w:pPr>
        <w:spacing w:after="0" w:line="2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Covered Insiders are subject to the following general obligations pursuant to this Policy: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ind w:left="1208" w:right="60" w:hanging="317"/>
        <w:spacing w:after="0" w:line="261" w:lineRule="auto"/>
        <w:tabs>
          <w:tab w:leader="none" w:pos="12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Nondisclosure. </w:t>
      </w:r>
      <w:r>
        <w:rPr>
          <w:rFonts w:ascii="Times New Roman" w:cs="Times New Roman" w:eastAsia="Times New Roman" w:hAnsi="Times New Roman"/>
          <w:sz w:val="18"/>
          <w:szCs w:val="18"/>
          <w:color w:val="auto"/>
        </w:rPr>
        <w:t>Material inside information must not be disclosed to anyone, except (i) to persons within the Company whose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require them to know it or (ii) to persons outside the Company who are subject to a confidentiality obligation covering such inside information and as required in connection with bona fide Company business. No employee or director should discuss material inside information in public places.</w:t>
      </w:r>
    </w:p>
    <w:p>
      <w:pPr>
        <w:spacing w:after="0" w:line="179" w:lineRule="exact"/>
        <w:rPr>
          <w:rFonts w:ascii="Times New Roman" w:cs="Times New Roman" w:eastAsia="Times New Roman" w:hAnsi="Times New Roman"/>
          <w:sz w:val="18"/>
          <w:szCs w:val="18"/>
          <w:color w:val="auto"/>
        </w:rPr>
      </w:pPr>
    </w:p>
    <w:p>
      <w:pPr>
        <w:ind w:left="1208" w:hanging="317"/>
        <w:spacing w:after="0"/>
        <w:tabs>
          <w:tab w:leader="none" w:pos="12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Window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708" w:right="40" w:hanging="331"/>
        <w:spacing w:after="0" w:line="258" w:lineRule="auto"/>
        <w:tabs>
          <w:tab w:leader="none" w:pos="170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Policy, trading in the securities of Roivant or of a Roivant Group Company by Covered Insiders is only permitted during the period (i) commencing one full trading day following an earnings release (or other applicable filing with the SEC) with respect to the preceding fiscal period by Roivant or the relevant Roivant Group Company, as applicable, and (ii) ending at the close of trading on the last calendar day of the last month of the then current fiscal quarter of Roivant or the relevant Roivant Group Company, as applicable (in each case, the “</w:t>
      </w:r>
      <w:r>
        <w:rPr>
          <w:rFonts w:ascii="Times New Roman" w:cs="Times New Roman" w:eastAsia="Times New Roman" w:hAnsi="Times New Roman"/>
          <w:sz w:val="18"/>
          <w:szCs w:val="18"/>
          <w:b w:val="1"/>
          <w:bCs w:val="1"/>
          <w:color w:val="auto"/>
        </w:rPr>
        <w:t>Window</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708" w:right="340" w:hanging="331"/>
        <w:spacing w:after="0" w:line="266" w:lineRule="auto"/>
        <w:tabs>
          <w:tab w:leader="none" w:pos="170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notification will generally be provided to all Company personnel as to the opening and closing of the Window for both Roivant and each Roivant Group Company. However, all Covered Insiders are required to observe the restrictions set forth herein with respect to any trading outside of the Window even in the absence of such a notification.</w:t>
      </w:r>
    </w:p>
    <w:p>
      <w:pPr>
        <w:spacing w:after="0" w:line="175" w:lineRule="exact"/>
        <w:rPr>
          <w:rFonts w:ascii="Times New Roman" w:cs="Times New Roman" w:eastAsia="Times New Roman" w:hAnsi="Times New Roman"/>
          <w:sz w:val="18"/>
          <w:szCs w:val="18"/>
          <w:color w:val="auto"/>
        </w:rPr>
      </w:pPr>
    </w:p>
    <w:p>
      <w:pPr>
        <w:ind w:left="1708" w:right="80" w:hanging="331"/>
        <w:spacing w:after="0" w:line="266" w:lineRule="auto"/>
        <w:tabs>
          <w:tab w:leader="none" w:pos="170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trading by Covered Insiders in the securities of Roivant or a Roivant Group Company is permitted outside of the Window except with the prior review and approval of the Principal Executive Officer or General Counsel; provided that, if one of these individuals wishes to trade outside the Window, it shall be subject to prior review by the other.</w:t>
      </w:r>
    </w:p>
    <w:p>
      <w:pPr>
        <w:spacing w:after="0" w:line="175" w:lineRule="exact"/>
        <w:rPr>
          <w:rFonts w:ascii="Times New Roman" w:cs="Times New Roman" w:eastAsia="Times New Roman" w:hAnsi="Times New Roman"/>
          <w:sz w:val="18"/>
          <w:szCs w:val="18"/>
          <w:color w:val="auto"/>
        </w:rPr>
      </w:pPr>
    </w:p>
    <w:p>
      <w:pPr>
        <w:jc w:val="both"/>
        <w:ind w:left="1708" w:right="20" w:hanging="331"/>
        <w:spacing w:after="0" w:line="266" w:lineRule="auto"/>
        <w:tabs>
          <w:tab w:leader="none" w:pos="170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times, the General Counsel may determine that it is appropriate not to permit trading even during the Window. The General Counsel is not obligated to provide an explanation for the limitation on trading and the unavailability of the Window itself may constitute material inside information that should not be communicated.</w:t>
      </w:r>
    </w:p>
    <w:p>
      <w:pPr>
        <w:spacing w:after="0" w:line="175" w:lineRule="exact"/>
        <w:rPr>
          <w:rFonts w:ascii="Times New Roman" w:cs="Times New Roman" w:eastAsia="Times New Roman" w:hAnsi="Times New Roman"/>
          <w:sz w:val="18"/>
          <w:szCs w:val="18"/>
          <w:color w:val="auto"/>
        </w:rPr>
      </w:pPr>
    </w:p>
    <w:p>
      <w:pPr>
        <w:ind w:left="1708" w:hanging="331"/>
        <w:spacing w:after="0" w:line="258" w:lineRule="auto"/>
        <w:tabs>
          <w:tab w:leader="none" w:pos="170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a Covered Insider who is subject to the provisions of the insider trading policy of a Roivant Group Company may trade in the securities of such Roivant Group Company in accordance with the provisions of that Roivant Group Company’s insider trading policy, which will generally only permit transactions during that Roivant Group Company’s Window, even if those transactions occur outside of a Roivant Window. Any questions regarding whether such Roivant Group Company is in an open trading window should be directed to the General Counsel prior to engaging in such trade.</w:t>
      </w:r>
    </w:p>
    <w:p>
      <w:pPr>
        <w:spacing w:after="0" w:line="18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Roivant Securities</w:t>
      </w:r>
      <w:r>
        <w:rPr>
          <w:rFonts w:ascii="Times New Roman" w:cs="Times New Roman" w:eastAsia="Times New Roman" w:hAnsi="Times New Roman"/>
          <w:sz w:val="18"/>
          <w:szCs w:val="18"/>
          <w:color w:val="auto"/>
        </w:rPr>
        <w:t>.</w:t>
      </w:r>
    </w:p>
    <w:p>
      <w:pPr>
        <w:spacing w:after="0" w:line="385"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119" w:right="379" w:bottom="1440" w:gutter="0" w:footer="0" w:header="0"/>
        </w:sectPr>
      </w:pPr>
    </w:p>
    <w:bookmarkStart w:id="229" w:name="page230"/>
    <w:bookmarkEnd w:id="229"/>
    <w:p>
      <w:pPr>
        <w:ind w:left="968" w:hanging="320"/>
        <w:spacing w:after="0" w:line="266" w:lineRule="auto"/>
        <w:tabs>
          <w:tab w:leader="none" w:pos="96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Window requirements set out above, no Covered Insider may place a purchase or sale order, or recommend that another person place a purchase or sale order, in Roivant’s securities when he or she has knowledge of material information concerning Roivant that has not been disclosed to the public.</w:t>
      </w:r>
    </w:p>
    <w:p>
      <w:pPr>
        <w:spacing w:after="0" w:line="175" w:lineRule="exact"/>
        <w:rPr>
          <w:rFonts w:ascii="Times New Roman" w:cs="Times New Roman" w:eastAsia="Times New Roman" w:hAnsi="Times New Roman"/>
          <w:sz w:val="18"/>
          <w:szCs w:val="18"/>
          <w:color w:val="auto"/>
        </w:rPr>
      </w:pPr>
    </w:p>
    <w:p>
      <w:pPr>
        <w:ind w:left="968" w:right="500" w:hanging="320"/>
        <w:spacing w:after="0" w:line="282" w:lineRule="auto"/>
        <w:tabs>
          <w:tab w:leader="none" w:pos="96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restriction covers orders for purchases and sales of stock, convertible securities and other securities (e.g., bonds) and includes increasing or decreasing investment in Roivant securities through a retirement account.</w:t>
      </w:r>
    </w:p>
    <w:p>
      <w:pPr>
        <w:spacing w:after="0" w:line="161" w:lineRule="exact"/>
        <w:rPr>
          <w:rFonts w:ascii="Times New Roman" w:cs="Times New Roman" w:eastAsia="Times New Roman" w:hAnsi="Times New Roman"/>
          <w:sz w:val="18"/>
          <w:szCs w:val="18"/>
          <w:color w:val="auto"/>
        </w:rPr>
      </w:pPr>
    </w:p>
    <w:p>
      <w:pPr>
        <w:ind w:left="968" w:right="120" w:hanging="320"/>
        <w:spacing w:after="0" w:line="261" w:lineRule="auto"/>
        <w:tabs>
          <w:tab w:leader="none" w:pos="96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employee stock options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subject to this Policy. However, Roivant securities that were acquired upon exercise of a stock option will be treated like any other security and may only be sold, including as part of a cashless or net exercise of stock options, by a Covered Insider in compliance with the Policy and the Window requirements, and while not in possession of material inside information.</w:t>
      </w:r>
    </w:p>
    <w:p>
      <w:pPr>
        <w:spacing w:after="0" w:line="179" w:lineRule="exact"/>
        <w:rPr>
          <w:rFonts w:ascii="Times New Roman" w:cs="Times New Roman" w:eastAsia="Times New Roman" w:hAnsi="Times New Roman"/>
          <w:sz w:val="18"/>
          <w:szCs w:val="18"/>
          <w:color w:val="auto"/>
        </w:rPr>
      </w:pPr>
    </w:p>
    <w:p>
      <w:pPr>
        <w:ind w:left="968" w:right="140" w:hanging="320"/>
        <w:spacing w:after="0" w:line="282" w:lineRule="auto"/>
        <w:tabs>
          <w:tab w:leader="none" w:pos="96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Covered Insider who possesses material inside information should wait until one full trading day has elapsed since the information has been publicly released, in addition to observing any other limitations imposed by this Policy, before trading.</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is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exception to this Policy, even for hardship to the Covered Insider or based on the use of proceeds (such as making a mortgage payment or for an emergency expenditure).</w:t>
      </w:r>
    </w:p>
    <w:p>
      <w:pPr>
        <w:spacing w:after="0" w:line="15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Securities of a Roivant Group Company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968" w:hanging="320"/>
        <w:spacing w:after="0" w:line="266" w:lineRule="auto"/>
        <w:tabs>
          <w:tab w:leader="none" w:pos="96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Window requirements set out above, no Covered Insider may place a purchase or sale order, or recommend that another person place a purchase or sale order, in securities of a Roivant Group Company when he or she has knowledge of material information concerning such Roivant Group Company that has not been disclosed to the public.</w:t>
      </w:r>
    </w:p>
    <w:p>
      <w:pPr>
        <w:spacing w:after="0" w:line="175" w:lineRule="exact"/>
        <w:rPr>
          <w:rFonts w:ascii="Times New Roman" w:cs="Times New Roman" w:eastAsia="Times New Roman" w:hAnsi="Times New Roman"/>
          <w:sz w:val="18"/>
          <w:szCs w:val="18"/>
          <w:color w:val="auto"/>
        </w:rPr>
      </w:pPr>
    </w:p>
    <w:p>
      <w:pPr>
        <w:ind w:left="968" w:right="380" w:hanging="320"/>
        <w:spacing w:after="0" w:line="282" w:lineRule="auto"/>
        <w:tabs>
          <w:tab w:leader="none" w:pos="96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restriction includes orders for purchases and sales of stock, convertible securities and other securities (e.g., bonds) and includes increasing or decreasing investment in securities of such Roivant Group Company through a retirement account.</w:t>
      </w:r>
    </w:p>
    <w:p>
      <w:pPr>
        <w:spacing w:after="0" w:line="161" w:lineRule="exact"/>
        <w:rPr>
          <w:rFonts w:ascii="Times New Roman" w:cs="Times New Roman" w:eastAsia="Times New Roman" w:hAnsi="Times New Roman"/>
          <w:sz w:val="18"/>
          <w:szCs w:val="18"/>
          <w:color w:val="auto"/>
        </w:rPr>
      </w:pPr>
    </w:p>
    <w:p>
      <w:pPr>
        <w:ind w:left="968" w:hanging="320"/>
        <w:spacing w:after="0" w:line="266" w:lineRule="auto"/>
        <w:tabs>
          <w:tab w:leader="none" w:pos="96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employee stock options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subject to this Policy. However, securities of a Roivant Group Company that were acquired upon exercise of a stock option will be treated like any other security, and may not be sold by a Covered Insider who is in possession of material inside information.</w:t>
      </w:r>
    </w:p>
    <w:p>
      <w:pPr>
        <w:spacing w:after="0" w:line="175" w:lineRule="exact"/>
        <w:rPr>
          <w:rFonts w:ascii="Times New Roman" w:cs="Times New Roman" w:eastAsia="Times New Roman" w:hAnsi="Times New Roman"/>
          <w:sz w:val="18"/>
          <w:szCs w:val="18"/>
          <w:color w:val="auto"/>
        </w:rPr>
      </w:pPr>
    </w:p>
    <w:p>
      <w:pPr>
        <w:ind w:left="968" w:right="140" w:hanging="320"/>
        <w:spacing w:after="0" w:line="282" w:lineRule="auto"/>
        <w:tabs>
          <w:tab w:leader="none" w:pos="96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Covered Insider who possesses material inside information should wait until one full trading day has elapsed since the information has been publicly released, in addition to observing any other limitations imposed by this Policy, before trading.</w:t>
      </w:r>
    </w:p>
    <w:p>
      <w:pPr>
        <w:spacing w:after="0" w:line="319"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121" w:right="379" w:bottom="1440" w:gutter="0" w:footer="0" w:header="0"/>
        </w:sectPr>
      </w:pPr>
    </w:p>
    <w:bookmarkStart w:id="230" w:name="page231"/>
    <w:bookmarkEnd w:id="230"/>
    <w:p>
      <w:pPr>
        <w:ind w:left="1200" w:hanging="320"/>
        <w:spacing w:after="0" w:line="282" w:lineRule="auto"/>
        <w:tabs>
          <w:tab w:leader="none" w:pos="12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is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exception to this Policy, even for hardship to the Covered Insider or based on the use of proceeds (such as making a mortgage payment or for an emergency expenditure).</w:t>
      </w:r>
    </w:p>
    <w:p>
      <w:pPr>
        <w:spacing w:after="0" w:line="161" w:lineRule="exact"/>
        <w:rPr>
          <w:rFonts w:ascii="Times New Roman" w:cs="Times New Roman" w:eastAsia="Times New Roman" w:hAnsi="Times New Roman"/>
          <w:sz w:val="18"/>
          <w:szCs w:val="18"/>
          <w:color w:val="auto"/>
        </w:rPr>
      </w:pPr>
    </w:p>
    <w:p>
      <w:pPr>
        <w:ind w:left="1200" w:right="40" w:hanging="320"/>
        <w:spacing w:after="0" w:line="258" w:lineRule="auto"/>
        <w:tabs>
          <w:tab w:leader="none" w:pos="12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herein, this Policy does not apply to directors, officers and employees of a Roivant Group Company that has adopted an insider trading policy that (i) separately covers directors, officers and employees of such Roivant Group Company, (ii) is no less restrictive than this Policy and (iii) has been approved by the General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directors, officers and employees of a Roivant Group Company who are acting on behalf of Roivant, this Policy operates in conjunction with, and in addition to, the insider trading policy of such Roivant Group Company.</w:t>
      </w:r>
    </w:p>
    <w:p>
      <w:pPr>
        <w:spacing w:after="0" w:line="181" w:lineRule="exact"/>
        <w:rPr>
          <w:rFonts w:ascii="Times New Roman" w:cs="Times New Roman" w:eastAsia="Times New Roman" w:hAnsi="Times New Roman"/>
          <w:sz w:val="18"/>
          <w:szCs w:val="18"/>
          <w:color w:val="auto"/>
        </w:rPr>
      </w:pPr>
    </w:p>
    <w:p>
      <w:pPr>
        <w:ind w:left="560" w:right="80" w:hanging="328"/>
        <w:spacing w:after="0" w:line="257" w:lineRule="auto"/>
        <w:tabs>
          <w:tab w:leader="none" w:pos="5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Other Securities</w:t>
      </w:r>
      <w:r>
        <w:rPr>
          <w:rFonts w:ascii="Times New Roman" w:cs="Times New Roman" w:eastAsia="Times New Roman" w:hAnsi="Times New Roman"/>
          <w:sz w:val="18"/>
          <w:szCs w:val="18"/>
          <w:color w:val="auto"/>
        </w:rPr>
        <w:t>. No Covered Insider should place a purchase or sale order (including investment through a retirement account),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 that another person place a purchase or sale order, in the securities of another corporation if the Covered Insider learns, in the course of his or her employment, confidential information about the other corporation that is likely to affect the value of those securities. For example, it would be a violation of the securities laws and this Policy if the Covered Insider learned confidentially through Company sources that the Company intended to purchase assets from a company, and then placed an order to buy or sell stock in that other company because of the likely increase or decrease in the value of its securities.</w:t>
      </w:r>
    </w:p>
    <w:p>
      <w:pPr>
        <w:spacing w:after="0" w:line="182" w:lineRule="exact"/>
        <w:rPr>
          <w:rFonts w:ascii="Times New Roman" w:cs="Times New Roman" w:eastAsia="Times New Roman" w:hAnsi="Times New Roman"/>
          <w:sz w:val="18"/>
          <w:szCs w:val="18"/>
          <w:color w:val="auto"/>
        </w:rPr>
      </w:pPr>
    </w:p>
    <w:p>
      <w:pPr>
        <w:ind w:left="560" w:right="80" w:hanging="328"/>
        <w:spacing w:after="0" w:line="258" w:lineRule="auto"/>
        <w:tabs>
          <w:tab w:leader="none" w:pos="5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Avoid Speculation</w:t>
      </w:r>
      <w:r>
        <w:rPr>
          <w:rFonts w:ascii="Times New Roman" w:cs="Times New Roman" w:eastAsia="Times New Roman" w:hAnsi="Times New Roman"/>
          <w:sz w:val="18"/>
          <w:szCs w:val="18"/>
          <w:color w:val="auto"/>
        </w:rPr>
        <w:t>. Investing in Roivant’s securities provides an opportunity to share in the future growth of the Company. But investment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Roivant and sharing in its growth does not mean short range speculation based on fluctuations in the market. Such activities put the personal gain of the employee or director in conflict with the best interests of Roivant and its stakeholders. Although this Policy does not mean that Covered Insiders may never sell shares, the Company encourages Covered Insiders to avoid frequent trading in Roivant’s common shares. Speculating in Roivant securities is not part of the Company culture.</w:t>
      </w:r>
    </w:p>
    <w:p>
      <w:pPr>
        <w:spacing w:after="0" w:line="183" w:lineRule="exact"/>
        <w:rPr>
          <w:rFonts w:ascii="Times New Roman" w:cs="Times New Roman" w:eastAsia="Times New Roman" w:hAnsi="Times New Roman"/>
          <w:sz w:val="18"/>
          <w:szCs w:val="18"/>
          <w:color w:val="auto"/>
        </w:rPr>
      </w:pPr>
    </w:p>
    <w:p>
      <w:pPr>
        <w:ind w:left="2120" w:hanging="592"/>
        <w:spacing w:after="0"/>
        <w:tabs>
          <w:tab w:leader="none" w:pos="2120"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Pre-Clearance Requirements.</w:t>
      </w:r>
    </w:p>
    <w:p>
      <w:pPr>
        <w:spacing w:after="0" w:line="223"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Pre-Clearance Group</w:t>
      </w:r>
      <w:r>
        <w:rPr>
          <w:rFonts w:ascii="Times New Roman" w:cs="Times New Roman" w:eastAsia="Times New Roman" w:hAnsi="Times New Roman"/>
          <w:sz w:val="18"/>
          <w:szCs w:val="18"/>
          <w:color w:val="auto"/>
        </w:rPr>
        <w:t xml:space="preserve">” consists of (i) directors and executive officers of the Company, their assistants and household members, in each case who are Covered Insiders, (ii) such Company personnel designated by the General Counsel or Roivant’s Chief Accounting Officer as having access to material financial information and (iii) such other persons as may be designated from time to time and informed of such status by the General Counsel. </w:t>
      </w:r>
      <w:r>
        <w:rPr>
          <w:rFonts w:ascii="Times New Roman" w:cs="Times New Roman" w:eastAsia="Times New Roman" w:hAnsi="Times New Roman"/>
          <w:sz w:val="18"/>
          <w:szCs w:val="18"/>
          <w:b w:val="1"/>
          <w:bCs w:val="1"/>
          <w:color w:val="auto"/>
        </w:rPr>
        <w:t>All members of the Pre-Clearance Group must obtain pre-clearance for trades from the General Counsel.</w:t>
      </w:r>
      <w:r>
        <w:rPr>
          <w:rFonts w:ascii="Times New Roman" w:cs="Times New Roman" w:eastAsia="Times New Roman" w:hAnsi="Times New Roman"/>
          <w:sz w:val="18"/>
          <w:szCs w:val="18"/>
          <w:color w:val="auto"/>
        </w:rPr>
        <w:t xml:space="preserve"> Note that at any time, the General Counsel may decline to pre-clear a requested trade, even during the Window. The General Counsel is not obligated to provide an explanation for the limitation on trading.</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40640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20" w:top="121" w:right="379" w:bottom="1440" w:gutter="0" w:footer="0" w:header="0"/>
        </w:sectPr>
      </w:pPr>
    </w:p>
    <w:bookmarkStart w:id="231" w:name="page232"/>
    <w:bookmarkEnd w:id="231"/>
    <w:p>
      <w:pPr>
        <w:ind w:left="100" w:right="4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If granted, pre-clearance will remain valid, unless earlier revoked, through the close of trading </w:t>
      </w:r>
      <w:r>
        <w:rPr>
          <w:rFonts w:ascii="Times New Roman" w:cs="Times New Roman" w:eastAsia="Times New Roman" w:hAnsi="Times New Roman"/>
          <w:sz w:val="18"/>
          <w:szCs w:val="18"/>
          <w:b w:val="1"/>
          <w:bCs w:val="1"/>
          <w:color w:val="auto"/>
        </w:rPr>
        <w:t>two (2) full business days</w:t>
      </w:r>
      <w:r>
        <w:rPr>
          <w:rFonts w:ascii="Times New Roman" w:cs="Times New Roman" w:eastAsia="Times New Roman" w:hAnsi="Times New Roman"/>
          <w:sz w:val="18"/>
          <w:szCs w:val="18"/>
          <w:color w:val="auto"/>
        </w:rPr>
        <w:t xml:space="preserve"> following the day on which it was granted. If the pre-cleared transaction does not occur during the two business day period, pre-clearance must be re-requested.</w:t>
      </w:r>
    </w:p>
    <w:p>
      <w:pPr>
        <w:spacing w:after="0" w:line="157" w:lineRule="exact"/>
        <w:rPr>
          <w:sz w:val="20"/>
          <w:szCs w:val="20"/>
          <w:color w:val="auto"/>
        </w:rPr>
      </w:pPr>
    </w:p>
    <w:p>
      <w:pPr>
        <w:ind w:left="2200" w:hanging="572"/>
        <w:spacing w:after="0"/>
        <w:tabs>
          <w:tab w:leader="none" w:pos="22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10b5-1 Plans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restrictions set forth in subsections (e) and (f) above do not apply to transactions pursuant to written plans for trading securities that comply with Rule 10b5-1 (“</w:t>
      </w:r>
      <w:r>
        <w:rPr>
          <w:rFonts w:ascii="Times New Roman" w:cs="Times New Roman" w:eastAsia="Times New Roman" w:hAnsi="Times New Roman"/>
          <w:sz w:val="18"/>
          <w:szCs w:val="18"/>
          <w:b w:val="1"/>
          <w:bCs w:val="1"/>
          <w:color w:val="auto"/>
        </w:rPr>
        <w:t>10b5-1 Plans</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However, Pre-Clearance Group members may not enter into, modify or terminate a 10b5-1 Plan relating to securities of the Roivant Group Companies without the prior approval of the General Counsel, which will generally only be given during a Window period. For more details on the requirements of 10b5-1 Plans, please refer to “Rule 10b5-1 Plan Requirements” in Annex A.</w:t>
      </w:r>
    </w:p>
    <w:p>
      <w:pPr>
        <w:spacing w:after="0" w:line="181" w:lineRule="exact"/>
        <w:rPr>
          <w:sz w:val="20"/>
          <w:szCs w:val="20"/>
          <w:color w:val="auto"/>
        </w:rPr>
      </w:pPr>
    </w:p>
    <w:p>
      <w:pPr>
        <w:ind w:left="2200" w:hanging="572"/>
        <w:spacing w:after="0"/>
        <w:tabs>
          <w:tab w:leader="none" w:pos="22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Gifts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Gifts of Roivant securities or other transactions in Company securities, including estate planning activities, that involve transfers of securities for no consideration, should only be made (i) when you are not in possession of material non-public information and (ii) when the Window is open in the case of a Covered Insider. In that respect, gifts and other transfers of Roivant securities for no consideration are subject to the same restrictions under this Policy as other transactions in Roivant securities.</w:t>
      </w:r>
    </w:p>
    <w:p>
      <w:pPr>
        <w:spacing w:after="0" w:line="178" w:lineRule="exact"/>
        <w:rPr>
          <w:sz w:val="20"/>
          <w:szCs w:val="20"/>
          <w:color w:val="auto"/>
        </w:rPr>
      </w:pPr>
    </w:p>
    <w:p>
      <w:pPr>
        <w:ind w:left="2200" w:hanging="572"/>
        <w:spacing w:after="0"/>
        <w:tabs>
          <w:tab w:leader="none" w:pos="22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Stock Purchase Plans</w:t>
      </w:r>
    </w:p>
    <w:p>
      <w:pPr>
        <w:spacing w:after="0" w:line="223"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Covered Insiders may participate in the Roivant Sciences Ltd.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subject to the terms and limitations set forth in the ESPP and this Policy. This Policy does not apply to automatic periodic purchases of Roivant’s common shares under the ESPP through payroll deductions.</w:t>
      </w:r>
    </w:p>
    <w:p>
      <w:pPr>
        <w:spacing w:after="0" w:line="175"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This Policy does apply, however, to (i) any elections by Covered Insiders to enroll in the ESPP or any offering period thereunder (other than any automatic renewals under the ESPP), (ii) any participation elections or changes permitted under the ESPP for any offering period, including, without limitation, payroll deduction elections (including elections to change deductions for current or future offering periods) or elections to withdraw from the ESPP, and (iii) the sale of any Roivant securities acquired under the ESPP. Accordingly, Covered Insiders may only engage in one of these restricted actions during a Window and, in the case of the Pre-Clearance Group, only during a Window </w:t>
      </w:r>
      <w:r>
        <w:rPr>
          <w:rFonts w:ascii="Times New Roman" w:cs="Times New Roman" w:eastAsia="Times New Roman" w:hAnsi="Times New Roman"/>
          <w:sz w:val="17"/>
          <w:szCs w:val="17"/>
          <w:u w:val="single" w:color="auto"/>
          <w:color w:val="auto"/>
        </w:rPr>
        <w:t>and</w:t>
      </w:r>
      <w:r>
        <w:rPr>
          <w:rFonts w:ascii="Times New Roman" w:cs="Times New Roman" w:eastAsia="Times New Roman" w:hAnsi="Times New Roman"/>
          <w:sz w:val="17"/>
          <w:szCs w:val="17"/>
          <w:color w:val="auto"/>
        </w:rPr>
        <w:t xml:space="preserve"> after obtaining pre-clearance from the General Counsel.</w:t>
      </w:r>
    </w:p>
    <w:p>
      <w:pPr>
        <w:spacing w:after="0" w:line="166" w:lineRule="exact"/>
        <w:rPr>
          <w:sz w:val="20"/>
          <w:szCs w:val="20"/>
          <w:color w:val="auto"/>
        </w:rPr>
      </w:pPr>
    </w:p>
    <w:p>
      <w:pPr>
        <w:ind w:left="1420" w:hanging="764"/>
        <w:spacing w:after="0"/>
        <w:tabs>
          <w:tab w:leader="none" w:pos="14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Duration of Policy’s Applicability</w:t>
      </w:r>
    </w:p>
    <w:p>
      <w:pPr>
        <w:spacing w:after="0" w:line="227" w:lineRule="exact"/>
        <w:rPr>
          <w:sz w:val="20"/>
          <w:szCs w:val="20"/>
          <w:color w:val="auto"/>
        </w:rPr>
      </w:pPr>
    </w:p>
    <w:p>
      <w:pPr>
        <w:ind w:right="220" w:firstLine="648"/>
        <w:spacing w:after="0" w:line="274" w:lineRule="auto"/>
        <w:rPr>
          <w:sz w:val="20"/>
          <w:szCs w:val="20"/>
          <w:color w:val="auto"/>
        </w:rPr>
      </w:pPr>
      <w:r>
        <w:rPr>
          <w:rFonts w:ascii="Times New Roman" w:cs="Times New Roman" w:eastAsia="Times New Roman" w:hAnsi="Times New Roman"/>
          <w:sz w:val="17"/>
          <w:szCs w:val="17"/>
          <w:color w:val="auto"/>
        </w:rPr>
        <w:t>This Policy may continue to apply to your transactions in the securities of the Roivant Group Companies or the securities of other public companies engaged in business transactions with the Company even after your directorship, holding office or employment with the Company has terminated. Namely, if the Company determines that you are in possession of material non-public information when your relationship with the Company concludes, you are still subject to the restrictions contained in this Policy through the date that is one full trading day after the date the Company files its next Form 10-K or Form 10-Q (or earlier discloses such inside information), provided that you remain responsible for your compliance with applicable securities laws at all times, including even after your directorship, holding office or employment with the Company has terminated.</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2" w:name="page233"/>
    <w:bookmarkEnd w:id="232"/>
    <w:p>
      <w:pPr>
        <w:ind w:left="1420" w:hanging="764"/>
        <w:spacing w:after="0"/>
        <w:tabs>
          <w:tab w:leader="none" w:pos="14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Penalties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Anyone who effects transactions in the securities of the Roivant Group Companies or the securities of other public companies engaged in business transactions with the Company (or provides information to enable others to do so) on the basis of inside information is subject to both civil liability and criminal penalties, as well as disciplinary action by the Company including termination of employment or other service relationship. A Covered Insider who has questions about this Policy should contact the General Counsel.</w:t>
      </w:r>
    </w:p>
    <w:p>
      <w:pPr>
        <w:spacing w:after="0" w:line="178" w:lineRule="exact"/>
        <w:rPr>
          <w:sz w:val="20"/>
          <w:szCs w:val="20"/>
          <w:color w:val="auto"/>
        </w:rPr>
      </w:pPr>
    </w:p>
    <w:p>
      <w:pPr>
        <w:ind w:left="1420" w:hanging="764"/>
        <w:spacing w:after="0"/>
        <w:tabs>
          <w:tab w:leader="none" w:pos="14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Certification</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All Covered Insiders must certify his or her understanding of, and intent to comply with, the procedures set forth in this Policy at such times as may be requested by the General Counsel.</w:t>
      </w:r>
    </w:p>
    <w:p>
      <w:pPr>
        <w:spacing w:after="0" w:line="160" w:lineRule="exact"/>
        <w:rPr>
          <w:sz w:val="20"/>
          <w:szCs w:val="20"/>
          <w:color w:val="auto"/>
        </w:rPr>
      </w:pPr>
    </w:p>
    <w:p>
      <w:pPr>
        <w:ind w:left="1420" w:hanging="764"/>
        <w:spacing w:after="0"/>
        <w:tabs>
          <w:tab w:leader="none" w:pos="14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Policy Administration</w:t>
      </w:r>
    </w:p>
    <w:p>
      <w:pPr>
        <w:spacing w:after="0" w:line="227" w:lineRule="exact"/>
        <w:rPr>
          <w:sz w:val="20"/>
          <w:szCs w:val="20"/>
          <w:color w:val="auto"/>
        </w:rPr>
      </w:pPr>
    </w:p>
    <w:p>
      <w:pPr>
        <w:ind w:left="100" w:right="60" w:firstLine="648"/>
        <w:spacing w:after="0" w:line="266" w:lineRule="auto"/>
        <w:rPr>
          <w:sz w:val="20"/>
          <w:szCs w:val="20"/>
          <w:color w:val="auto"/>
        </w:rPr>
      </w:pPr>
      <w:r>
        <w:rPr>
          <w:rFonts w:ascii="Times New Roman" w:cs="Times New Roman" w:eastAsia="Times New Roman" w:hAnsi="Times New Roman"/>
          <w:sz w:val="18"/>
          <w:szCs w:val="18"/>
          <w:color w:val="auto"/>
        </w:rPr>
        <w:t>The General Counsel, or his or her delegate, shall have the authority to interpret the provisions of this Policy and make determinations with respect thereto that shall be binding on all Covered Insiders. In addition, the General Counsel, or his or her delegate, shall have the authority from time to time to grant exceptions to the provisions of this Policy consistent with applicable law.</w:t>
      </w:r>
    </w:p>
    <w:p>
      <w:pPr>
        <w:spacing w:after="0" w:line="174" w:lineRule="exact"/>
        <w:rPr>
          <w:sz w:val="20"/>
          <w:szCs w:val="20"/>
          <w:color w:val="auto"/>
        </w:rPr>
      </w:pPr>
    </w:p>
    <w:p>
      <w:pPr>
        <w:ind w:right="40" w:firstLine="656"/>
        <w:spacing w:after="0" w:line="284" w:lineRule="auto"/>
        <w:tabs>
          <w:tab w:leader="none" w:pos="132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Limitations on Securities Transactions Involving Unregistered Securities, or Transactions Involving Directors, Executive Officers, Affiliates, or Five Percent Shareholders of the Company</w:t>
      </w:r>
    </w:p>
    <w:p>
      <w:pPr>
        <w:spacing w:after="0" w:line="158" w:lineRule="exact"/>
        <w:rPr>
          <w:sz w:val="20"/>
          <w:szCs w:val="20"/>
          <w:color w:val="auto"/>
        </w:rPr>
      </w:pPr>
    </w:p>
    <w:p>
      <w:pPr>
        <w:ind w:left="2140" w:hanging="512"/>
        <w:spacing w:after="0"/>
        <w:tabs>
          <w:tab w:leader="none" w:pos="21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Resales – Rule 144.</w:t>
      </w:r>
    </w:p>
    <w:p>
      <w:pPr>
        <w:spacing w:after="0" w:line="22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The U.S. Securities Act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unregistered securities acquired in a private offering or sale) and (ii) public resales of securities by directors, executive officers and other control persons of a company (known as “affiliates”), whether restricted or unrestricted.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exemption in Rule 144 may only be relied upon if certain conditions are met. These conditions vary based upon whether a company has been subject to the SEC’s reporting requirements for 90 days (and is therefore a “reporting company” for purposes of the rule) and whether the person seeking to sell the securities is an affiliate or not. This section discusses the treatment of Roivant securities.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33" w:name="page234"/>
    <w:bookmarkEnd w:id="233"/>
    <w:p>
      <w:pPr>
        <w:ind w:left="20" w:right="340" w:firstLine="870"/>
        <w:spacing w:after="0" w:line="255" w:lineRule="auto"/>
        <w:tabs>
          <w:tab w:leader="none" w:pos="110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Holding Period</w:t>
      </w:r>
      <w:r>
        <w:rPr>
          <w:rFonts w:ascii="Times New Roman" w:cs="Times New Roman" w:eastAsia="Times New Roman" w:hAnsi="Times New Roman"/>
          <w:sz w:val="18"/>
          <w:szCs w:val="18"/>
          <w:color w:val="auto"/>
        </w:rPr>
        <w:t>. Restricted securities issued by a reporting company (i.e., a company that has been subject to the SEC’s 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Roivant securities from someone other than Roivant or its affiliate, the holding period of the person from whom the seller acquired such Roivant securities can be “tacked” to the seller’s holding period in determining if the holding period has been satisfied.</w:t>
      </w:r>
    </w:p>
    <w:p>
      <w:pPr>
        <w:spacing w:after="0" w:line="188" w:lineRule="exact"/>
        <w:rPr>
          <w:rFonts w:ascii="Times New Roman" w:cs="Times New Roman" w:eastAsia="Times New Roman" w:hAnsi="Times New Roman"/>
          <w:sz w:val="18"/>
          <w:szCs w:val="18"/>
          <w:color w:val="auto"/>
        </w:rPr>
      </w:pPr>
    </w:p>
    <w:p>
      <w:pPr>
        <w:ind w:left="20" w:right="240" w:firstLine="870"/>
        <w:spacing w:after="0" w:line="261" w:lineRule="auto"/>
        <w:tabs>
          <w:tab w:leader="none" w:pos="110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Current Public Information</w:t>
      </w:r>
      <w:r>
        <w:rPr>
          <w:rFonts w:ascii="Times New Roman" w:cs="Times New Roman" w:eastAsia="Times New Roman" w:hAnsi="Times New Roman"/>
          <w:sz w:val="18"/>
          <w:szCs w:val="18"/>
          <w:color w:val="auto"/>
        </w:rPr>
        <w:t>. Current information about Roivant must be publicly available before the sale can be made. Roivant’s periodic reports filed with the SEC ordinarily satisfy this requirement. If the seller is not an affiliate of Roivant (and has not been an affiliate for at least three months) and one year has passed since the Roivant securities were acquired from Roivant its affiliate (whichever is later), the seller can sell such Roivant securities without regard to the current public information requirement.</w:t>
      </w:r>
    </w:p>
    <w:p>
      <w:pPr>
        <w:spacing w:after="0" w:line="180" w:lineRule="exact"/>
        <w:rPr>
          <w:sz w:val="20"/>
          <w:szCs w:val="20"/>
          <w:color w:val="auto"/>
        </w:rPr>
      </w:pPr>
    </w:p>
    <w:p>
      <w:pPr>
        <w:jc w:val="both"/>
        <w:ind w:right="160" w:firstLine="864"/>
        <w:spacing w:after="0" w:line="266" w:lineRule="auto"/>
        <w:rPr>
          <w:sz w:val="20"/>
          <w:szCs w:val="20"/>
          <w:color w:val="auto"/>
        </w:rPr>
      </w:pPr>
      <w:r>
        <w:rPr>
          <w:rFonts w:ascii="Times New Roman" w:cs="Times New Roman" w:eastAsia="Times New Roman" w:hAnsi="Times New Roman"/>
          <w:sz w:val="18"/>
          <w:szCs w:val="18"/>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76" w:lineRule="exact"/>
        <w:rPr>
          <w:sz w:val="20"/>
          <w:szCs w:val="20"/>
          <w:color w:val="auto"/>
        </w:rPr>
      </w:pPr>
    </w:p>
    <w:p>
      <w:pPr>
        <w:ind w:left="20" w:right="200" w:firstLine="870"/>
        <w:spacing w:after="0" w:line="277" w:lineRule="auto"/>
        <w:tabs>
          <w:tab w:leader="none" w:pos="1109"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Volume Limitations</w:t>
      </w:r>
      <w:r>
        <w:rPr>
          <w:rFonts w:ascii="Times New Roman" w:cs="Times New Roman" w:eastAsia="Times New Roman" w:hAnsi="Times New Roman"/>
          <w:sz w:val="17"/>
          <w:szCs w:val="17"/>
          <w:color w:val="auto"/>
        </w:rPr>
        <w:t>. The amount of debt securities that can be sold by an affiliate during any three-month period cannot exceed 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spacing w:after="0" w:line="167" w:lineRule="exact"/>
        <w:rPr>
          <w:rFonts w:ascii="Times New Roman" w:cs="Times New Roman" w:eastAsia="Times New Roman" w:hAnsi="Times New Roman"/>
          <w:sz w:val="17"/>
          <w:szCs w:val="17"/>
          <w:color w:val="auto"/>
        </w:rPr>
      </w:pPr>
    </w:p>
    <w:p>
      <w:pPr>
        <w:ind w:left="20" w:right="660" w:firstLine="870"/>
        <w:spacing w:after="0" w:line="282" w:lineRule="auto"/>
        <w:tabs>
          <w:tab w:leader="none" w:pos="110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Sale</w:t>
      </w:r>
      <w:r>
        <w:rPr>
          <w:rFonts w:ascii="Times New Roman" w:cs="Times New Roman" w:eastAsia="Times New Roman" w:hAnsi="Times New Roman"/>
          <w:sz w:val="18"/>
          <w:szCs w:val="18"/>
          <w:color w:val="auto"/>
        </w:rPr>
        <w:t>. Equity securities held by affiliates must be sold in unsolicited brokers’ transactions, directly to a market-maker or in riskless principal transactions.</w:t>
      </w:r>
    </w:p>
    <w:p>
      <w:pPr>
        <w:spacing w:after="0" w:line="161" w:lineRule="exact"/>
        <w:rPr>
          <w:rFonts w:ascii="Times New Roman" w:cs="Times New Roman" w:eastAsia="Times New Roman" w:hAnsi="Times New Roman"/>
          <w:sz w:val="18"/>
          <w:szCs w:val="18"/>
          <w:color w:val="auto"/>
        </w:rPr>
      </w:pPr>
    </w:p>
    <w:p>
      <w:pPr>
        <w:ind w:left="20" w:right="220" w:firstLine="870"/>
        <w:spacing w:after="0" w:line="266" w:lineRule="auto"/>
        <w:tabs>
          <w:tab w:leader="none" w:pos="110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Sale</w:t>
      </w:r>
      <w:r>
        <w:rPr>
          <w:rFonts w:ascii="Times New Roman" w:cs="Times New Roman" w:eastAsia="Times New Roman" w:hAnsi="Times New Roman"/>
          <w:sz w:val="18"/>
          <w:szCs w:val="18"/>
          <w:color w:val="auto"/>
        </w:rPr>
        <w:t>. An affiliate seller must file a notice of the proposed sale with the SEC at the time the order to sell is placed with the broker, unless the amount to be sold neither exceeds 5,000 shares nor involves sale proceeds greater than $50,000 (see “Filing Requirements,” below).</w:t>
      </w:r>
    </w:p>
    <w:p>
      <w:pPr>
        <w:spacing w:after="0" w:line="174" w:lineRule="exact"/>
        <w:rPr>
          <w:sz w:val="20"/>
          <w:szCs w:val="20"/>
          <w:color w:val="auto"/>
        </w:rPr>
      </w:pPr>
    </w:p>
    <w:p>
      <w:pPr>
        <w:ind w:firstLine="86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are not deemed to involve sales of shares for purposes of Rule 144, so they can be made at any time without limitation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amount of the gift under Rule 144. Donees who receive restricted securities from an affiliate generally will be subject to the same restrictions under Rule 144 that would have applied to the donor, depending on the circumstances.</w:t>
      </w:r>
    </w:p>
    <w:p>
      <w:pPr>
        <w:spacing w:after="0" w:line="33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40640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40" w:top="121" w:right="359" w:bottom="1440" w:gutter="0" w:footer="0" w:header="0"/>
        </w:sectPr>
      </w:pPr>
    </w:p>
    <w:bookmarkStart w:id="234" w:name="page235"/>
    <w:bookmarkEnd w:id="234"/>
    <w:p>
      <w:pPr>
        <w:ind w:left="2200" w:hanging="572"/>
        <w:spacing w:after="0"/>
        <w:tabs>
          <w:tab w:leader="none" w:pos="22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Resales.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Roivant directors and executive officers also may sell securities in a private transaction without registration pursuant to Section 4(a)(7) of the Securities Act, which allows resales of shares of reporting companies to accredited investors, provided that the sale is not solicited by any form of general solicitation or advertising. There are a number of additional requirements, including that the seller and persons participating in the sale on a remunerated basis are not “bad actors” under Rule 506(d)(1) of Regulation D or otherwise subject to certain statutory disqualifications; the Company is engaged in a business and not in bankruptcy; and the securities offered have been outstanding for at least 90 days and are not part of an unsold underwriter's allotment. Private resales raise certain documentation and other issues and must be reviewed in advance by the General Counsel.</w:t>
      </w:r>
    </w:p>
    <w:p>
      <w:pPr>
        <w:spacing w:after="0" w:line="185" w:lineRule="exact"/>
        <w:rPr>
          <w:sz w:val="20"/>
          <w:szCs w:val="20"/>
          <w:color w:val="auto"/>
        </w:rPr>
      </w:pPr>
    </w:p>
    <w:p>
      <w:pPr>
        <w:ind w:left="2180" w:hanging="552"/>
        <w:spacing w:after="0"/>
        <w:tabs>
          <w:tab w:leader="none" w:pos="21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Purchases of Roivant Securities.</w:t>
      </w:r>
    </w:p>
    <w:p>
      <w:pPr>
        <w:spacing w:after="0" w:line="227" w:lineRule="exact"/>
        <w:rPr>
          <w:sz w:val="20"/>
          <w:szCs w:val="20"/>
          <w:color w:val="auto"/>
        </w:rPr>
      </w:pPr>
    </w:p>
    <w:p>
      <w:pPr>
        <w:ind w:left="100" w:right="200" w:firstLine="648"/>
        <w:spacing w:after="0" w:line="261" w:lineRule="auto"/>
        <w:rPr>
          <w:sz w:val="20"/>
          <w:szCs w:val="20"/>
          <w:color w:val="auto"/>
        </w:rPr>
      </w:pPr>
      <w:r>
        <w:rPr>
          <w:rFonts w:ascii="Times New Roman" w:cs="Times New Roman" w:eastAsia="Times New Roman" w:hAnsi="Times New Roman"/>
          <w:sz w:val="18"/>
          <w:szCs w:val="18"/>
          <w:color w:val="auto"/>
        </w:rPr>
        <w:t>In order to prevent market manipulation, the SEC adopted Regulation M under the Exchange Act. Regulation M generally restricts Roivant or any of its affiliates from buying Roivant stock, including as part of a share buyback program, in the open market during certain periods while a distribution, such as a public offering, is taking place. If you are an affiliate of the Company, you should consult with the General Counsel if you desire to make purchases of Roivant stock during any period that Roivant is conducting an offering or buying shares from the public.</w:t>
      </w:r>
    </w:p>
    <w:p>
      <w:pPr>
        <w:spacing w:after="0" w:line="178" w:lineRule="exact"/>
        <w:rPr>
          <w:sz w:val="20"/>
          <w:szCs w:val="20"/>
          <w:color w:val="auto"/>
        </w:rPr>
      </w:pPr>
    </w:p>
    <w:p>
      <w:pPr>
        <w:ind w:left="2200" w:hanging="572"/>
        <w:spacing w:after="0"/>
        <w:tabs>
          <w:tab w:leader="none" w:pos="22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Disgorgement of Profits on Short-Swing Transactions – Section 16(b).</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Section 16 of the Exchange Act applies to directors and executive officers of a company and to any person owning more than ten percent of any registered class of a company’s equity securities. The section is intended to deter such persons (collectively referred to below as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from misusing confidential information about their companies for personal trading gain. Section 16(a) requires insiders to publicly disclose any changes in their beneficial ownership of such company’s equity securities (see “Filing Requirements”, below). Section 16(b) requires insiders to disgorge to such company any “profit” resulting from “short-swing” trades, as discussed more fully below. Section 16(c) effectively prohibits insiders from engaging in short sales (see “Prohibition of Short Sales,” below).</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Section 16(b), any profit realized by an insider on a “short-swing”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purchase and sale, or sale and purchase, of Roivant’s equity securities within a period of less than six months) must be disgorged to Roivant upon demand by Roivant or a stockholder acting on its behalf. By law, Roivant cannot waive or release any claim it may have under Section 16(b), or enter into an enforceable agreement to provide indemnification for amounts recovered under the section.</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35" w:name="page236"/>
    <w:bookmarkEnd w:id="235"/>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Liability under Section 16(b) is imposed in a mechanical fashion without regard to whether the insider intended to violate the section. Good faith, therefore, is not a defense. All that is necessary for a successful claim is to show that the insider realized “profits” on a short-swing transaction; however, profit, for this purpose, is calculated as the difference between the sale price and the purchase price in the matching transactions, and may be unrelated to the actual gain on the shares sold. When computing recoverable profits on multiple purchases and sales within a six month period, the courts maximize the recovery by matching the lowest purchase price with the highest sale price, the next lowest purchase price with the next highest sale price, and so on. The use of this method makes it possible for an insider to sustain a net loss on a series of transactions while having recoverable profits.</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terms “purchase” and “sale” are construed under Section 16(b) to cover a broad range of transactions, including acquisitions and dispositions in tender offers and certain corporate reorganizations. Moreover, purchases and sales by an insider may be matched with transactions by any person (such as certain family members) whose securities are deemed to be beneficially owned by the insider.</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Section 16 rules are complicated and present ample opportunity for inadvertent error. To avoid unnecessary costs and potential embarrassment for insiders and the Company, Roivant executive officers and directors are strongly urged to consult with the General Counsel, prior to engaging in any transaction or other transfer of Roivant equity securities regarding the potential applicability of Section 16(b).</w:t>
      </w:r>
    </w:p>
    <w:p>
      <w:pPr>
        <w:spacing w:after="0" w:line="174" w:lineRule="exact"/>
        <w:rPr>
          <w:sz w:val="20"/>
          <w:szCs w:val="20"/>
          <w:color w:val="auto"/>
        </w:rPr>
      </w:pPr>
    </w:p>
    <w:p>
      <w:pPr>
        <w:ind w:left="2240" w:hanging="612"/>
        <w:spacing w:after="0"/>
        <w:tabs>
          <w:tab w:leader="none" w:pos="22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Prohibition of Short Sales.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Section 16(c), insiders are prohibited from effecting “short sales” of the company’s equity securities. A “short sale” is one involving securities which the seller does not own at the time of sale, or, if owned, are not delivered within 20 days after the sale or deposited in the mail or other usual channels of transportation within five days after the sale. Wholly apart from Section 16(c), Company personnel are prohibited from selling Roivant’s stock short. This type of activity is inherently speculative in nature and is contrary to the best interests of the Company and its stockholders.</w:t>
      </w:r>
    </w:p>
    <w:p>
      <w:pPr>
        <w:spacing w:after="0" w:line="178" w:lineRule="exact"/>
        <w:rPr>
          <w:sz w:val="20"/>
          <w:szCs w:val="20"/>
          <w:color w:val="auto"/>
        </w:rPr>
      </w:pPr>
    </w:p>
    <w:p>
      <w:pPr>
        <w:ind w:left="2220" w:hanging="592"/>
        <w:spacing w:after="0"/>
        <w:tabs>
          <w:tab w:leader="none" w:pos="22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Requirements.</w:t>
      </w:r>
    </w:p>
    <w:p>
      <w:pPr>
        <w:spacing w:after="0" w:line="227"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3, 4 and 5</w:t>
      </w:r>
      <w:r>
        <w:rPr>
          <w:rFonts w:ascii="Times New Roman" w:cs="Times New Roman" w:eastAsia="Times New Roman" w:hAnsi="Times New Roman"/>
          <w:sz w:val="18"/>
          <w:szCs w:val="18"/>
          <w:color w:val="auto"/>
        </w:rPr>
        <w:t xml:space="preserve">. Under Section 16(a) of the Exchange Act, insiders must file with the SEC public reports disclosing their holdings of and transactions involving, the company’s equity securities. An initial report on Form 3 must be filed by every insider within 10 days after election or appointment disclosing </w:t>
      </w:r>
      <w:r>
        <w:rPr>
          <w:rFonts w:ascii="Times New Roman" w:cs="Times New Roman" w:eastAsia="Times New Roman" w:hAnsi="Times New Roman"/>
          <w:sz w:val="18"/>
          <w:szCs w:val="18"/>
          <w:i w:val="1"/>
          <w:iCs w:val="1"/>
          <w:color w:val="auto"/>
        </w:rPr>
        <w:t>all</w:t>
      </w:r>
      <w:r>
        <w:rPr>
          <w:rFonts w:ascii="Times New Roman" w:cs="Times New Roman" w:eastAsia="Times New Roman" w:hAnsi="Times New Roman"/>
          <w:sz w:val="18"/>
          <w:szCs w:val="18"/>
          <w:color w:val="auto"/>
        </w:rPr>
        <w:t xml:space="preserve"> equity securities of such company beneficially owned by the reporting person on the date he became an insider. Even if no securities were owned on that date, the insider must file a report. Any subsequent change in the nature or amount of beneficial ownership by the insider must be reported on Form 4 and filed by the end of the second business day following the date of the transaction (including reporting the donation of Roivant equity securities). Certain exempt transactions may be reported on Form 5 within 45 days after the end of the fiscal year. The fact that an insider’s transactions during the month resulted in no net change, or the fact that no securities were owned after the transactions were completed, does not provide a basis for failing to report.</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6" w:name="page237"/>
    <w:bookmarkEnd w:id="236"/>
    <w:p>
      <w:pPr>
        <w:ind w:left="1288" w:firstLine="486"/>
        <w:spacing w:after="0" w:line="261" w:lineRule="auto"/>
        <w:rPr>
          <w:sz w:val="20"/>
          <w:szCs w:val="20"/>
          <w:color w:val="auto"/>
        </w:rPr>
      </w:pPr>
      <w:r>
        <w:rPr>
          <w:rFonts w:ascii="Times New Roman" w:cs="Times New Roman" w:eastAsia="Times New Roman" w:hAnsi="Times New Roman"/>
          <w:sz w:val="18"/>
          <w:szCs w:val="18"/>
          <w:color w:val="auto"/>
        </w:rPr>
        <w:t>All changes in the amount or the form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direct or indirect) of beneficial ownership (not just purchases and sales) by an insider must be reported. Thus, such transactions as gifts ordinarily are reportable. Moreover, an executive officer or director who has ceased to be an executive officer or director must report any transactions after termination which occurred within six months of a transaction that occurred while the person was an insider.</w:t>
      </w:r>
    </w:p>
    <w:p>
      <w:pPr>
        <w:spacing w:after="0" w:line="182" w:lineRule="exact"/>
        <w:rPr>
          <w:sz w:val="20"/>
          <w:szCs w:val="20"/>
          <w:color w:val="auto"/>
        </w:rPr>
      </w:pPr>
    </w:p>
    <w:p>
      <w:pPr>
        <w:ind w:left="1288" w:right="40" w:firstLine="486"/>
        <w:spacing w:after="0" w:line="254" w:lineRule="auto"/>
        <w:rPr>
          <w:sz w:val="20"/>
          <w:szCs w:val="20"/>
          <w:color w:val="auto"/>
        </w:rPr>
      </w:pPr>
      <w:r>
        <w:rPr>
          <w:rFonts w:ascii="Times New Roman" w:cs="Times New Roman" w:eastAsia="Times New Roman" w:hAnsi="Times New Roman"/>
          <w:sz w:val="18"/>
          <w:szCs w:val="18"/>
          <w:color w:val="auto"/>
        </w:rPr>
        <w:t>The reports under Section 16(a) are intended to cover all securities beneficially owned either directly by the insider or indirectly through others. An insider is considered the direct owner of all Roivant equity securities held in his or her own name or held jointly with others. An insider is considered the indirect owner of any securities from which he obtains benefits substantially equivalent to those of ownership. Thus, equity securities of Roivant beneficially owned through partnerships, corporations, trusts, estates and by family members generally are subject to reporting. Absent countervailing facts, an insider is presumed to be the beneficial owner of securities held by his or her spouse and other family members sharing the same household. But an insider is free to disclaim beneficial ownership of these or any other securities being reported if the insider believes there is a reasonable basis for doing so.</w:t>
      </w:r>
    </w:p>
    <w:p>
      <w:pPr>
        <w:spacing w:after="0" w:line="192" w:lineRule="exact"/>
        <w:rPr>
          <w:sz w:val="20"/>
          <w:szCs w:val="20"/>
          <w:color w:val="auto"/>
        </w:rPr>
      </w:pPr>
    </w:p>
    <w:p>
      <w:pPr>
        <w:ind w:left="1288" w:right="20" w:firstLine="486"/>
        <w:spacing w:after="0" w:line="254" w:lineRule="auto"/>
        <w:rPr>
          <w:sz w:val="20"/>
          <w:szCs w:val="20"/>
          <w:color w:val="auto"/>
        </w:rPr>
      </w:pPr>
      <w:r>
        <w:rPr>
          <w:rFonts w:ascii="Times New Roman" w:cs="Times New Roman" w:eastAsia="Times New Roman" w:hAnsi="Times New Roman"/>
          <w:sz w:val="18"/>
          <w:szCs w:val="18"/>
          <w:color w:val="auto"/>
        </w:rPr>
        <w:t>It is important that reports under Section 16(a) be prepared properly and filed on a timely basis. The reports must be received at the SEC by the filing deadline. There is no provision for an extension of the filing deadlines, and the SEC can take enforcement action against insiders who do not comply fully with the filing requirements. In addition, Roivant is required to disclose in its annual proxy statement the names of insiders who failed to file Section 16(a) reports properly during the fiscal year, along with the particulars of such instances of noncompliance. Accordingly, all Roivant directors and executive officers must notify the General Counsel, prior to any transactions or changes in their or their family members’ beneficial ownership involving Roivant stock and are strongly encouraged to avail themselves of the assistance available from the General Counsel’s office in satisfying the reporting requirements.</w:t>
      </w:r>
    </w:p>
    <w:p>
      <w:pPr>
        <w:spacing w:after="0" w:line="192" w:lineRule="exact"/>
        <w:rPr>
          <w:sz w:val="20"/>
          <w:szCs w:val="20"/>
          <w:color w:val="auto"/>
        </w:rPr>
      </w:pPr>
    </w:p>
    <w:p>
      <w:pPr>
        <w:ind w:left="328" w:right="320" w:hanging="328"/>
        <w:spacing w:after="0" w:line="261" w:lineRule="auto"/>
        <w:tabs>
          <w:tab w:leader="none" w:pos="32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13D and 13G</w:t>
      </w:r>
      <w:r>
        <w:rPr>
          <w:rFonts w:ascii="Times New Roman" w:cs="Times New Roman" w:eastAsia="Times New Roman" w:hAnsi="Times New Roman"/>
          <w:sz w:val="18"/>
          <w:szCs w:val="18"/>
          <w:color w:val="auto"/>
        </w:rPr>
        <w:t>. Section 13(d) of the Exchange Act requires the filing of a statement on Schedule 13D (or on Schedule 13G, in certain limited circumstances) by any person or group which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spacing w:after="0" w:line="180" w:lineRule="exact"/>
        <w:rPr>
          <w:sz w:val="20"/>
          <w:szCs w:val="20"/>
          <w:color w:val="auto"/>
        </w:rPr>
      </w:pPr>
    </w:p>
    <w:p>
      <w:pPr>
        <w:ind w:left="1288" w:right="80" w:firstLine="486"/>
        <w:spacing w:after="0" w:line="261" w:lineRule="auto"/>
        <w:rPr>
          <w:sz w:val="20"/>
          <w:szCs w:val="20"/>
          <w:color w:val="auto"/>
        </w:rPr>
      </w:pPr>
      <w:r>
        <w:rPr>
          <w:rFonts w:ascii="Times New Roman" w:cs="Times New Roman" w:eastAsia="Times New Roman" w:hAnsi="Times New Roman"/>
          <w:sz w:val="18"/>
          <w:szCs w:val="18"/>
          <w:color w:val="auto"/>
        </w:rPr>
        <w:t>A report on Schedule 13D is required to be filed with the SEC and submitted to Roivant within five business days after the reporting threshold is reached. If a material change occurs in the facts set forth in the Schedule 13D, such as an increase or decrease of one percent or more in the percentage of stock beneficially owned, an amendment disclosing the change must be filed within two business days. A decrease in beneficial ownership to less than five percent is per se material and must be reported.</w:t>
      </w:r>
    </w:p>
    <w:p>
      <w:pPr>
        <w:spacing w:after="0" w:line="337"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119" w:right="379" w:bottom="1440" w:gutter="0" w:footer="0" w:header="0"/>
        </w:sectPr>
      </w:pPr>
    </w:p>
    <w:bookmarkStart w:id="237" w:name="page238"/>
    <w:bookmarkEnd w:id="237"/>
    <w:p>
      <w:pPr>
        <w:ind w:left="1288" w:right="100" w:firstLine="486"/>
        <w:spacing w:after="0" w:line="281" w:lineRule="auto"/>
        <w:rPr>
          <w:sz w:val="20"/>
          <w:szCs w:val="20"/>
          <w:color w:val="auto"/>
        </w:rPr>
      </w:pPr>
      <w:r>
        <w:rPr>
          <w:rFonts w:ascii="Times New Roman" w:cs="Times New Roman" w:eastAsia="Times New Roman" w:hAnsi="Times New Roman"/>
          <w:sz w:val="17"/>
          <w:szCs w:val="17"/>
          <w:color w:val="auto"/>
        </w:rPr>
        <w:t>A limited category of persons (such as banks, broker-dealers and insurance companies) may file on Schedule 13G, which is a much abbreviated version of Schedule 13D, as long as the securities were acquired in the ordinary course of business and not with the purpose or effect of changing or influencing the control of the issuer. A report on Schedule 13G is required to be filed with the SEC and submitted to the Company within 45 days after the end of the calendar quarter in which the reporting threshold is reached.</w:t>
      </w:r>
    </w:p>
    <w:p>
      <w:pPr>
        <w:spacing w:after="0" w:line="164" w:lineRule="exact"/>
        <w:rPr>
          <w:sz w:val="20"/>
          <w:szCs w:val="20"/>
          <w:color w:val="auto"/>
        </w:rPr>
      </w:pPr>
    </w:p>
    <w:p>
      <w:pPr>
        <w:ind w:left="1288" w:right="20" w:firstLine="486"/>
        <w:spacing w:after="0" w:line="261" w:lineRule="auto"/>
        <w:rPr>
          <w:sz w:val="20"/>
          <w:szCs w:val="20"/>
          <w:color w:val="auto"/>
        </w:rPr>
      </w:pPr>
      <w:r>
        <w:rPr>
          <w:rFonts w:ascii="Times New Roman" w:cs="Times New Roman" w:eastAsia="Times New Roman" w:hAnsi="Times New Roman"/>
          <w:sz w:val="18"/>
          <w:szCs w:val="18"/>
          <w:color w:val="auto"/>
        </w:rPr>
        <w:t>A person is deemed the beneficial owner of securities for purposes of Section 13(d) if such person has or shares voting power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power to vote or direct the voting of the securities) or dispositive power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power to sell or direct the sale of the securities). As is true under Section 16(a) of the Exchange Act, a person filing a Schedule 13D may disclaim beneficial ownership of any securities attributed to him or her if he or she believes there is a reasonable basis for doing so.</w:t>
      </w:r>
    </w:p>
    <w:p>
      <w:pPr>
        <w:spacing w:after="0" w:line="180" w:lineRule="exact"/>
        <w:rPr>
          <w:sz w:val="20"/>
          <w:szCs w:val="20"/>
          <w:color w:val="auto"/>
        </w:rPr>
      </w:pPr>
    </w:p>
    <w:p>
      <w:pPr>
        <w:jc w:val="both"/>
        <w:ind w:left="328" w:hanging="328"/>
        <w:spacing w:after="0" w:line="266" w:lineRule="auto"/>
        <w:tabs>
          <w:tab w:leader="none" w:pos="32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144</w:t>
      </w:r>
      <w:r>
        <w:rPr>
          <w:rFonts w:ascii="Times New Roman" w:cs="Times New Roman" w:eastAsia="Times New Roman" w:hAnsi="Times New Roman"/>
          <w:sz w:val="18"/>
          <w:szCs w:val="18"/>
          <w:color w:val="auto"/>
        </w:rPr>
        <w:t>. As described above under the discussion of Rule 144, an affiliate seller relying on Rule 144 must file a notice of proposed sale with the SEC at the time the order to sell is placed with the broker unless the amount to be sold during any three-month period neither exceeds 5,000 shares nor involves sale proceeds greater than $50,000.</w:t>
      </w:r>
    </w:p>
    <w:p>
      <w:pPr>
        <w:spacing w:after="0" w:line="33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121" w:right="359" w:bottom="1440" w:gutter="0" w:footer="0" w:header="0"/>
        </w:sectPr>
      </w:pPr>
    </w:p>
    <w:bookmarkStart w:id="238" w:name="page239"/>
    <w:bookmarkEnd w:id="238"/>
    <w:p>
      <w:pPr>
        <w:ind w:left="1046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Plan Requirements</w:t>
      </w:r>
    </w:p>
    <w:p>
      <w:pPr>
        <w:spacing w:after="0" w:line="22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All Company personnel who may come into possession of material non-public information from time to time during the course of their job responsibilities are encouraged to execute trades in Roivant securities through a plan established pursuant to SEC Rule 10b5-1 (a “</w:t>
      </w:r>
      <w:r>
        <w:rPr>
          <w:rFonts w:ascii="Times New Roman" w:cs="Times New Roman" w:eastAsia="Times New Roman" w:hAnsi="Times New Roman"/>
          <w:sz w:val="18"/>
          <w:szCs w:val="18"/>
          <w:b w:val="1"/>
          <w:bCs w:val="1"/>
          <w:color w:val="auto"/>
        </w:rPr>
        <w:t>Trading Plan</w:t>
      </w:r>
      <w:r>
        <w:rPr>
          <w:rFonts w:ascii="Times New Roman" w:cs="Times New Roman" w:eastAsia="Times New Roman" w:hAnsi="Times New Roman"/>
          <w:sz w:val="18"/>
          <w:szCs w:val="18"/>
          <w:color w:val="auto"/>
        </w:rPr>
        <w:t>”) approved by the Company in accordance with these requirements. Unless otherwise defined, capitalized terms used in this Annex A have the meaning given to those terms in Roivant’s Insider Trading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Establishing a Trading Plan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 help establish and maintain the affirmative defense that the Trading Plans provide, a director, executive officer or employee may only enter into a Trading Plan in good faith (a) during a Window and (b) when he or she is not in possession of material non-public information. All purchases and sales under the Trading Plan must be made in accordance with the terms of the Trading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Waiting (“Cooling Off”) Period Before Trades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mandatory Cooling Off period is the time between the date the Trading Plan is adopted or modified and the date of the first possible trade under the Trading Plan thereafter. After establishing or modifying a Trading Plan, the earliest date on which trades may commence shall be:</w:t>
      </w:r>
    </w:p>
    <w:p>
      <w:pPr>
        <w:spacing w:after="0" w:line="162" w:lineRule="exact"/>
        <w:rPr>
          <w:sz w:val="20"/>
          <w:szCs w:val="20"/>
          <w:color w:val="auto"/>
        </w:rPr>
      </w:pPr>
    </w:p>
    <w:p>
      <w:pPr>
        <w:ind w:left="660" w:right="120" w:hanging="328"/>
        <w:spacing w:after="0" w:line="266"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Roivant directors and executive officers only—the later of (a) 90 days following the date a Trading Plan is adopted or modified and (b) two business days following the filing by Roivant of a Form 10-K or Form 10-Q covering the fiscal quarter in which the Trading Plan was adopted or modified, but in no event later than 120 days following the date a Trading Plan is adopted or modified;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other Company personnel—at least 30 days following the date a Trading Plan is adopted or modified.</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noted above, most modifications to a Trading Plan will result in the imposition of a new Cooling Off period prior to which trades under the Trading Plan may take place. For more information, see “Modification and Termination of a Trading Plan” below.</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color w:val="auto"/>
        </w:rPr>
        <w:t>Form of Plan and Broker</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Company personnel are required to use a form of Trading Plan from a broker that has been pre-approved by the General Counsel. For Roivant’s directors and executive officers only, any Trading Plan established or modified after the effective date of Roivant’s Insider Trading Policy must include a certification to Roivant in writing, which can be made as part of establishing the Trading Plan, that he or she (a) is not aware of any material non-public information concerning Roivant and (b) is adopting the Trading Plan in good faith and not as part of a plan to evade the prohibition against insider trading. Upon request, Roivant legal can provide further information on form Trading Plan documentation and required certifications.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Length of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determined by the General Counsel, Trading Plans shall have a minimum term of six months and a maximum term of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Termination of Trading Plan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individual who enters into a Trading Plan must act in good faith. As a result, individuals with Trading Plans are strongly discouraged from modifying or terminating Trading Plans, as the effectiveness of the Trading Plan as an affirmative defense against insider trading is weakened by a pattern of plan changes. Any modification may be implemented only in good faith during a trading Window and when the person executing such Trading Plan is not in possession of material non-public information concerning Roivant and with the prior approval of the General Counsel or his or her designee. Trading under a modified Trading Plan shall not commence until the applicable Cooling Off period specified above has concluded, except that certain modifications to a Trading Plan that do not change the pricing, amount of securities or timing of trades, or where a broker executing trades on behalf of the insider is substituted by a different broker (so long as the purchase or sales instructions remain the same) will generally not require trigger a new Cooling Off period. Reactivation of a suspended Trading Plan will require compliance with the applicable Cooling Off period described above.</w:t>
      </w:r>
    </w:p>
    <w:p>
      <w:pPr>
        <w:spacing w:after="0" w:line="1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Termination of a Trading Plan is only permitted with the prior approval of the General Counsel or his or her designee. Entry into a subsequent Trading Plan by an individual who earlier terminated his or her Trading Plan is subject to both the prior approval by the General Counsel or his or her designee and a new Cooling Off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Outside of Plans</w:t>
      </w:r>
    </w:p>
    <w:p>
      <w:pPr>
        <w:spacing w:after="0" w:line="229"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Once a Trading Plan is established, trading outside the Plan is strongly discouraged and is otherwise subject to the requirements set forth in Roivant’s Insider Trading Policy. Trading outside a Trading Plan may call into question whether the insider acted in good faith as required by Rule 10b5-1.</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color w:val="auto"/>
        </w:rPr>
        <w:t>Multiple Plans</w:t>
      </w:r>
    </w:p>
    <w:p>
      <w:pPr>
        <w:spacing w:after="0" w:line="22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Multiple overlapping Trading Plans are prohibited by SEC rules, except in certain cases involving: (i) a series of separate contracts with different brokers, which may be treated as a single plan so long as the contracts taken together meet certain conditions; (ii) the adoption of a later Trading Plan if trading under a later commencing plan does not start until all trades under earlier-commencing plans expire or are completed, without being terminated; or</w:t>
      </w:r>
    </w:p>
    <w:p>
      <w:pPr>
        <w:spacing w:after="0" w:line="1" w:lineRule="exact"/>
        <w:rPr>
          <w:sz w:val="20"/>
          <w:szCs w:val="20"/>
          <w:color w:val="auto"/>
        </w:rPr>
      </w:pPr>
    </w:p>
    <w:p>
      <w:pPr>
        <w:ind w:right="140" w:firstLine="8"/>
        <w:spacing w:after="0" w:line="260" w:lineRule="auto"/>
        <w:tabs>
          <w:tab w:leader="none" w:pos="31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plan for purposes of limited “sell-to-cover” transactions under which the insider instructs his or her broker to sell securities to satisfy tax withholding obligations in connection with the vesting of incentive compensation, except in the case of sell-to-cover in connection with option exercises.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unless otherwise determined by the General Counsel, Company personnel may only have one active Trading Plan in place at a time. A single Trading Plan can incorporate multiple trading strategies.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Department Approval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Trading Plan may not be entered into, modified or terminated without the prior approval of the General Counsel or his or her designee.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Requirements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Trades under Trading Plans remain subject to Section 16 reporting and reporting under Form 144, as applicable.</w:t>
      </w:r>
    </w:p>
    <w:p>
      <w:pPr>
        <w:spacing w:after="0" w:line="200" w:lineRule="exact"/>
        <w:rPr>
          <w:sz w:val="20"/>
          <w:szCs w:val="20"/>
          <w:color w:val="auto"/>
        </w:rPr>
      </w:pPr>
    </w:p>
    <w:p>
      <w:pPr>
        <w:spacing w:after="0" w:line="23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of Roivant Sciences Ltd.</w:t>
      </w:r>
    </w:p>
    <w:p>
      <w:pPr>
        <w:spacing w:after="0" w:line="229" w:lineRule="exact"/>
        <w:rPr>
          <w:sz w:val="20"/>
          <w:szCs w:val="20"/>
          <w:color w:val="auto"/>
        </w:rPr>
      </w:pPr>
    </w:p>
    <w:p>
      <w:pPr>
        <w:ind w:right="880" w:firstLine="8"/>
        <w:spacing w:after="0" w:line="282" w:lineRule="auto"/>
        <w:tabs>
          <w:tab w:leader="none" w:pos="13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certain other subsidiaries of Roivant Sciences Ltd. are omitted because, considered in the aggregate, they would not constitute a “significant subsidiary.”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Jurisdiction of Incorporation or</w:t>
            </w: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Covant Therapeutics Operating, Inc.</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Genevant Sciences BioVentures GmbH</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Genevant Sciences Corporation</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Genevant Sciences GmbH</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Genevant Sciences Ltd.</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Genevant Sciences, Inc.</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Immunovant Sciences GmbH</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Immunovant Sciences Ltd.</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Immunovant, Inc.</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IMVT Corporation</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Lokavant Holdings, Inc.</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Lokavant, Inc.</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 Holdings, Inc.</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Priovant Therapeutics, Inc.</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Pulmovant, Inc.</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Pulmovant Sciences, Inc.</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Roivant Discovery, Inc.</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Roivant Sciences GmbH</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Roivant Sciences, Inc.</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Roivant Treasury Holdings, Inc.</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Roivant Treasury, Inc.</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Zest Dermatology Holdings, Inc.</w:t>
            </w:r>
          </w:p>
        </w:tc>
        <w:tc>
          <w:tcPr>
            <w:tcW w:w="6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Zest Dermatology, Inc.</w:t>
            </w:r>
          </w:p>
        </w:tc>
        <w:tc>
          <w:tcPr>
            <w:tcW w:w="6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520"/>
        </w:trPr>
        <w:tc>
          <w:tcPr>
            <w:tcW w:w="50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460" w:hanging="317"/>
        <w:spacing w:after="0"/>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333-281061) pertaining to the Roivant Sciences Ltd. 2021 Equity Incentive Plan,</w:t>
      </w:r>
    </w:p>
    <w:p>
      <w:pPr>
        <w:spacing w:after="0" w:line="27" w:lineRule="exact"/>
        <w:rPr>
          <w:rFonts w:ascii="Times New Roman" w:cs="Times New Roman" w:eastAsia="Times New Roman" w:hAnsi="Times New Roman"/>
          <w:sz w:val="18"/>
          <w:szCs w:val="18"/>
          <w:color w:val="auto"/>
        </w:rPr>
      </w:pPr>
    </w:p>
    <w:p>
      <w:pPr>
        <w:ind w:left="460" w:right="260" w:hanging="317"/>
        <w:spacing w:after="0" w:line="250"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333-260173) pertaining to the Roivant Sciences Ltd. 2021 Equity Incentive Plan, the Roivant Sciences Ltd. Employee Stock Purchase Plan and the Roivant Sciences Ltd. Amended and Restated 2015 Equity Incentive Plan,</w:t>
      </w:r>
    </w:p>
    <w:p>
      <w:pPr>
        <w:ind w:left="460" w:right="340" w:hanging="317"/>
        <w:spacing w:after="0" w:line="250"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333-265867) pertaining to the Roivant Sciences Ltd. 2021 Equity Incentive Plan and the Roivant Sciences Ltd. Employee Stock Purchase Plan,</w:t>
      </w:r>
    </w:p>
    <w:p>
      <w:pPr>
        <w:ind w:left="460" w:hanging="317"/>
        <w:spacing w:after="0"/>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333-267503),</w:t>
      </w:r>
    </w:p>
    <w:p>
      <w:pPr>
        <w:spacing w:after="0" w:line="9" w:lineRule="exact"/>
        <w:rPr>
          <w:rFonts w:ascii="Times New Roman" w:cs="Times New Roman" w:eastAsia="Times New Roman" w:hAnsi="Times New Roman"/>
          <w:sz w:val="18"/>
          <w:szCs w:val="18"/>
          <w:color w:val="auto"/>
        </w:rPr>
      </w:pPr>
    </w:p>
    <w:p>
      <w:pPr>
        <w:ind w:left="460" w:right="340" w:hanging="317"/>
        <w:spacing w:after="0" w:line="250"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333-273000) pertaining to the Roivant Sciences Ltd. 2021 Equity Incentive Plan and the Roivant Sciences Ltd. Employee Stock Purchase Plan, and</w:t>
      </w:r>
    </w:p>
    <w:p>
      <w:pPr>
        <w:ind w:left="460" w:hanging="317"/>
        <w:spacing w:after="0"/>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333-274804);</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 our reports dated May 29, 2025, with respect to the consolidated financial statements of Roivant Sciences Ltd. and the effectiveness of internal control over financial reporting of Roivant Sciences Ltd. included in this Annual Report (Form 10-K) of Roivant Sciences Ltd. for the year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Gline, certify that:</w:t>
      </w:r>
    </w:p>
    <w:p>
      <w:pPr>
        <w:spacing w:after="0" w:line="225" w:lineRule="exact"/>
        <w:rPr>
          <w:sz w:val="20"/>
          <w:szCs w:val="20"/>
          <w:color w:val="auto"/>
        </w:rPr>
      </w:pPr>
    </w:p>
    <w:p>
      <w:pPr>
        <w:ind w:left="340" w:hanging="332"/>
        <w:spacing w:after="0"/>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Roivant Sciences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Gline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Pulik, certify that:</w:t>
      </w:r>
    </w:p>
    <w:p>
      <w:pPr>
        <w:spacing w:after="0" w:line="225" w:lineRule="exact"/>
        <w:rPr>
          <w:sz w:val="20"/>
          <w:szCs w:val="20"/>
          <w:color w:val="auto"/>
        </w:rPr>
      </w:pPr>
    </w:p>
    <w:p>
      <w:pPr>
        <w:ind w:left="340" w:hanging="332"/>
        <w:spacing w:after="0"/>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Roivant Sciences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Richard Pulik</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Matthew Gline, Principal Executive Officer of Roivant Sciences Ltd. (the “Company”), hereby certifies that, to the best of his knowledge:</w:t>
      </w:r>
    </w:p>
    <w:p>
      <w:pPr>
        <w:spacing w:after="0" w:line="176" w:lineRule="exact"/>
        <w:rPr>
          <w:sz w:val="20"/>
          <w:szCs w:val="20"/>
          <w:color w:val="auto"/>
        </w:rPr>
      </w:pPr>
    </w:p>
    <w:p>
      <w:pPr>
        <w:ind w:left="500" w:hanging="492"/>
        <w:spacing w:after="0" w:line="282" w:lineRule="auto"/>
        <w:tabs>
          <w:tab w:leader="none" w:pos="5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March 31, 2025,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Gline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Richard Pulik, Principal Financial Officer of Roivant Sciences Ltd. (the “Company”), hereby certifies that, to the best of his knowledge:</w:t>
      </w:r>
    </w:p>
    <w:p>
      <w:pPr>
        <w:spacing w:after="0" w:line="176" w:lineRule="exact"/>
        <w:rPr>
          <w:sz w:val="20"/>
          <w:szCs w:val="20"/>
          <w:color w:val="auto"/>
        </w:rPr>
      </w:pPr>
    </w:p>
    <w:p>
      <w:pPr>
        <w:ind w:left="500" w:hanging="492"/>
        <w:spacing w:after="0" w:line="282" w:lineRule="auto"/>
        <w:tabs>
          <w:tab w:leader="none" w:pos="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March 31, 2025, to which this Certification is attached as Exhibit 32.2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Richard Pulik</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lvl w:ilvl="1">
      <w:lvlJc w:val="left"/>
      <w:lvlText w:val="•"/>
      <w:numFmt w:val="bullet"/>
      <w:start w:val="1"/>
    </w:lvl>
  </w:abstractNum>
  <w:abstractNum w:abstractNumId="11">
    <w:nsid w:val="2B0D8DBE"/>
    <w:multiLevelType w:val="hybridMultilevel"/>
    <w:lvl w:ilvl="0">
      <w:lvlJc w:val="left"/>
      <w:lvlText w:val="•"/>
      <w:numFmt w:val="bullet"/>
      <w:start w:val="1"/>
    </w:lvl>
    <w:lvl w:ilvl="1">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1."/>
      <w:numFmt w:val="decimal"/>
      <w:start w:val="1"/>
    </w:lvl>
  </w:abstractNum>
  <w:abstractNum w:abstractNumId="14">
    <w:nsid w:val="69E373"/>
    <w:multiLevelType w:val="hybridMultilevel"/>
    <w:lvl w:ilvl="0">
      <w:lvlJc w:val="left"/>
      <w:lvlText w:val="%1."/>
      <w:numFmt w:val="decimal"/>
      <w:start w:val="5"/>
    </w:lvl>
  </w:abstractNum>
  <w:abstractNum w:abstractNumId="15">
    <w:nsid w:val="2C27173B"/>
    <w:multiLevelType w:val="hybridMultilevel"/>
    <w:lvl w:ilvl="0">
      <w:lvlJc w:val="left"/>
      <w:lvlText w:val="†"/>
      <w:numFmt w:val="bullet"/>
      <w:start w:val="1"/>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lvl w:ilvl="1">
      <w:lvlJc w:val="left"/>
      <w:lvlText w:val="•"/>
      <w:numFmt w:val="bullet"/>
      <w:start w:val="1"/>
    </w:lvl>
  </w:abstractNum>
  <w:abstractNum w:abstractNumId="18">
    <w:nsid w:val="1DF029D3"/>
    <w:multiLevelType w:val="hybridMultilevel"/>
    <w:lvl w:ilvl="0">
      <w:lvlJc w:val="left"/>
      <w:lvlText w:val="%1."/>
      <w:numFmt w:val="decimal"/>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
      <w:numFmt w:val="bullet"/>
      <w:start w:val="1"/>
    </w:lvl>
    <w:lvl w:ilvl="1">
      <w:lvlJc w:val="left"/>
      <w:lvlText w:val="•"/>
      <w:numFmt w:val="bullet"/>
      <w:start w:val="1"/>
    </w:lvl>
  </w:abstractNum>
  <w:abstractNum w:abstractNumId="21">
    <w:nsid w:val="3DB012B3"/>
    <w:multiLevelType w:val="hybridMultilevel"/>
    <w:lvl w:ilvl="0">
      <w:lvlJc w:val="left"/>
      <w:lvlText w:val="•"/>
      <w:numFmt w:val="bullet"/>
      <w:start w:val="1"/>
    </w:lvl>
    <w:lvl w:ilvl="1">
      <w:lvlJc w:val="left"/>
      <w:lvlText w:val="•"/>
      <w:numFmt w:val="bullet"/>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
      <w:numFmt w:val="bullet"/>
      <w:start w:val="1"/>
    </w:lvl>
    <w:lvl w:ilvl="1">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
      <w:numFmt w:val="bullet"/>
      <w:start w:val="1"/>
    </w:lvl>
  </w:abstractNum>
  <w:abstractNum w:abstractNumId="29">
    <w:nsid w:val="56438D15"/>
    <w:multiLevelType w:val="hybridMultilevel"/>
    <w:lvl w:ilvl="0">
      <w:lvlJc w:val="left"/>
      <w:lvlText w:val="•"/>
      <w:numFmt w:val="bullet"/>
      <w:start w:val="1"/>
    </w:lvl>
  </w:abstractNum>
  <w:abstractNum w:abstractNumId="30">
    <w:nsid w:val="519E3149"/>
    <w:multiLevelType w:val="hybridMultilevel"/>
    <w:lvl w:ilvl="0">
      <w:lvlJc w:val="left"/>
      <w:lvlText w:val="•"/>
      <w:numFmt w:val="bullet"/>
      <w:start w:val="1"/>
    </w:lvl>
    <w:lvl w:ilvl="1">
      <w:lvlJc w:val="left"/>
      <w:lvlText w:val="•"/>
      <w:numFmt w:val="bullet"/>
      <w:start w:val="1"/>
    </w:lvl>
    <w:lvl w:ilvl="2">
      <w:lvlJc w:val="left"/>
      <w:lvlText w:val="%3"/>
      <w:numFmt w:val="decimal"/>
      <w:start w:val="300"/>
    </w:lvl>
  </w:abstractNum>
  <w:abstractNum w:abstractNumId="31">
    <w:nsid w:val="2C6E4AFD"/>
    <w:multiLevelType w:val="hybridMultilevel"/>
    <w:lvl w:ilvl="0">
      <w:lvlJc w:val="left"/>
      <w:lvlText w:val="•"/>
      <w:numFmt w:val="bullet"/>
      <w:start w:val="1"/>
    </w:lvl>
    <w:lvl w:ilvl="1">
      <w:lvlJc w:val="left"/>
      <w:lvlText w:val="•"/>
      <w:numFmt w:val="bullet"/>
      <w:start w:val="1"/>
    </w:lvl>
    <w:lvl w:ilvl="2">
      <w:lvlJc w:val="left"/>
      <w:lvlText w:val="%3"/>
      <w:numFmt w:val="decimal"/>
      <w:start w:val="600"/>
    </w:lvl>
  </w:abstractNum>
  <w:abstractNum w:abstractNumId="32">
    <w:nsid w:val="17A1B582"/>
    <w:multiLevelType w:val="hybridMultilevel"/>
    <w:lvl w:ilvl="0">
      <w:lvlJc w:val="left"/>
      <w:lvlText w:val="•"/>
      <w:numFmt w:val="bullet"/>
      <w:start w:val="1"/>
    </w:lvl>
    <w:lvl w:ilvl="1">
      <w:lvlJc w:val="left"/>
      <w:lvlText w:val="•"/>
      <w:numFmt w:val="bullet"/>
      <w:start w:val="1"/>
    </w:lvl>
    <w:lvl w:ilvl="2">
      <w:lvlJc w:val="left"/>
      <w:lvlText w:val="%3."/>
      <w:numFmt w:val="decimal"/>
      <w:start w:val="12"/>
    </w:lvl>
  </w:abstractNum>
  <w:abstractNum w:abstractNumId="33">
    <w:nsid w:val="4DF72E4E"/>
    <w:multiLevelType w:val="hybridMultilevel"/>
    <w:lvl w:ilvl="0">
      <w:lvlJc w:val="left"/>
      <w:lvlText w:val="•"/>
      <w:numFmt w:val="bullet"/>
      <w:start w:val="1"/>
    </w:lvl>
    <w:lvl w:ilvl="1">
      <w:lvlJc w:val="left"/>
      <w:lvlText w:val="•"/>
      <w:numFmt w:val="bullet"/>
      <w:start w:val="1"/>
    </w:lvl>
  </w:abstractNum>
  <w:abstractNum w:abstractNumId="34">
    <w:nsid w:val="5046B5A9"/>
    <w:multiLevelType w:val="hybridMultilevel"/>
    <w:lvl w:ilvl="0">
      <w:lvlJc w:val="left"/>
      <w:lvlText w:val="•"/>
      <w:numFmt w:val="bullet"/>
      <w:start w:val="1"/>
    </w:lvl>
    <w:lvl w:ilvl="1">
      <w:lvlJc w:val="left"/>
      <w:lvlText w:val="•"/>
      <w:numFmt w:val="bullet"/>
      <w:start w:val="1"/>
    </w:lvl>
  </w:abstractNum>
  <w:abstractNum w:abstractNumId="35">
    <w:nsid w:val="5D888A08"/>
    <w:multiLevelType w:val="hybridMultilevel"/>
    <w:lvl w:ilvl="0">
      <w:lvlJc w:val="left"/>
      <w:lvlText w:val="•"/>
      <w:numFmt w:val="bullet"/>
      <w:start w:val="1"/>
    </w:lvl>
    <w:lvl w:ilvl="1">
      <w:lvlJc w:val="left"/>
      <w:lvlText w:val="•"/>
      <w:numFmt w:val="bullet"/>
      <w:start w:val="1"/>
    </w:lvl>
  </w:abstractNum>
  <w:abstractNum w:abstractNumId="36">
    <w:nsid w:val="2A082C70"/>
    <w:multiLevelType w:val="hybridMultilevel"/>
    <w:lvl w:ilvl="0">
      <w:lvlJc w:val="left"/>
      <w:lvlText w:val="•"/>
      <w:numFmt w:val="bullet"/>
      <w:start w:val="1"/>
    </w:lvl>
    <w:lvl w:ilvl="1">
      <w:lvlJc w:val="left"/>
      <w:lvlText w:val="•"/>
      <w:numFmt w:val="bullet"/>
      <w:start w:val="1"/>
    </w:lvl>
  </w:abstractNum>
  <w:abstractNum w:abstractNumId="37">
    <w:nsid w:val="5EC6AFD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38">
    <w:nsid w:val="19E21BB2"/>
    <w:multiLevelType w:val="hybridMultilevel"/>
    <w:lvl w:ilvl="0">
      <w:lvlJc w:val="left"/>
      <w:lvlText w:val="•"/>
      <w:numFmt w:val="bullet"/>
      <w:start w:val="1"/>
    </w:lvl>
    <w:lvl w:ilvl="1">
      <w:lvlJc w:val="left"/>
      <w:lvlText w:val="•"/>
      <w:numFmt w:val="bullet"/>
      <w:start w:val="1"/>
    </w:lvl>
  </w:abstractNum>
  <w:abstractNum w:abstractNumId="39">
    <w:nsid w:val="75E0858A"/>
    <w:multiLevelType w:val="hybridMultilevel"/>
    <w:lvl w:ilvl="0">
      <w:lvlJc w:val="left"/>
      <w:lvlText w:val="(%1)"/>
      <w:numFmt w:val="decimal"/>
      <w:start w:val="1"/>
    </w:lvl>
  </w:abstractNum>
  <w:abstractNum w:abstractNumId="40">
    <w:nsid w:val="57A61A29"/>
    <w:multiLevelType w:val="hybridMultilevel"/>
    <w:lvl w:ilvl="0">
      <w:lvlJc w:val="left"/>
      <w:lvlText w:val="(%1)"/>
      <w:numFmt w:val="lowerLetter"/>
      <w:start w:val="2"/>
    </w:lvl>
  </w:abstractNum>
  <w:abstractNum w:abstractNumId="41">
    <w:nsid w:val="5399C654"/>
    <w:multiLevelType w:val="hybridMultilevel"/>
    <w:lvl w:ilvl="0">
      <w:lvlJc w:val="left"/>
      <w:lvlText w:val="•"/>
      <w:numFmt w:val="bullet"/>
      <w:start w:val="1"/>
    </w:lvl>
  </w:abstractNum>
  <w:abstractNum w:abstractNumId="42">
    <w:nsid w:val="20EE1348"/>
    <w:multiLevelType w:val="hybridMultilevel"/>
    <w:lvl w:ilvl="0">
      <w:lvlJc w:val="left"/>
      <w:lvlText w:val="•"/>
      <w:numFmt w:val="bullet"/>
      <w:start w:val="1"/>
    </w:lvl>
  </w:abstractNum>
  <w:abstractNum w:abstractNumId="43">
    <w:nsid w:val="4427069A"/>
    <w:multiLevelType w:val="hybridMultilevel"/>
    <w:lvl w:ilvl="0">
      <w:lvlJc w:val="left"/>
      <w:lvlText w:val="•"/>
      <w:numFmt w:val="bullet"/>
      <w:start w:val="1"/>
    </w:lvl>
  </w:abstractNum>
  <w:abstractNum w:abstractNumId="44">
    <w:nsid w:val="B37E80A"/>
    <w:multiLevelType w:val="hybridMultilevel"/>
    <w:lvl w:ilvl="0">
      <w:lvlJc w:val="left"/>
      <w:lvlText w:val="•"/>
      <w:numFmt w:val="bullet"/>
      <w:start w:val="1"/>
    </w:lvl>
  </w:abstractNum>
  <w:abstractNum w:abstractNumId="45">
    <w:nsid w:val="2157F6BC"/>
    <w:multiLevelType w:val="hybridMultilevel"/>
    <w:lvl w:ilvl="0">
      <w:lvlJc w:val="left"/>
      <w:lvlText w:val="•"/>
      <w:numFmt w:val="bullet"/>
      <w:start w:val="1"/>
    </w:lvl>
  </w:abstractNum>
  <w:abstractNum w:abstractNumId="46">
    <w:nsid w:val="704E1DD5"/>
    <w:multiLevelType w:val="hybridMultilevel"/>
    <w:lvl w:ilvl="0">
      <w:lvlJc w:val="left"/>
      <w:lvlText w:val="•"/>
      <w:numFmt w:val="bullet"/>
      <w:start w:val="1"/>
    </w:lvl>
  </w:abstractNum>
  <w:abstractNum w:abstractNumId="47">
    <w:nsid w:val="57D2F10E"/>
    <w:multiLevelType w:val="hybridMultilevel"/>
    <w:lvl w:ilvl="0">
      <w:lvlJc w:val="left"/>
      <w:lvlText w:val="•"/>
      <w:numFmt w:val="bullet"/>
      <w:start w:val="1"/>
    </w:lvl>
    <w:lvl w:ilvl="1">
      <w:lvlJc w:val="left"/>
      <w:lvlText w:val="•"/>
      <w:numFmt w:val="bullet"/>
      <w:start w:val="1"/>
    </w:lvl>
  </w:abstractNum>
  <w:abstractNum w:abstractNumId="48">
    <w:nsid w:val="BFFAE18"/>
    <w:multiLevelType w:val="hybridMultilevel"/>
    <w:lvl w:ilvl="0">
      <w:lvlJc w:val="left"/>
      <w:lvlText w:val="•"/>
      <w:numFmt w:val="bullet"/>
      <w:start w:val="1"/>
    </w:lvl>
  </w:abstractNum>
  <w:abstractNum w:abstractNumId="49">
    <w:nsid w:val="E3E47A8"/>
    <w:multiLevelType w:val="hybridMultilevel"/>
    <w:lvl w:ilvl="0">
      <w:lvlJc w:val="left"/>
      <w:lvlText w:val="•"/>
      <w:numFmt w:val="bullet"/>
      <w:start w:val="1"/>
    </w:lvl>
  </w:abstractNum>
  <w:abstractNum w:abstractNumId="50">
    <w:nsid w:val="2E48F044"/>
    <w:multiLevelType w:val="hybridMultilevel"/>
    <w:lvl w:ilvl="0">
      <w:lvlJc w:val="left"/>
      <w:lvlText w:val="•"/>
      <w:numFmt w:val="bullet"/>
      <w:start w:val="1"/>
    </w:lvl>
    <w:lvl w:ilvl="1">
      <w:lvlJc w:val="left"/>
      <w:lvlText w:val="•"/>
      <w:numFmt w:val="bullet"/>
      <w:start w:val="1"/>
    </w:lvl>
  </w:abstractNum>
  <w:abstractNum w:abstractNumId="51">
    <w:nsid w:val="49D0FEAC"/>
    <w:multiLevelType w:val="hybridMultilevel"/>
    <w:lvl w:ilvl="0">
      <w:lvlJc w:val="left"/>
      <w:lvlText w:val="•"/>
      <w:numFmt w:val="bullet"/>
      <w:start w:val="1"/>
    </w:lvl>
  </w:abstractNum>
  <w:abstractNum w:abstractNumId="52">
    <w:nsid w:val="4BEE5A5B"/>
    <w:multiLevelType w:val="hybridMultilevel"/>
    <w:lvl w:ilvl="0">
      <w:lvlJc w:val="left"/>
      <w:lvlText w:val="•"/>
      <w:numFmt w:val="bullet"/>
      <w:start w:val="1"/>
    </w:lvl>
  </w:abstractNum>
  <w:abstractNum w:abstractNumId="53">
    <w:nsid w:val="5551B9F3"/>
    <w:multiLevelType w:val="hybridMultilevel"/>
    <w:lvl w:ilvl="0">
      <w:lvlJc w:val="left"/>
      <w:lvlText w:val="•"/>
      <w:numFmt w:val="bullet"/>
      <w:start w:val="1"/>
    </w:lvl>
  </w:abstractNum>
  <w:abstractNum w:abstractNumId="54">
    <w:nsid w:val="24F6AB8E"/>
    <w:multiLevelType w:val="hybridMultilevel"/>
    <w:lvl w:ilvl="0">
      <w:lvlJc w:val="left"/>
      <w:lvlText w:val="•"/>
      <w:numFmt w:val="bullet"/>
      <w:start w:val="1"/>
    </w:lvl>
  </w:abstractNum>
  <w:abstractNum w:abstractNumId="55">
    <w:nsid w:val="634C574C"/>
    <w:multiLevelType w:val="hybridMultilevel"/>
    <w:lvl w:ilvl="0">
      <w:lvlJc w:val="left"/>
      <w:lvlText w:val="•"/>
      <w:numFmt w:val="bullet"/>
      <w:start w:val="1"/>
    </w:lvl>
  </w:abstractNum>
  <w:abstractNum w:abstractNumId="56">
    <w:nsid w:val="24E99DD7"/>
    <w:multiLevelType w:val="hybridMultilevel"/>
    <w:lvl w:ilvl="0">
      <w:lvlJc w:val="left"/>
      <w:lvlText w:val="•"/>
      <w:numFmt w:val="bullet"/>
      <w:start w:val="1"/>
    </w:lvl>
  </w:abstractNum>
  <w:abstractNum w:abstractNumId="57">
    <w:nsid w:val="2A31B62D"/>
    <w:multiLevelType w:val="hybridMultilevel"/>
    <w:lvl w:ilvl="0">
      <w:lvlJc w:val="left"/>
      <w:lvlText w:val="•"/>
      <w:numFmt w:val="bullet"/>
      <w:start w:val="1"/>
    </w:lvl>
  </w:abstractNum>
  <w:abstractNum w:abstractNumId="58">
    <w:nsid w:val="1849C29B"/>
    <w:multiLevelType w:val="hybridMultilevel"/>
    <w:lvl w:ilvl="0">
      <w:lvlJc w:val="left"/>
      <w:lvlText w:val="•"/>
      <w:numFmt w:val="bullet"/>
      <w:start w:val="1"/>
    </w:lvl>
  </w:abstractNum>
  <w:abstractNum w:abstractNumId="59">
    <w:nsid w:val="7DFF9D09"/>
    <w:multiLevelType w:val="hybridMultilevel"/>
    <w:lvl w:ilvl="0">
      <w:lvlJc w:val="left"/>
      <w:lvlText w:val="•"/>
      <w:numFmt w:val="bullet"/>
      <w:start w:val="1"/>
    </w:lvl>
  </w:abstractNum>
  <w:abstractNum w:abstractNumId="60">
    <w:nsid w:val="754342"/>
    <w:multiLevelType w:val="hybridMultilevel"/>
    <w:lvl w:ilvl="0">
      <w:lvlJc w:val="left"/>
      <w:lvlText w:val="•"/>
      <w:numFmt w:val="bullet"/>
      <w:start w:val="1"/>
    </w:lvl>
  </w:abstractNum>
  <w:abstractNum w:abstractNumId="61">
    <w:nsid w:val="69E7F3E5"/>
    <w:multiLevelType w:val="hybridMultilevel"/>
    <w:lvl w:ilvl="0">
      <w:lvlJc w:val="left"/>
      <w:lvlText w:val="•"/>
      <w:numFmt w:val="bullet"/>
      <w:start w:val="1"/>
    </w:lvl>
  </w:abstractNum>
  <w:abstractNum w:abstractNumId="62">
    <w:nsid w:val="2A6DE806"/>
    <w:multiLevelType w:val="hybridMultilevel"/>
    <w:lvl w:ilvl="0">
      <w:lvlJc w:val="left"/>
      <w:lvlText w:val="•"/>
      <w:numFmt w:val="bullet"/>
      <w:start w:val="1"/>
    </w:lvl>
  </w:abstractNum>
  <w:abstractNum w:abstractNumId="63">
    <w:nsid w:val="1816F8C4"/>
    <w:multiLevelType w:val="hybridMultilevel"/>
    <w:lvl w:ilvl="0">
      <w:lvlJc w:val="left"/>
      <w:lvlText w:val="•"/>
      <w:numFmt w:val="bullet"/>
      <w:start w:val="1"/>
    </w:lvl>
  </w:abstractNum>
  <w:abstractNum w:abstractNumId="64">
    <w:nsid w:val="37DF2233"/>
    <w:multiLevelType w:val="hybridMultilevel"/>
    <w:lvl w:ilvl="0">
      <w:lvlJc w:val="left"/>
      <w:lvlText w:val="•"/>
      <w:numFmt w:val="bullet"/>
      <w:start w:val="1"/>
    </w:lvl>
  </w:abstractNum>
  <w:abstractNum w:abstractNumId="65">
    <w:nsid w:val="7AB49DAF"/>
    <w:multiLevelType w:val="hybridMultilevel"/>
    <w:lvl w:ilvl="0">
      <w:lvlJc w:val="left"/>
      <w:lvlText w:val="•"/>
      <w:numFmt w:val="bullet"/>
      <w:start w:val="1"/>
    </w:lvl>
  </w:abstractNum>
  <w:abstractNum w:abstractNumId="66">
    <w:nsid w:val="759F82CD"/>
    <w:multiLevelType w:val="hybridMultilevel"/>
    <w:lvl w:ilvl="0">
      <w:lvlJc w:val="left"/>
      <w:lvlText w:val="•"/>
      <w:numFmt w:val="bullet"/>
      <w:start w:val="1"/>
    </w:lvl>
  </w:abstractNum>
  <w:abstractNum w:abstractNumId="67">
    <w:nsid w:val="61E74EA3"/>
    <w:multiLevelType w:val="hybridMultilevel"/>
    <w:lvl w:ilvl="0">
      <w:lvlJc w:val="left"/>
      <w:lvlText w:val="•"/>
      <w:numFmt w:val="bullet"/>
      <w:start w:val="1"/>
    </w:lvl>
  </w:abstractNum>
  <w:abstractNum w:abstractNumId="68">
    <w:nsid w:val="597B4D84"/>
    <w:multiLevelType w:val="hybridMultilevel"/>
    <w:lvl w:ilvl="0">
      <w:lvlJc w:val="left"/>
      <w:lvlText w:val="•"/>
      <w:numFmt w:val="bullet"/>
      <w:start w:val="1"/>
    </w:lvl>
  </w:abstractNum>
  <w:abstractNum w:abstractNumId="69">
    <w:nsid w:val="F819E7F"/>
    <w:multiLevelType w:val="hybridMultilevel"/>
    <w:lvl w:ilvl="0">
      <w:lvlJc w:val="left"/>
      <w:lvlText w:val="•"/>
      <w:numFmt w:val="bullet"/>
      <w:start w:val="1"/>
    </w:lvl>
  </w:abstractNum>
  <w:abstractNum w:abstractNumId="70">
    <w:nsid w:val="57C7D42D"/>
    <w:multiLevelType w:val="hybridMultilevel"/>
    <w:lvl w:ilvl="0">
      <w:lvlJc w:val="left"/>
      <w:lvlText w:val="•"/>
      <w:numFmt w:val="bullet"/>
      <w:start w:val="1"/>
    </w:lvl>
  </w:abstractNum>
  <w:abstractNum w:abstractNumId="71">
    <w:nsid w:val="312167AD"/>
    <w:multiLevelType w:val="hybridMultilevel"/>
    <w:lvl w:ilvl="0">
      <w:lvlJc w:val="left"/>
      <w:lvlText w:val="•"/>
      <w:numFmt w:val="bullet"/>
      <w:start w:val="1"/>
    </w:lvl>
  </w:abstractNum>
  <w:abstractNum w:abstractNumId="72">
    <w:nsid w:val="631B64D4"/>
    <w:multiLevelType w:val="hybridMultilevel"/>
    <w:lvl w:ilvl="0">
      <w:lvlJc w:val="left"/>
      <w:lvlText w:val="•"/>
      <w:numFmt w:val="bullet"/>
      <w:start w:val="1"/>
    </w:lvl>
  </w:abstractNum>
  <w:abstractNum w:abstractNumId="73">
    <w:nsid w:val="78B5E776"/>
    <w:multiLevelType w:val="hybridMultilevel"/>
    <w:lvl w:ilvl="0">
      <w:lvlJc w:val="left"/>
      <w:lvlText w:val="•"/>
      <w:numFmt w:val="bullet"/>
      <w:start w:val="1"/>
    </w:lvl>
  </w:abstractNum>
  <w:abstractNum w:abstractNumId="74">
    <w:nsid w:val="75486E47"/>
    <w:multiLevelType w:val="hybridMultilevel"/>
    <w:lvl w:ilvl="0">
      <w:lvlJc w:val="left"/>
      <w:lvlText w:val="•"/>
      <w:numFmt w:val="bullet"/>
      <w:start w:val="1"/>
    </w:lvl>
  </w:abstractNum>
  <w:abstractNum w:abstractNumId="75">
    <w:nsid w:val="6E534CDE"/>
    <w:multiLevelType w:val="hybridMultilevel"/>
    <w:lvl w:ilvl="0">
      <w:lvlJc w:val="left"/>
      <w:lvlText w:val="•"/>
      <w:numFmt w:val="bullet"/>
      <w:start w:val="1"/>
    </w:lvl>
  </w:abstractNum>
  <w:abstractNum w:abstractNumId="76">
    <w:nsid w:val="1A0DDE32"/>
    <w:multiLevelType w:val="hybridMultilevel"/>
    <w:lvl w:ilvl="0">
      <w:lvlJc w:val="left"/>
      <w:lvlText w:val="(%1)"/>
      <w:numFmt w:val="decimal"/>
      <w:start w:val="1"/>
    </w:lvl>
  </w:abstractNum>
  <w:abstractNum w:abstractNumId="77">
    <w:nsid w:val="65968C1C"/>
    <w:multiLevelType w:val="hybridMultilevel"/>
    <w:lvl w:ilvl="0">
      <w:lvlJc w:val="left"/>
      <w:lvlText w:val="*"/>
      <w:numFmt w:val="bullet"/>
      <w:start w:val="1"/>
    </w:lvl>
  </w:abstractNum>
  <w:abstractNum w:abstractNumId="78">
    <w:nsid w:val="46263DEC"/>
    <w:multiLevelType w:val="hybridMultilevel"/>
    <w:lvl w:ilvl="0">
      <w:lvlJc w:val="left"/>
      <w:lvlText w:val="•"/>
      <w:numFmt w:val="bullet"/>
      <w:start w:val="1"/>
    </w:lvl>
    <w:lvl w:ilvl="1">
      <w:lvlJc w:val="left"/>
      <w:lvlText w:val="•"/>
      <w:numFmt w:val="bullet"/>
      <w:start w:val="1"/>
    </w:lvl>
  </w:abstractNum>
  <w:abstractNum w:abstractNumId="79">
    <w:nsid w:val="260D8C4A"/>
    <w:multiLevelType w:val="hybridMultilevel"/>
    <w:lvl w:ilvl="0">
      <w:lvlJc w:val="left"/>
      <w:lvlText w:val="•"/>
      <w:numFmt w:val="bullet"/>
      <w:start w:val="1"/>
    </w:lvl>
  </w:abstractNum>
  <w:abstractNum w:abstractNumId="80">
    <w:nsid w:val="73D4D3C4"/>
    <w:multiLevelType w:val="hybridMultilevel"/>
    <w:lvl w:ilvl="0">
      <w:lvlJc w:val="left"/>
      <w:lvlText w:val="•"/>
      <w:numFmt w:val="bullet"/>
      <w:start w:val="1"/>
    </w:lvl>
  </w:abstractNum>
  <w:abstractNum w:abstractNumId="81">
    <w:nsid w:val="746F2E30"/>
    <w:multiLevelType w:val="hybridMultilevel"/>
    <w:lvl w:ilvl="0">
      <w:lvlJc w:val="left"/>
      <w:lvlText w:val="(%1)"/>
      <w:numFmt w:val="decimal"/>
      <w:start w:val="1"/>
    </w:lvl>
  </w:abstractNum>
  <w:abstractNum w:abstractNumId="82">
    <w:nsid w:val="6FDE8AF6"/>
    <w:multiLevelType w:val="hybridMultilevel"/>
    <w:lvl w:ilvl="0">
      <w:lvlJc w:val="left"/>
      <w:lvlText w:val="•"/>
      <w:numFmt w:val="bullet"/>
      <w:start w:val="1"/>
    </w:lvl>
  </w:abstractNum>
  <w:abstractNum w:abstractNumId="83">
    <w:nsid w:val="3FC32E20"/>
    <w:multiLevelType w:val="hybridMultilevel"/>
    <w:lvl w:ilvl="0">
      <w:lvlJc w:val="left"/>
      <w:lvlText w:val="•"/>
      <w:numFmt w:val="bullet"/>
      <w:start w:val="1"/>
    </w:lvl>
  </w:abstractNum>
  <w:abstractNum w:abstractNumId="84">
    <w:nsid w:val="49C0E823"/>
    <w:multiLevelType w:val="hybridMultilevel"/>
    <w:lvl w:ilvl="0">
      <w:lvlJc w:val="left"/>
      <w:lvlText w:val="•"/>
      <w:numFmt w:val="bullet"/>
      <w:start w:val="1"/>
    </w:lvl>
  </w:abstractNum>
  <w:abstractNum w:abstractNumId="85">
    <w:nsid w:val="14D53685"/>
    <w:multiLevelType w:val="hybridMultilevel"/>
    <w:lvl w:ilvl="0">
      <w:lvlJc w:val="left"/>
      <w:lvlText w:val="%1."/>
      <w:numFmt w:val="lowerLetter"/>
      <w:start w:val="1"/>
    </w:lvl>
  </w:abstractNum>
  <w:abstractNum w:abstractNumId="86">
    <w:nsid w:val="230F856C"/>
    <w:multiLevelType w:val="hybridMultilevel"/>
    <w:lvl w:ilvl="0">
      <w:lvlJc w:val="left"/>
      <w:lvlText w:val="•"/>
      <w:numFmt w:val="bullet"/>
      <w:start w:val="1"/>
    </w:lvl>
  </w:abstractNum>
  <w:abstractNum w:abstractNumId="87">
    <w:nsid w:val="6EAA85FB"/>
    <w:multiLevelType w:val="hybridMultilevel"/>
    <w:lvl w:ilvl="0">
      <w:lvlJc w:val="left"/>
      <w:lvlText w:val="•"/>
      <w:numFmt w:val="bullet"/>
      <w:start w:val="1"/>
    </w:lvl>
  </w:abstractNum>
  <w:abstractNum w:abstractNumId="88">
    <w:nsid w:val="3F06ECB2"/>
    <w:multiLevelType w:val="hybridMultilevel"/>
    <w:lvl w:ilvl="0">
      <w:lvlJc w:val="left"/>
      <w:lvlText w:val="•"/>
      <w:numFmt w:val="bullet"/>
      <w:start w:val="1"/>
    </w:lvl>
  </w:abstractNum>
  <w:abstractNum w:abstractNumId="89">
    <w:nsid w:val="3B594807"/>
    <w:multiLevelType w:val="hybridMultilevel"/>
    <w:lvl w:ilvl="0">
      <w:lvlJc w:val="left"/>
      <w:lvlText w:val="(%1)"/>
      <w:numFmt w:val="decimal"/>
      <w:start w:val="1"/>
    </w:lvl>
  </w:abstractNum>
  <w:abstractNum w:abstractNumId="90">
    <w:nsid w:val="6CAA2304"/>
    <w:multiLevelType w:val="hybridMultilevel"/>
    <w:lvl w:ilvl="0">
      <w:lvlJc w:val="left"/>
      <w:lvlText w:val="(%1)"/>
      <w:numFmt w:val="decimal"/>
      <w:start w:val="1"/>
    </w:lvl>
  </w:abstractNum>
  <w:abstractNum w:abstractNumId="91">
    <w:nsid w:val="3F7C2FF4"/>
    <w:multiLevelType w:val="hybridMultilevel"/>
    <w:lvl w:ilvl="0">
      <w:lvlJc w:val="left"/>
      <w:lvlText w:val="(%1)"/>
      <w:numFmt w:val="decimal"/>
      <w:start w:val="1"/>
    </w:lvl>
  </w:abstractNum>
  <w:abstractNum w:abstractNumId="92">
    <w:nsid w:val="25413BEC"/>
    <w:multiLevelType w:val="hybridMultilevel"/>
    <w:lvl w:ilvl="0">
      <w:lvlJc w:val="left"/>
      <w:lvlText w:val="(%1)"/>
      <w:numFmt w:val="upperLetter"/>
      <w:start w:val="1"/>
    </w:lvl>
  </w:abstractNum>
  <w:abstractNum w:abstractNumId="93">
    <w:nsid w:val="17180B0B"/>
    <w:multiLevelType w:val="hybridMultilevel"/>
    <w:lvl w:ilvl="0">
      <w:lvlJc w:val="left"/>
      <w:lvlText w:val="*"/>
      <w:numFmt w:val="bullet"/>
      <w:start w:val="1"/>
    </w:lvl>
  </w:abstractNum>
  <w:abstractNum w:abstractNumId="94">
    <w:nsid w:val="579328B9"/>
    <w:multiLevelType w:val="hybridMultilevel"/>
    <w:lvl w:ilvl="0">
      <w:lvlJc w:val="left"/>
      <w:lvlText w:val="(%1)"/>
      <w:numFmt w:val="lowerRoman"/>
      <w:start w:val="1"/>
    </w:lvl>
  </w:abstractNum>
  <w:abstractNum w:abstractNumId="95">
    <w:nsid w:val="5D205E20"/>
    <w:multiLevelType w:val="hybridMultilevel"/>
    <w:lvl w:ilvl="0">
      <w:lvlJc w:val="left"/>
      <w:lvlText w:val="(%1)"/>
      <w:numFmt w:val="decimal"/>
      <w:start w:val="1"/>
    </w:lvl>
  </w:abstractNum>
  <w:abstractNum w:abstractNumId="96">
    <w:nsid w:val="11CCA8BA"/>
    <w:multiLevelType w:val="hybridMultilevel"/>
    <w:lvl w:ilvl="0">
      <w:lvlJc w:val="left"/>
      <w:lvlText w:val="(%1)"/>
      <w:numFmt w:val="decimal"/>
      <w:start w:val="1"/>
    </w:lvl>
  </w:abstractNum>
  <w:abstractNum w:abstractNumId="97">
    <w:nsid w:val="4D32AB86"/>
    <w:multiLevelType w:val="hybridMultilevel"/>
    <w:lvl w:ilvl="0">
      <w:lvlJc w:val="left"/>
      <w:lvlText w:val="(%1)"/>
      <w:numFmt w:val="decimal"/>
      <w:start w:val="1"/>
    </w:lvl>
  </w:abstractNum>
  <w:abstractNum w:abstractNumId="98">
    <w:nsid w:val="3F07ACC3"/>
    <w:multiLevelType w:val="hybridMultilevel"/>
    <w:lvl w:ilvl="0">
      <w:lvlJc w:val="left"/>
      <w:lvlText w:val="•"/>
      <w:numFmt w:val="bullet"/>
      <w:start w:val="1"/>
    </w:lvl>
  </w:abstractNum>
  <w:abstractNum w:abstractNumId="99">
    <w:nsid w:val="6B47F63E"/>
    <w:multiLevelType w:val="hybridMultilevel"/>
    <w:lvl w:ilvl="0">
      <w:lvlJc w:val="left"/>
      <w:lvlText w:val="%1."/>
      <w:numFmt w:val="lowerLetter"/>
      <w:start w:val="1"/>
    </w:lvl>
  </w:abstractNum>
  <w:abstractNum w:abstractNumId="100">
    <w:nsid w:val="5CB44A05"/>
    <w:multiLevelType w:val="hybridMultilevel"/>
    <w:lvl w:ilvl="0">
      <w:lvlJc w:val="left"/>
      <w:lvlText w:val="(%1)"/>
      <w:numFmt w:val="decimal"/>
      <w:start w:val="1"/>
    </w:lvl>
  </w:abstractNum>
  <w:abstractNum w:abstractNumId="101">
    <w:nsid w:val="16CF80F1"/>
    <w:multiLevelType w:val="hybridMultilevel"/>
    <w:lvl w:ilvl="0">
      <w:lvlJc w:val="left"/>
      <w:lvlText w:val="(%1)"/>
      <w:numFmt w:val="decimal"/>
      <w:start w:val="1"/>
    </w:lvl>
  </w:abstractNum>
  <w:abstractNum w:abstractNumId="102">
    <w:nsid w:val="1C695DEC"/>
    <w:multiLevelType w:val="hybridMultilevel"/>
    <w:lvl w:ilvl="0">
      <w:lvlJc w:val="left"/>
      <w:lvlText w:val="(%1)"/>
      <w:numFmt w:val="lowerLetter"/>
      <w:start w:val="1"/>
    </w:lvl>
    <w:lvl w:ilvl="1">
      <w:lvlJc w:val="left"/>
      <w:lvlText w:val="%2."/>
      <w:numFmt w:val="decimal"/>
      <w:start w:val="1"/>
    </w:lvl>
  </w:abstractNum>
  <w:abstractNum w:abstractNumId="103">
    <w:nsid w:val="3FCFAED9"/>
    <w:multiLevelType w:val="hybridMultilevel"/>
    <w:lvl w:ilvl="0">
      <w:lvlJc w:val="left"/>
      <w:lvlText w:val="%1."/>
      <w:numFmt w:val="decimal"/>
      <w:start w:val="2"/>
    </w:lvl>
  </w:abstractNum>
  <w:abstractNum w:abstractNumId="104">
    <w:nsid w:val="F856867"/>
    <w:multiLevelType w:val="hybridMultilevel"/>
    <w:lvl w:ilvl="0">
      <w:lvlJc w:val="left"/>
      <w:lvlText w:val="#"/>
      <w:numFmt w:val="bullet"/>
      <w:start w:val="1"/>
    </w:lvl>
  </w:abstractNum>
  <w:abstractNum w:abstractNumId="105">
    <w:nsid w:val="11B1CC33"/>
    <w:multiLevelType w:val="hybridMultilevel"/>
    <w:lvl w:ilvl="0">
      <w:lvlJc w:val="left"/>
      <w:lvlText w:val="†"/>
      <w:numFmt w:val="bullet"/>
      <w:start w:val="1"/>
    </w:lvl>
  </w:abstractNum>
  <w:abstractNum w:abstractNumId="106">
    <w:nsid w:val="2E22FBB7"/>
    <w:multiLevelType w:val="hybridMultilevel"/>
    <w:lvl w:ilvl="0">
      <w:lvlJc w:val="left"/>
      <w:lvlText w:val="*"/>
      <w:numFmt w:val="bullet"/>
      <w:start w:val="1"/>
    </w:lvl>
  </w:abstractNum>
  <w:abstractNum w:abstractNumId="107">
    <w:nsid w:val="29934699"/>
    <w:multiLevelType w:val="hybridMultilevel"/>
    <w:lvl w:ilvl="0">
      <w:lvlJc w:val="left"/>
      <w:lvlText w:val="**"/>
      <w:numFmt w:val="bullet"/>
      <w:start w:val="1"/>
    </w:lvl>
  </w:abstractNum>
  <w:abstractNum w:abstractNumId="108">
    <w:nsid w:val="77485850"/>
    <w:multiLevelType w:val="hybridMultilevel"/>
    <w:lvl w:ilvl="0">
      <w:lvlJc w:val="left"/>
      <w:lvlText w:val="^"/>
      <w:numFmt w:val="bullet"/>
      <w:start w:val="1"/>
    </w:lvl>
  </w:abstractNum>
  <w:abstractNum w:abstractNumId="109">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4FA0D2E3"/>
    <w:multiLevelType w:val="hybridMultilevel"/>
    <w:lvl w:ilvl="0">
      <w:lvlJc w:val="left"/>
      <w:lvlText w:val="(%1)"/>
      <w:numFmt w:val="lowerLetter"/>
      <w:start w:val="2"/>
    </w:lvl>
  </w:abstractNum>
  <w:abstractNum w:abstractNumId="111">
    <w:nsid w:val="6B1D2C14"/>
    <w:multiLevelType w:val="hybridMultilevel"/>
    <w:lvl w:ilvl="0">
      <w:lvlJc w:val="left"/>
      <w:lvlText w:val="%1."/>
      <w:numFmt w:val="decimal"/>
      <w:start w:val="3"/>
    </w:lvl>
  </w:abstractNum>
  <w:abstractNum w:abstractNumId="112">
    <w:nsid w:val="68B867D3"/>
    <w:multiLevelType w:val="hybridMultilevel"/>
    <w:lvl w:ilvl="0">
      <w:lvlJc w:val="left"/>
      <w:lvlText w:val="%1."/>
      <w:numFmt w:val="decimal"/>
      <w:start w:val="12"/>
    </w:lvl>
  </w:abstractNum>
  <w:abstractNum w:abstractNumId="113">
    <w:nsid w:val="3F7F5DD9"/>
    <w:multiLevelType w:val="hybridMultilevel"/>
    <w:lvl w:ilvl="0">
      <w:lvlJc w:val="left"/>
      <w:lvlText w:val="1"/>
      <w:numFmt w:val="bullet"/>
      <w:start w:val="1"/>
    </w:lvl>
  </w:abstractNum>
  <w:abstractNum w:abstractNumId="114">
    <w:nsid w:val="2AE05A34"/>
    <w:multiLevelType w:val="hybridMultilevel"/>
    <w:lvl w:ilvl="0">
      <w:lvlJc w:val="left"/>
      <w:lvlText w:val="•"/>
      <w:numFmt w:val="bullet"/>
      <w:start w:val="1"/>
    </w:lvl>
  </w:abstractNum>
  <w:abstractNum w:abstractNumId="115">
    <w:nsid w:val="32794FF7"/>
    <w:multiLevelType w:val="hybridMultilevel"/>
    <w:lvl w:ilvl="0">
      <w:lvlJc w:val="left"/>
      <w:lvlText w:val="(%1)"/>
      <w:numFmt w:val="lowerRoman"/>
      <w:start w:val="10"/>
    </w:lvl>
  </w:abstractNum>
  <w:abstractNum w:abstractNumId="116">
    <w:nsid w:val="5454945E"/>
    <w:multiLevelType w:val="hybridMultilevel"/>
    <w:lvl w:ilvl="0">
      <w:lvlJc w:val="left"/>
      <w:lvlText w:val="%1."/>
      <w:numFmt w:val="decimal"/>
      <w:start w:val="1"/>
    </w:lvl>
  </w:abstractNum>
  <w:abstractNum w:abstractNumId="117">
    <w:nsid w:val="4DEFDFA0"/>
    <w:multiLevelType w:val="hybridMultilevel"/>
    <w:lvl w:ilvl="0">
      <w:lvlJc w:val="left"/>
      <w:lvlText w:val="%1."/>
      <w:numFmt w:val="decimal"/>
      <w:start w:val="6"/>
    </w:lvl>
    <w:lvl w:ilvl="1">
      <w:lvlJc w:val="left"/>
      <w:lvlText w:val="(%2)"/>
      <w:numFmt w:val="lowerLetter"/>
      <w:start w:val="1"/>
    </w:lvl>
  </w:abstractNum>
  <w:abstractNum w:abstractNumId="118">
    <w:nsid w:val="2123D5F2"/>
    <w:multiLevelType w:val="hybridMultilevel"/>
    <w:lvl w:ilvl="0">
      <w:lvlJc w:val="left"/>
      <w:lvlText w:val="%1."/>
      <w:numFmt w:val="decimal"/>
      <w:start w:val="8"/>
    </w:lvl>
  </w:abstractNum>
  <w:abstractNum w:abstractNumId="119">
    <w:nsid w:val="135B8110"/>
    <w:multiLevelType w:val="hybridMultilevel"/>
    <w:lvl w:ilvl="0">
      <w:lvlJc w:val="left"/>
      <w:lvlText w:val="%1."/>
      <w:numFmt w:val="decimal"/>
      <w:start w:val="9"/>
    </w:lvl>
  </w:abstractNum>
  <w:abstractNum w:abstractNumId="120">
    <w:nsid w:val="94927A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121">
    <w:nsid w:val="DCDF8F6"/>
    <w:multiLevelType w:val="hybridMultilevel"/>
    <w:lvl w:ilvl="0">
      <w:lvlJc w:val="left"/>
      <w:lvlText w:val="%1"/>
      <w:numFmt w:val="decimal"/>
      <w:start w:val="1"/>
    </w:lvl>
    <w:lvl w:ilvl="1">
      <w:lvlJc w:val="left"/>
      <w:lvlText w:val="(%2)"/>
      <w:numFmt w:val="lowerRoman"/>
      <w:start w:val="2"/>
    </w:lvl>
  </w:abstractNum>
  <w:abstractNum w:abstractNumId="122">
    <w:nsid w:val="52D7B105"/>
    <w:multiLevelType w:val="hybridMultilevel"/>
    <w:lvl w:ilvl="0">
      <w:lvlJc w:val="left"/>
      <w:lvlText w:val="%1."/>
      <w:numFmt w:val="decimal"/>
      <w:start w:val="12"/>
    </w:lvl>
    <w:lvl w:ilvl="1">
      <w:lvlJc w:val="left"/>
      <w:lvlText w:val="%2"/>
      <w:numFmt w:val="lowerRoman"/>
      <w:start w:val="1"/>
    </w:lvl>
  </w:abstractNum>
  <w:abstractNum w:abstractNumId="123">
    <w:nsid w:val="2E8A6394"/>
    <w:multiLevelType w:val="hybridMultilevel"/>
    <w:lvl w:ilvl="0">
      <w:lvlJc w:val="left"/>
      <w:lvlText w:val="%1"/>
      <w:numFmt w:val="decimal"/>
      <w:start w:val="1"/>
    </w:lvl>
    <w:lvl w:ilvl="1">
      <w:lvlJc w:val="left"/>
      <w:lvlText w:val="%2."/>
      <w:numFmt w:val="decimal"/>
      <w:start w:val="14"/>
    </w:lvl>
  </w:abstractNum>
  <w:abstractNum w:abstractNumId="124">
    <w:nsid w:val="24E60401"/>
    <w:multiLevelType w:val="hybridMultilevel"/>
    <w:lvl w:ilvl="0">
      <w:lvlJc w:val="left"/>
      <w:lvlText w:val="(%1)"/>
      <w:numFmt w:val="decimal"/>
      <w:start w:val="6"/>
    </w:lvl>
    <w:lvl w:ilvl="1">
      <w:lvlJc w:val="left"/>
      <w:lvlText w:val="%2"/>
      <w:numFmt w:val="decimal"/>
      <w:start w:val="1"/>
    </w:lvl>
  </w:abstractNum>
  <w:abstractNum w:abstractNumId="125">
    <w:nsid w:val="2A6AD9BE"/>
    <w:multiLevelType w:val="hybridMultilevel"/>
    <w:lvl w:ilvl="0">
      <w:lvlJc w:val="left"/>
      <w:lvlText w:val="%1."/>
      <w:numFmt w:val="decimal"/>
      <w:start w:val="1"/>
    </w:lvl>
    <w:lvl w:ilvl="1">
      <w:lvlJc w:val="left"/>
      <w:lvlText w:val="%2."/>
      <w:numFmt w:val="lowerLetter"/>
      <w:start w:val="1"/>
    </w:lvl>
  </w:abstractNum>
  <w:abstractNum w:abstractNumId="126">
    <w:nsid w:val="BAAC1B4"/>
    <w:multiLevelType w:val="hybridMultilevel"/>
    <w:lvl w:ilvl="0">
      <w:lvlJc w:val="left"/>
      <w:lvlText w:val="%1"/>
      <w:numFmt w:val="decimal"/>
      <w:start w:val="1"/>
    </w:lvl>
    <w:lvl w:ilvl="1">
      <w:lvlJc w:val="left"/>
      <w:lvlText w:val="%2."/>
      <w:numFmt w:val="lowerLetter"/>
      <w:start w:val="2"/>
    </w:lvl>
  </w:abstractNum>
  <w:abstractNum w:abstractNumId="127">
    <w:nsid w:val="36B2ACBC"/>
    <w:multiLevelType w:val="hybridMultilevel"/>
    <w:lvl w:ilvl="0">
      <w:lvlJc w:val="left"/>
      <w:lvlText w:val="%1."/>
      <w:numFmt w:val="decimal"/>
      <w:start w:val="3"/>
    </w:lvl>
    <w:lvl w:ilvl="1">
      <w:lvlJc w:val="left"/>
      <w:lvlText w:val="%2"/>
      <w:numFmt w:val="lowerLetter"/>
      <w:start w:val="1"/>
    </w:lvl>
  </w:abstractNum>
  <w:abstractNum w:abstractNumId="128">
    <w:nsid w:val="779D8544"/>
    <w:multiLevelType w:val="hybridMultilevel"/>
    <w:lvl w:ilvl="0">
      <w:lvlJc w:val="left"/>
      <w:lvlText w:val="•"/>
      <w:numFmt w:val="bullet"/>
      <w:start w:val="1"/>
    </w:lvl>
  </w:abstractNum>
  <w:abstractNum w:abstractNumId="129">
    <w:nsid w:val="4AB26E78"/>
    <w:multiLevelType w:val="hybridMultilevel"/>
    <w:lvl w:ilvl="0">
      <w:lvlJc w:val="left"/>
      <w:lvlText w:val="•"/>
      <w:numFmt w:val="bullet"/>
      <w:start w:val="1"/>
    </w:lvl>
  </w:abstractNum>
  <w:abstractNum w:abstractNumId="130">
    <w:nsid w:val="21FAA2FA"/>
    <w:multiLevelType w:val="hybridMultilevel"/>
    <w:lvl w:ilvl="0">
      <w:lvlJc w:val="left"/>
      <w:lvlText w:val="%1."/>
      <w:numFmt w:val="decimal"/>
      <w:start w:val="4"/>
    </w:lvl>
  </w:abstractNum>
  <w:abstractNum w:abstractNumId="131">
    <w:nsid w:val="5451CF49"/>
    <w:multiLevelType w:val="hybridMultilevel"/>
    <w:lvl w:ilvl="0">
      <w:lvlJc w:val="left"/>
      <w:lvlText w:val="%1."/>
      <w:numFmt w:val="decimal"/>
      <w:start w:val="5"/>
    </w:lvl>
  </w:abstractNum>
  <w:abstractNum w:abstractNumId="132">
    <w:nsid w:val="6181EF69"/>
    <w:multiLevelType w:val="hybridMultilevel"/>
    <w:lvl w:ilvl="0">
      <w:lvlJc w:val="left"/>
      <w:lvlText w:val="%1."/>
      <w:numFmt w:val="lowerLetter"/>
      <w:start w:val="1"/>
    </w:lvl>
  </w:abstractNum>
  <w:abstractNum w:abstractNumId="133">
    <w:nsid w:val="3E6400E6"/>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34">
    <w:nsid w:val="14217E23"/>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35">
    <w:nsid w:val="710757D0"/>
    <w:multiLevelType w:val="hybridMultilevel"/>
    <w:lvl w:ilvl="0">
      <w:lvlJc w:val="left"/>
      <w:lvlText w:val="%1."/>
      <w:numFmt w:val="decimal"/>
      <w:start w:val="6"/>
    </w:lvl>
    <w:lvl w:ilvl="1">
      <w:lvlJc w:val="left"/>
      <w:lvlText w:val="•"/>
      <w:numFmt w:val="bullet"/>
      <w:start w:val="1"/>
    </w:lvl>
  </w:abstractNum>
  <w:abstractNum w:abstractNumId="136">
    <w:nsid w:val="5015CD1A"/>
    <w:multiLevelType w:val="hybridMultilevel"/>
    <w:lvl w:ilvl="0">
      <w:lvlJc w:val="left"/>
      <w:lvlText w:val="•"/>
      <w:numFmt w:val="bullet"/>
      <w:start w:val="1"/>
    </w:lvl>
  </w:abstractNum>
  <w:abstractNum w:abstractNumId="137">
    <w:nsid w:val="424479DA"/>
    <w:multiLevelType w:val="hybridMultilevel"/>
    <w:lvl w:ilvl="0">
      <w:lvlJc w:val="left"/>
      <w:lvlText w:val="•"/>
      <w:numFmt w:val="bullet"/>
      <w:start w:val="1"/>
    </w:lvl>
  </w:abstractNum>
  <w:abstractNum w:abstractNumId="138">
    <w:nsid w:val="1A9A9E69"/>
    <w:multiLevelType w:val="hybridMultilevel"/>
    <w:lvl w:ilvl="0">
      <w:lvlJc w:val="left"/>
      <w:lvlText w:val="•"/>
      <w:numFmt w:val="bullet"/>
      <w:start w:val="1"/>
    </w:lvl>
  </w:abstractNum>
  <w:abstractNum w:abstractNumId="139">
    <w:nsid w:val="475E256A"/>
    <w:multiLevelType w:val="hybridMultilevel"/>
    <w:lvl w:ilvl="0">
      <w:lvlJc w:val="left"/>
      <w:lvlText w:val="•"/>
      <w:numFmt w:val="bullet"/>
      <w:start w:val="1"/>
    </w:lvl>
  </w:abstractNum>
  <w:abstractNum w:abstractNumId="140">
    <w:nsid w:val="368DB37E"/>
    <w:multiLevelType w:val="hybridMultilevel"/>
    <w:lvl w:ilvl="0">
      <w:lvlJc w:val="left"/>
      <w:lvlText w:val="%1."/>
      <w:numFmt w:val="decimal"/>
      <w:start w:val="8"/>
    </w:lvl>
  </w:abstractNum>
  <w:abstractNum w:abstractNumId="141">
    <w:nsid w:val="6A3B714C"/>
    <w:multiLevelType w:val="hybridMultilevel"/>
    <w:lvl w:ilvl="0">
      <w:lvlJc w:val="left"/>
      <w:lvlText w:val="%1."/>
      <w:numFmt w:val="decimal"/>
      <w:start w:val="9"/>
    </w:lvl>
  </w:abstractNum>
  <w:abstractNum w:abstractNumId="142">
    <w:nsid w:val="327B517E"/>
    <w:multiLevelType w:val="hybridMultilevel"/>
    <w:lvl w:ilvl="0">
      <w:lvlJc w:val="left"/>
      <w:lvlText w:val="%1."/>
      <w:numFmt w:val="decimal"/>
      <w:start w:val="10"/>
    </w:lvl>
  </w:abstractNum>
  <w:abstractNum w:abstractNumId="143">
    <w:nsid w:val="1F461B51"/>
    <w:multiLevelType w:val="hybridMultilevel"/>
    <w:lvl w:ilvl="0">
      <w:lvlJc w:val="left"/>
      <w:lvlText w:val="%1."/>
      <w:numFmt w:val="decimal"/>
      <w:start w:val="11"/>
    </w:lvl>
  </w:abstractNum>
  <w:abstractNum w:abstractNumId="144">
    <w:nsid w:val="29BACF25"/>
    <w:multiLevelType w:val="hybridMultilevel"/>
    <w:lvl w:ilvl="0">
      <w:lvlJc w:val="left"/>
      <w:lvlText w:val="•"/>
      <w:numFmt w:val="bullet"/>
      <w:start w:val="1"/>
    </w:lvl>
  </w:abstractNum>
  <w:abstractNum w:abstractNumId="145">
    <w:nsid w:val="5D5BABB3"/>
    <w:multiLevelType w:val="hybridMultilevel"/>
    <w:lvl w:ilvl="0">
      <w:lvlJc w:val="left"/>
      <w:lvlText w:val="(%1)"/>
      <w:numFmt w:val="lowerRoman"/>
      <w:start w:val="1"/>
    </w:lvl>
  </w:abstractNum>
  <w:abstractNum w:abstractNumId="146">
    <w:nsid w:val="51BF6B48"/>
    <w:multiLevelType w:val="hybridMultilevel"/>
    <w:lvl w:ilvl="0">
      <w:lvlJc w:val="left"/>
      <w:lvlText w:val="%1."/>
      <w:numFmt w:val="decimal"/>
      <w:start w:val="12"/>
    </w:lvl>
  </w:abstractNum>
  <w:abstractNum w:abstractNumId="147">
    <w:nsid w:val="7E0F6384"/>
    <w:multiLevelType w:val="hybridMultilevel"/>
    <w:lvl w:ilvl="0">
      <w:lvlJc w:val="left"/>
      <w:lvlText w:val="%1."/>
      <w:numFmt w:val="decimal"/>
      <w:start w:val="13"/>
    </w:lvl>
  </w:abstractNum>
  <w:abstractNum w:abstractNumId="148">
    <w:nsid w:val="2B4B8B53"/>
    <w:multiLevelType w:val="hybridMultilevel"/>
    <w:lvl w:ilvl="0">
      <w:lvlJc w:val="left"/>
      <w:lvlText w:val="%1."/>
      <w:numFmt w:val="decimal"/>
      <w:start w:val="14"/>
    </w:lvl>
  </w:abstractNum>
  <w:abstractNum w:abstractNumId="149">
    <w:nsid w:val="72E3413A"/>
    <w:multiLevelType w:val="hybridMultilevel"/>
    <w:lvl w:ilvl="0">
      <w:lvlJc w:val="left"/>
      <w:lvlText w:val="%1."/>
      <w:numFmt w:val="decimal"/>
      <w:start w:val="15"/>
    </w:lvl>
  </w:abstractNum>
  <w:abstractNum w:abstractNumId="150">
    <w:nsid w:val="116AE494"/>
    <w:multiLevelType w:val="hybridMultilevel"/>
    <w:lvl w:ilvl="0">
      <w:lvlJc w:val="left"/>
      <w:lvlText w:val="%1."/>
      <w:numFmt w:val="decimal"/>
      <w:start w:val="16"/>
    </w:lvl>
  </w:abstractNum>
  <w:abstractNum w:abstractNumId="151">
    <w:nsid w:val="3494B2FB"/>
    <w:multiLevelType w:val="hybridMultilevel"/>
    <w:lvl w:ilvl="0">
      <w:lvlJc w:val="left"/>
      <w:lvlText w:val="%1."/>
      <w:numFmt w:val="decimal"/>
      <w:start w:val="17"/>
    </w:lvl>
  </w:abstractNum>
  <w:abstractNum w:abstractNumId="152">
    <w:nsid w:val="B13A31"/>
    <w:multiLevelType w:val="hybridMultilevel"/>
    <w:lvl w:ilvl="0">
      <w:lvlJc w:val="left"/>
      <w:lvlText w:val="%1."/>
      <w:numFmt w:val="decimal"/>
      <w:start w:val="18"/>
    </w:lvl>
  </w:abstractNum>
  <w:abstractNum w:abstractNumId="153">
    <w:nsid w:val="64429599"/>
    <w:multiLevelType w:val="hybridMultilevel"/>
    <w:lvl w:ilvl="0">
      <w:lvlJc w:val="left"/>
      <w:lvlText w:val="%1."/>
      <w:numFmt w:val="decimal"/>
      <w:start w:val="19"/>
    </w:lvl>
  </w:abstractNum>
  <w:abstractNum w:abstractNumId="154">
    <w:nsid w:val="631F1690"/>
    <w:multiLevelType w:val="hybridMultilevel"/>
    <w:lvl w:ilvl="0">
      <w:lvlJc w:val="left"/>
      <w:lvlText w:val="%1."/>
      <w:numFmt w:val="decimal"/>
      <w:start w:val="20"/>
    </w:lvl>
  </w:abstractNum>
  <w:abstractNum w:abstractNumId="155">
    <w:nsid w:val="25973E32"/>
    <w:multiLevelType w:val="hybridMultilevel"/>
    <w:lvl w:ilvl="0">
      <w:lvlJc w:val="left"/>
      <w:lvlText w:val="%1."/>
      <w:numFmt w:val="decimal"/>
      <w:start w:val="21"/>
    </w:lvl>
  </w:abstractNum>
  <w:abstractNum w:abstractNumId="156">
    <w:nsid w:val="EAD6F57"/>
    <w:multiLevelType w:val="hybridMultilevel"/>
    <w:lvl w:ilvl="0">
      <w:lvlJc w:val="left"/>
      <w:lvlText w:val="%1."/>
      <w:numFmt w:val="decimal"/>
      <w:start w:val="22"/>
    </w:lvl>
  </w:abstractNum>
  <w:abstractNum w:abstractNumId="157">
    <w:nsid w:val="6EC9D844"/>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158">
    <w:nsid w:val="5C49EAEE"/>
    <w:multiLevelType w:val="hybridMultilevel"/>
    <w:lvl w:ilvl="0">
      <w:lvlJc w:val="left"/>
      <w:lvlText w:val="•"/>
      <w:numFmt w:val="bullet"/>
      <w:start w:val="1"/>
    </w:lvl>
  </w:abstractNum>
  <w:abstractNum w:abstractNumId="159">
    <w:nsid w:val="64AF49B"/>
    <w:multiLevelType w:val="hybridMultilevel"/>
    <w:lvl w:ilvl="0">
      <w:lvlJc w:val="left"/>
      <w:lvlText w:val="•"/>
      <w:numFmt w:val="bullet"/>
      <w:start w:val="1"/>
    </w:lvl>
  </w:abstractNum>
  <w:abstractNum w:abstractNumId="160">
    <w:nsid w:val="397C46BC"/>
    <w:multiLevelType w:val="hybridMultilevel"/>
    <w:lvl w:ilvl="0">
      <w:lvlJc w:val="left"/>
      <w:lvlText w:val="%1."/>
      <w:numFmt w:val="decimal"/>
      <w:start w:val="1"/>
    </w:lvl>
  </w:abstractNum>
  <w:abstractNum w:abstractNumId="161">
    <w:nsid w:val="7E448DE9"/>
    <w:multiLevelType w:val="hybridMultilevel"/>
    <w:lvl w:ilvl="0">
      <w:lvlJc w:val="left"/>
      <w:lvlText w:val="%1."/>
      <w:numFmt w:val="decimal"/>
      <w:start w:val="2"/>
    </w:lvl>
  </w:abstractNum>
  <w:abstractNum w:abstractNumId="162">
    <w:nsid w:val="5A9CC3E5"/>
    <w:multiLevelType w:val="hybridMultilevel"/>
    <w:lvl w:ilvl="0">
      <w:lvlJc w:val="left"/>
      <w:lvlText w:val="%1."/>
      <w:numFmt w:val="decimal"/>
      <w:start w:val="3"/>
    </w:lvl>
  </w:abstractNum>
  <w:abstractNum w:abstractNumId="163">
    <w:nsid w:val="1AFE3625"/>
    <w:multiLevelType w:val="hybridMultilevel"/>
    <w:lvl w:ilvl="0">
      <w:lvlJc w:val="left"/>
      <w:lvlText w:val="%1."/>
      <w:numFmt w:val="decimal"/>
      <w:start w:val="4"/>
    </w:lvl>
  </w:abstractNum>
  <w:abstractNum w:abstractNumId="164">
    <w:nsid w:val="3CA88ECF"/>
    <w:multiLevelType w:val="hybridMultilevel"/>
    <w:lvl w:ilvl="0">
      <w:lvlJc w:val="left"/>
      <w:lvlText w:val="%1."/>
      <w:numFmt w:val="decimal"/>
      <w:start w:val="5"/>
    </w:lvl>
  </w:abstractNum>
  <w:abstractNum w:abstractNumId="165">
    <w:nsid w:val="6EBE4208"/>
    <w:multiLevelType w:val="hybridMultilevel"/>
    <w:lvl w:ilvl="0">
      <w:lvlJc w:val="left"/>
      <w:lvlText w:val="%1."/>
      <w:numFmt w:val="decimal"/>
      <w:start w:val="6"/>
    </w:lvl>
  </w:abstractNum>
  <w:abstractNum w:abstractNumId="166">
    <w:nsid w:val="C058DF5"/>
    <w:multiLevelType w:val="hybridMultilevel"/>
    <w:lvl w:ilvl="0">
      <w:lvlJc w:val="left"/>
      <w:lvlText w:val="%1."/>
      <w:numFmt w:val="decimal"/>
      <w:start w:val="7"/>
    </w:lvl>
  </w:abstractNum>
  <w:abstractNum w:abstractNumId="167">
    <w:nsid w:val="CBE5BE9"/>
    <w:multiLevelType w:val="hybridMultilevel"/>
    <w:lvl w:ilvl="0">
      <w:lvlJc w:val="left"/>
      <w:lvlText w:val="%1."/>
      <w:numFmt w:val="decimal"/>
      <w:start w:val="8"/>
    </w:lvl>
  </w:abstractNum>
  <w:abstractNum w:abstractNumId="168">
    <w:nsid w:val="3102BBE2"/>
    <w:multiLevelType w:val="hybridMultilevel"/>
    <w:lvl w:ilvl="0">
      <w:lvlJc w:val="left"/>
      <w:lvlText w:val="%1."/>
      <w:numFmt w:val="decimal"/>
      <w:start w:val="9"/>
    </w:lvl>
  </w:abstractNum>
  <w:abstractNum w:abstractNumId="169">
    <w:nsid w:val="26A02C5E"/>
    <w:multiLevelType w:val="hybridMultilevel"/>
    <w:lvl w:ilvl="0">
      <w:lvlJc w:val="left"/>
      <w:lvlText w:val="%1."/>
      <w:numFmt w:val="decimal"/>
      <w:start w:val="10"/>
    </w:lvl>
  </w:abstractNum>
  <w:abstractNum w:abstractNumId="170">
    <w:nsid w:val="541C8153"/>
    <w:multiLevelType w:val="hybridMultilevel"/>
    <w:lvl w:ilvl="0">
      <w:lvlJc w:val="left"/>
      <w:lvlText w:val="%1."/>
      <w:numFmt w:val="decimal"/>
      <w:start w:val="11"/>
    </w:lvl>
  </w:abstractNum>
  <w:abstractNum w:abstractNumId="171">
    <w:nsid w:val="67906F60"/>
    <w:multiLevelType w:val="hybridMultilevel"/>
    <w:lvl w:ilvl="0">
      <w:lvlJc w:val="left"/>
      <w:lvlText w:val="%1."/>
      <w:numFmt w:val="decimal"/>
      <w:start w:val="12"/>
    </w:lvl>
  </w:abstractNum>
  <w:abstractNum w:abstractNumId="172">
    <w:nsid w:val="10DB9DAA"/>
    <w:multiLevelType w:val="hybridMultilevel"/>
    <w:lvl w:ilvl="0">
      <w:lvlJc w:val="left"/>
      <w:lvlText w:val="%1."/>
      <w:numFmt w:val="decimal"/>
      <w:start w:val="13"/>
    </w:lvl>
  </w:abstractNum>
  <w:abstractNum w:abstractNumId="173">
    <w:nsid w:val="697D2D2"/>
    <w:multiLevelType w:val="hybridMultilevel"/>
    <w:lvl w:ilvl="0">
      <w:lvlJc w:val="left"/>
      <w:lvlText w:val="%1."/>
      <w:numFmt w:val="decimal"/>
      <w:start w:val="14"/>
    </w:lvl>
  </w:abstractNum>
  <w:abstractNum w:abstractNumId="174">
    <w:nsid w:val="6D68AB2"/>
    <w:multiLevelType w:val="hybridMultilevel"/>
    <w:lvl w:ilvl="0">
      <w:lvlJc w:val="left"/>
      <w:lvlText w:val="%1."/>
      <w:numFmt w:val="decimal"/>
      <w:start w:val="15"/>
    </w:lvl>
  </w:abstractNum>
  <w:abstractNum w:abstractNumId="175">
    <w:nsid w:val="3A966CD0"/>
    <w:multiLevelType w:val="hybridMultilevel"/>
    <w:lvl w:ilvl="0">
      <w:lvlJc w:val="left"/>
      <w:lvlText w:val="%1."/>
      <w:numFmt w:val="decimal"/>
      <w:start w:val="16"/>
    </w:lvl>
  </w:abstractNum>
  <w:abstractNum w:abstractNumId="176">
    <w:nsid w:val="63F37E85"/>
    <w:multiLevelType w:val="hybridMultilevel"/>
    <w:lvl w:ilvl="0">
      <w:lvlJc w:val="left"/>
      <w:lvlText w:val="%1."/>
      <w:numFmt w:val="decimal"/>
      <w:start w:val="17"/>
    </w:lvl>
  </w:abstractNum>
  <w:abstractNum w:abstractNumId="177">
    <w:nsid w:val="5895F5FA"/>
    <w:multiLevelType w:val="hybridMultilevel"/>
    <w:lvl w:ilvl="0">
      <w:lvlJc w:val="left"/>
      <w:lvlText w:val="%1."/>
      <w:numFmt w:val="decimal"/>
      <w:start w:val="18"/>
    </w:lvl>
  </w:abstractNum>
  <w:abstractNum w:abstractNumId="178">
    <w:nsid w:val="38A5D054"/>
    <w:multiLevelType w:val="hybridMultilevel"/>
    <w:lvl w:ilvl="0">
      <w:lvlJc w:val="left"/>
      <w:lvlText w:val="%1."/>
      <w:numFmt w:val="decimal"/>
      <w:start w:val="1"/>
    </w:lvl>
  </w:abstractNum>
  <w:abstractNum w:abstractNumId="179">
    <w:nsid w:val="F3F09D8"/>
    <w:multiLevelType w:val="hybridMultilevel"/>
    <w:lvl w:ilvl="0">
      <w:lvlJc w:val="left"/>
      <w:lvlText w:val="%1."/>
      <w:numFmt w:val="decimal"/>
      <w:start w:val="2"/>
    </w:lvl>
    <w:lvl w:ilvl="1">
      <w:lvlJc w:val="left"/>
      <w:lvlText w:val="(%2)"/>
      <w:numFmt w:val="lowerLetter"/>
      <w:start w:val="1"/>
    </w:lvl>
  </w:abstractNum>
  <w:abstractNum w:abstractNumId="180">
    <w:nsid w:val="4B793735"/>
    <w:multiLevelType w:val="hybridMultilevel"/>
    <w:lvl w:ilvl="0">
      <w:lvlJc w:val="left"/>
      <w:lvlText w:val="•"/>
      <w:numFmt w:val="bullet"/>
      <w:start w:val="1"/>
    </w:lvl>
  </w:abstractNum>
  <w:abstractNum w:abstractNumId="181">
    <w:nsid w:val="4A10B4E8"/>
    <w:multiLevelType w:val="hybridMultilevel"/>
    <w:lvl w:ilvl="0">
      <w:lvlJc w:val="left"/>
      <w:lvlText w:val="(%1)"/>
      <w:numFmt w:val="lowerLetter"/>
      <w:start w:val="2"/>
    </w:lvl>
  </w:abstractNum>
  <w:abstractNum w:abstractNumId="182">
    <w:nsid w:val="43D3BCD4"/>
    <w:multiLevelType w:val="hybridMultilevel"/>
    <w:lvl w:ilvl="0">
      <w:lvlJc w:val="left"/>
      <w:lvlText w:val="•"/>
      <w:numFmt w:val="bullet"/>
      <w:start w:val="1"/>
    </w:lvl>
  </w:abstractNum>
  <w:abstractNum w:abstractNumId="183">
    <w:nsid w:val="4C2A7166"/>
    <w:multiLevelType w:val="hybridMultilevel"/>
    <w:lvl w:ilvl="0">
      <w:lvlJc w:val="left"/>
      <w:lvlText w:val="o"/>
      <w:numFmt w:val="bullet"/>
      <w:start w:val="1"/>
    </w:lvl>
  </w:abstractNum>
  <w:abstractNum w:abstractNumId="184">
    <w:nsid w:val="2E534A82"/>
    <w:multiLevelType w:val="hybridMultilevel"/>
    <w:lvl w:ilvl="0">
      <w:lvlJc w:val="left"/>
      <w:lvlText w:val="o"/>
      <w:numFmt w:val="bullet"/>
      <w:start w:val="1"/>
    </w:lvl>
  </w:abstractNum>
  <w:abstractNum w:abstractNumId="185">
    <w:nsid w:val="26F2D364"/>
    <w:multiLevelType w:val="hybridMultilevel"/>
    <w:lvl w:ilvl="0">
      <w:lvlJc w:val="left"/>
      <w:lvlText w:val="(%1)"/>
      <w:numFmt w:val="lowerLetter"/>
      <w:start w:val="3"/>
    </w:lvl>
  </w:abstractNum>
  <w:abstractNum w:abstractNumId="186">
    <w:nsid w:val="71C1AF98"/>
    <w:multiLevelType w:val="hybridMultilevel"/>
    <w:lvl w:ilvl="0">
      <w:lvlJc w:val="left"/>
      <w:lvlText w:val="•"/>
      <w:numFmt w:val="bullet"/>
      <w:start w:val="1"/>
    </w:lvl>
  </w:abstractNum>
  <w:abstractNum w:abstractNumId="187">
    <w:nsid w:val="3D00B9D9"/>
    <w:multiLevelType w:val="hybridMultilevel"/>
    <w:lvl w:ilvl="0">
      <w:lvlJc w:val="left"/>
      <w:lvlText w:val="•"/>
      <w:numFmt w:val="bullet"/>
      <w:start w:val="1"/>
    </w:lvl>
  </w:abstractNum>
  <w:abstractNum w:abstractNumId="188">
    <w:nsid w:val="15BCABA8"/>
    <w:multiLevelType w:val="hybridMultilevel"/>
    <w:lvl w:ilvl="0">
      <w:lvlJc w:val="left"/>
      <w:lvlText w:val="(%1)"/>
      <w:numFmt w:val="lowerLetter"/>
      <w:start w:val="4"/>
    </w:lvl>
  </w:abstractNum>
  <w:abstractNum w:abstractNumId="189">
    <w:nsid w:val="4E0B9A87"/>
    <w:multiLevelType w:val="hybridMultilevel"/>
    <w:lvl w:ilvl="0">
      <w:lvlJc w:val="left"/>
      <w:lvlText w:val="•"/>
      <w:numFmt w:val="bullet"/>
      <w:start w:val="1"/>
    </w:lvl>
  </w:abstractNum>
  <w:abstractNum w:abstractNumId="190">
    <w:nsid w:val="434BAE75"/>
    <w:multiLevelType w:val="hybridMultilevel"/>
    <w:lvl w:ilvl="0">
      <w:lvlJc w:val="left"/>
      <w:lvlText w:val="(%1)"/>
      <w:numFmt w:val="lowerLetter"/>
      <w:start w:val="5"/>
    </w:lvl>
  </w:abstractNum>
  <w:abstractNum w:abstractNumId="191">
    <w:nsid w:val="4F38F265"/>
    <w:multiLevelType w:val="hybridMultilevel"/>
    <w:lvl w:ilvl="0">
      <w:lvlJc w:val="left"/>
      <w:lvlText w:val="•"/>
      <w:numFmt w:val="bullet"/>
      <w:start w:val="1"/>
    </w:lvl>
  </w:abstractNum>
  <w:abstractNum w:abstractNumId="192">
    <w:nsid w:val="4C502870"/>
    <w:multiLevelType w:val="hybridMultilevel"/>
    <w:lvl w:ilvl="0">
      <w:lvlJc w:val="left"/>
      <w:lvlText w:val="•"/>
      <w:numFmt w:val="bullet"/>
      <w:start w:val="1"/>
    </w:lvl>
    <w:lvl w:ilvl="1">
      <w:lvlJc w:val="left"/>
      <w:lvlText w:val="o"/>
      <w:numFmt w:val="bullet"/>
      <w:start w:val="1"/>
    </w:lvl>
  </w:abstractNum>
  <w:abstractNum w:abstractNumId="193">
    <w:nsid w:val="1DE8725A"/>
    <w:multiLevelType w:val="hybridMultilevel"/>
    <w:lvl w:ilvl="0">
      <w:lvlJc w:val="left"/>
      <w:lvlText w:val="•"/>
      <w:numFmt w:val="bullet"/>
      <w:start w:val="1"/>
    </w:lvl>
    <w:lvl w:ilvl="1">
      <w:lvlJc w:val="left"/>
      <w:lvlText w:val="•"/>
      <w:numFmt w:val="bullet"/>
      <w:start w:val="1"/>
    </w:lvl>
  </w:abstractNum>
  <w:abstractNum w:abstractNumId="194">
    <w:nsid w:val="6A37288A"/>
    <w:multiLevelType w:val="hybridMultilevel"/>
    <w:lvl w:ilvl="0">
      <w:lvlJc w:val="left"/>
      <w:lvlText w:val="•"/>
      <w:numFmt w:val="bullet"/>
      <w:start w:val="1"/>
    </w:lvl>
    <w:lvl w:ilvl="1">
      <w:lvlJc w:val="left"/>
      <w:lvlText w:val="•"/>
      <w:numFmt w:val="bullet"/>
      <w:start w:val="1"/>
    </w:lvl>
    <w:lvl w:ilvl="2">
      <w:lvlJc w:val="left"/>
      <w:lvlText w:val="(%3)"/>
      <w:numFmt w:val="lowerLetter"/>
      <w:start w:val="6"/>
    </w:lvl>
  </w:abstractNum>
  <w:abstractNum w:abstractNumId="195">
    <w:nsid w:val="8F8B73F"/>
    <w:multiLevelType w:val="hybridMultilevel"/>
    <w:lvl w:ilvl="0">
      <w:lvlJc w:val="left"/>
      <w:lvlText w:val="(%1)"/>
      <w:numFmt w:val="lowerLetter"/>
      <w:start w:val="7"/>
    </w:lvl>
  </w:abstractNum>
  <w:abstractNum w:abstractNumId="196">
    <w:nsid w:val="CA6B462"/>
    <w:multiLevelType w:val="hybridMultilevel"/>
    <w:lvl w:ilvl="0">
      <w:lvlJc w:val="left"/>
      <w:lvlText w:val="(%1)"/>
      <w:numFmt w:val="lowerLetter"/>
      <w:start w:val="8"/>
    </w:lvl>
  </w:abstractNum>
  <w:abstractNum w:abstractNumId="197">
    <w:nsid w:val="763CB680"/>
    <w:multiLevelType w:val="hybridMultilevel"/>
    <w:lvl w:ilvl="0">
      <w:lvlJc w:val="left"/>
      <w:lvlText w:val="(%1)"/>
      <w:numFmt w:val="lowerRoman"/>
      <w:start w:val="1"/>
    </w:lvl>
  </w:abstractNum>
  <w:abstractNum w:abstractNumId="198">
    <w:nsid w:val="15B71329"/>
    <w:multiLevelType w:val="hybridMultilevel"/>
    <w:lvl w:ilvl="0">
      <w:lvlJc w:val="left"/>
      <w:lvlText w:val="%1."/>
      <w:numFmt w:val="decimal"/>
      <w:start w:val="3"/>
    </w:lvl>
  </w:abstractNum>
  <w:abstractNum w:abstractNumId="199">
    <w:nsid w:val="3DA97044"/>
    <w:multiLevelType w:val="hybridMultilevel"/>
    <w:lvl w:ilvl="0">
      <w:lvlJc w:val="left"/>
      <w:lvlText w:val="%1."/>
      <w:numFmt w:val="decimal"/>
      <w:start w:val="4"/>
    </w:lvl>
  </w:abstractNum>
  <w:abstractNum w:abstractNumId="200">
    <w:nsid w:val="1CDCE2DE"/>
    <w:multiLevelType w:val="hybridMultilevel"/>
    <w:lvl w:ilvl="0">
      <w:lvlJc w:val="left"/>
      <w:lvlText w:val="%1."/>
      <w:numFmt w:val="decimal"/>
      <w:start w:val="5"/>
    </w:lvl>
  </w:abstractNum>
  <w:abstractNum w:abstractNumId="201">
    <w:nsid w:val="69D3947C"/>
    <w:multiLevelType w:val="hybridMultilevel"/>
    <w:lvl w:ilvl="0">
      <w:lvlJc w:val="left"/>
      <w:lvlText w:val="%1."/>
      <w:numFmt w:val="decimal"/>
      <w:start w:val="6"/>
    </w:lvl>
  </w:abstractNum>
  <w:abstractNum w:abstractNumId="202">
    <w:nsid w:val="2539DFA5"/>
    <w:multiLevelType w:val="hybridMultilevel"/>
    <w:lvl w:ilvl="0">
      <w:lvlJc w:val="left"/>
      <w:lvlText w:val="%1."/>
      <w:numFmt w:val="decimal"/>
      <w:start w:val="7"/>
    </w:lvl>
  </w:abstractNum>
  <w:abstractNum w:abstractNumId="203">
    <w:nsid w:val="2DB88089"/>
    <w:multiLevelType w:val="hybridMultilevel"/>
    <w:lvl w:ilvl="0">
      <w:lvlJc w:val="left"/>
      <w:lvlText w:val="(%1)"/>
      <w:numFmt w:val="lowerLetter"/>
      <w:start w:val="1"/>
    </w:lvl>
  </w:abstractNum>
  <w:abstractNum w:abstractNumId="204">
    <w:nsid w:val="706B674E"/>
    <w:multiLevelType w:val="hybridMultilevel"/>
    <w:lvl w:ilvl="0">
      <w:lvlJc w:val="left"/>
      <w:lvlText w:val="%1."/>
      <w:numFmt w:val="decimal"/>
      <w:start w:val="1"/>
    </w:lvl>
  </w:abstractNum>
  <w:abstractNum w:abstractNumId="205">
    <w:nsid w:val="2C106A57"/>
    <w:multiLevelType w:val="hybridMultilevel"/>
    <w:lvl w:ilvl="0">
      <w:lvlJc w:val="left"/>
      <w:lvlText w:val="%1."/>
      <w:numFmt w:val="decimal"/>
      <w:start w:val="3"/>
    </w:lvl>
  </w:abstractNum>
  <w:abstractNum w:abstractNumId="206">
    <w:nsid w:val="684EED59"/>
    <w:multiLevelType w:val="hybridMultilevel"/>
    <w:lvl w:ilvl="0">
      <w:lvlJc w:val="left"/>
      <w:lvlText w:val="(%1)"/>
      <w:numFmt w:val="lowerLetter"/>
      <w:start w:val="2"/>
    </w:lvl>
  </w:abstractNum>
  <w:abstractNum w:abstractNumId="207">
    <w:nsid w:val="545EE5D3"/>
    <w:multiLevelType w:val="hybridMultilevel"/>
    <w:lvl w:ilvl="0">
      <w:lvlJc w:val="left"/>
      <w:lvlText w:val="(%1)"/>
      <w:numFmt w:val="lowerLetter"/>
      <w:start w:val="3"/>
    </w:lvl>
  </w:abstractNum>
  <w:abstractNum w:abstractNumId="208">
    <w:nsid w:val="4A66051"/>
    <w:multiLevelType w:val="hybridMultilevel"/>
    <w:lvl w:ilvl="0">
      <w:lvlJc w:val="left"/>
      <w:lvlText w:val="(%1)"/>
      <w:numFmt w:val="lowerLetter"/>
      <w:start w:val="4"/>
    </w:lvl>
  </w:abstractNum>
  <w:abstractNum w:abstractNumId="209">
    <w:nsid w:val="20F4BDAD"/>
    <w:multiLevelType w:val="hybridMultilevel"/>
    <w:lvl w:ilvl="0">
      <w:lvlJc w:val="left"/>
      <w:lvlText w:val="(%1)"/>
      <w:numFmt w:val="lowerLetter"/>
      <w:start w:val="5"/>
    </w:lvl>
  </w:abstractNum>
  <w:abstractNum w:abstractNumId="210">
    <w:nsid w:val="639DEFAC"/>
    <w:multiLevelType w:val="hybridMultilevel"/>
    <w:lvl w:ilvl="0">
      <w:lvlJc w:val="left"/>
      <w:lvlText w:val="•"/>
      <w:numFmt w:val="bullet"/>
      <w:start w:val="1"/>
    </w:lvl>
    <w:lvl w:ilvl="1">
      <w:lvlJc w:val="left"/>
      <w:lvlText w:val="(%2)"/>
      <w:numFmt w:val="lowerLetter"/>
      <w:start w:val="6"/>
    </w:lvl>
  </w:abstractNum>
  <w:abstractNum w:abstractNumId="211">
    <w:nsid w:val="501F9786"/>
    <w:multiLevelType w:val="hybridMultilevel"/>
    <w:lvl w:ilvl="0">
      <w:lvlJc w:val="left"/>
      <w:lvlText w:val="•"/>
      <w:numFmt w:val="bullet"/>
      <w:start w:val="1"/>
    </w:lvl>
  </w:abstractNum>
  <w:abstractNum w:abstractNumId="212">
    <w:nsid w:val="6B057295"/>
    <w:multiLevelType w:val="hybridMultilevel"/>
    <w:lvl w:ilvl="0">
      <w:lvlJc w:val="left"/>
      <w:lvlText w:val="•"/>
      <w:numFmt w:val="bullet"/>
      <w:start w:val="1"/>
    </w:lvl>
  </w:abstractNum>
  <w:abstractNum w:abstractNumId="213">
    <w:nsid w:val="2771AC80"/>
    <w:multiLevelType w:val="hybridMultilevel"/>
    <w:lvl w:ilvl="0">
      <w:lvlJc w:val="left"/>
      <w:lvlText w:val="•"/>
      <w:numFmt w:val="bullet"/>
      <w:start w:val="1"/>
    </w:lvl>
  </w:abstractNum>
  <w:abstractNum w:abstractNumId="214">
    <w:nsid w:val="1C4A08EC"/>
    <w:multiLevelType w:val="hybridMultilevel"/>
    <w:lvl w:ilvl="0">
      <w:lvlJc w:val="left"/>
      <w:lvlText w:val="(%1)"/>
      <w:numFmt w:val="lowerRoman"/>
      <w:start w:val="3"/>
    </w:lvl>
  </w:abstractNum>
  <w:abstractNum w:abstractNumId="215">
    <w:nsid w:val="1958BD17"/>
    <w:multiLevelType w:val="hybridMultilevel"/>
    <w:lvl w:ilvl="0">
      <w:lvlJc w:val="left"/>
      <w:lvlText w:val="*"/>
      <w:numFmt w:val="bullet"/>
      <w:start w:val="1"/>
    </w:lvl>
  </w:abstractNum>
  <w:abstractNum w:abstractNumId="216">
    <w:nsid w:val="4E647FE4"/>
    <w:multiLevelType w:val="hybridMultilevel"/>
    <w:lvl w:ilvl="0">
      <w:lvlJc w:val="left"/>
      <w:lvlText w:val="(%1)"/>
      <w:numFmt w:val="decimal"/>
      <w:start w:val="1"/>
    </w:lvl>
  </w:abstractNum>
  <w:abstractNum w:abstractNumId="217">
    <w:nsid w:val="E0BB885"/>
    <w:multiLevelType w:val="hybridMultilevel"/>
    <w:lvl w:ilvl="0">
      <w:lvlJc w:val="left"/>
      <w:lvlText w:val="%1."/>
      <w:numFmt w:val="decimal"/>
      <w:start w:val="1"/>
    </w:lvl>
    <w:lvl w:ilvl="1">
      <w:lvlJc w:val="left"/>
      <w:lvlText w:val="(%2)"/>
      <w:numFmt w:val="lowerLetter"/>
      <w:start w:val="1"/>
    </w:lvl>
  </w:abstractNum>
  <w:abstractNum w:abstractNumId="218">
    <w:nsid w:val="565976F1"/>
    <w:multiLevelType w:val="hybridMultilevel"/>
    <w:lvl w:ilvl="0">
      <w:lvlJc w:val="left"/>
      <w:lvlText w:val="%1."/>
      <w:numFmt w:val="decimal"/>
      <w:start w:val="1"/>
    </w:lvl>
    <w:lvl w:ilvl="1">
      <w:lvlJc w:val="left"/>
      <w:lvlText w:val="(%2)"/>
      <w:numFmt w:val="lowerLetter"/>
      <w:start w:val="1"/>
    </w:lvl>
  </w:abstractNum>
  <w:abstractNum w:abstractNumId="219">
    <w:nsid w:val="64212B8C"/>
    <w:multiLevelType w:val="hybridMultilevel"/>
    <w:lvl w:ilvl="0">
      <w:lvlJc w:val="left"/>
      <w:lvlText w:val="%1."/>
      <w:numFmt w:val="decimal"/>
      <w:start w:val="1"/>
    </w:lvl>
  </w:abstractNum>
  <w:abstractNum w:abstractNumId="220">
    <w:nsid w:val="5C17530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jpe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jpe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jpe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jpe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jpe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jpe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jpe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jpe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jpe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jpe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jpe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jpe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jpe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jpe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jpe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jpeg"/><Relationship Id="rId313" Type="http://schemas.openxmlformats.org/officeDocument/2006/relationships/image" Target="media/image265.png"/><Relationship Id="rId314" Type="http://schemas.openxmlformats.org/officeDocument/2006/relationships/image" Target="media/image266.png"/><Relationship Id="rId315" Type="http://schemas.openxmlformats.org/officeDocument/2006/relationships/image" Target="media/image267.png"/><Relationship Id="rId316" Type="http://schemas.openxmlformats.org/officeDocument/2006/relationships/image" Target="media/image268.png"/><Relationship Id="rId317" Type="http://schemas.openxmlformats.org/officeDocument/2006/relationships/image" Target="media/image269.png"/><Relationship Id="rId318" Type="http://schemas.openxmlformats.org/officeDocument/2006/relationships/image" Target="media/image270.png"/><Relationship Id="rId319" Type="http://schemas.openxmlformats.org/officeDocument/2006/relationships/image" Target="media/image271.png"/><Relationship Id="rId320"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png"/><Relationship Id="rId329"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203" Type="http://schemas.openxmlformats.org/officeDocument/2006/relationships/hyperlink" Target="https://www.sec.gov/Archives/edgar/data/1635088/000119312522183362/d307489dex21.htm" TargetMode="External"/><Relationship Id="rId204" Type="http://schemas.openxmlformats.org/officeDocument/2006/relationships/hyperlink" Target="https://www.sec.gov/Archives/edgar/data/1635088/000119312522183362/d307489dex29.htm" TargetMode="External"/><Relationship Id="rId205" Type="http://schemas.openxmlformats.org/officeDocument/2006/relationships/hyperlink" Target="https://www.sec.gov/Archives/edgar/data/1635088/000114036124041663/ny20036156x1_ex2-1.htm" TargetMode="External"/><Relationship Id="rId206" Type="http://schemas.openxmlformats.org/officeDocument/2006/relationships/hyperlink" Target="https://www.sec.gov/Archives/edgar/data/1635088/000119312521205193/d65062dex31.htm" TargetMode="External"/><Relationship Id="rId207" Type="http://schemas.openxmlformats.org/officeDocument/2006/relationships/hyperlink" Target="https://www.sec.gov/Archives/edgar/data/1635088/000119312521288885/d230641dex31.htm" TargetMode="External"/><Relationship Id="rId208" Type="http://schemas.openxmlformats.org/officeDocument/2006/relationships/hyperlink" Target="https://www.sec.gov/Archives/edgar/data/1635088/000119312521235175/d65062dex45.htm" TargetMode="External"/><Relationship Id="rId209" Type="http://schemas.openxmlformats.org/officeDocument/2006/relationships/hyperlink" Target="https://www.sec.gov/Archives/edgar/data/1635088/000114036123031798/brhc20054745_ex4-5.htm" TargetMode="External"/><Relationship Id="rId210" Type="http://schemas.openxmlformats.org/officeDocument/2006/relationships/hyperlink" Target="https://www.sec.gov/Archives/edgar/data/1635088/000119312522183362/d307489dex101.htm" TargetMode="External"/><Relationship Id="rId211" Type="http://schemas.openxmlformats.org/officeDocument/2006/relationships/hyperlink" Target="https://www.sec.gov/Archives/edgar/data/1635088/000119312522183362/d307489dex103.htm" TargetMode="External"/><Relationship Id="rId212" Type="http://schemas.openxmlformats.org/officeDocument/2006/relationships/hyperlink" Target="https://www.sec.gov/Archives/edgar/data/1635088/000119312522183362/d307489dex104.htm" TargetMode="External"/><Relationship Id="rId213" Type="http://schemas.openxmlformats.org/officeDocument/2006/relationships/hyperlink" Target="https://www.sec.gov/Archives/edgar/data/1819263/000110465920114035/tm2033018d1_ex10-1.htm" TargetMode="External"/><Relationship Id="rId214" Type="http://schemas.openxmlformats.org/officeDocument/2006/relationships/hyperlink" Target="https://www.sec.gov/Archives/edgar/data/1764013/000119312519321147/d839382dex106.htm" TargetMode="External"/><Relationship Id="rId215" Type="http://schemas.openxmlformats.org/officeDocument/2006/relationships/hyperlink" Target="https://www.sec.gov/Archives/edgar/data/1447028/000144702820000118/a2020-q210xqex103cross.htm" TargetMode="External"/><Relationship Id="rId216" Type="http://schemas.openxmlformats.org/officeDocument/2006/relationships/hyperlink" Target="https://www.sec.gov/Archives/edgar/data/1447028/000144702820000118/a2020-q210xqex1041stam.htm" TargetMode="External"/><Relationship Id="rId217" Type="http://schemas.openxmlformats.org/officeDocument/2006/relationships/hyperlink" Target="https://www.sec.gov/Archives/edgar/data/1447028/000144702820000118/a2020-q210xqex105secon.htm" TargetMode="External"/><Relationship Id="rId218" Type="http://schemas.openxmlformats.org/officeDocument/2006/relationships/hyperlink" Target="https://www.sec.gov/Archives/edgar/data/1635088/000119312521205193/d65062dex1024.htm" TargetMode="External"/><Relationship Id="rId219" Type="http://schemas.openxmlformats.org/officeDocument/2006/relationships/hyperlink" Target="https://www.sec.gov/Archives/edgar/data/1635088/000119312521162191/d65062dex1025.htm" TargetMode="External"/><Relationship Id="rId220" Type="http://schemas.openxmlformats.org/officeDocument/2006/relationships/hyperlink" Target="https://www.sec.gov/Archives/edgar/data/1635088/000095010321015700/dp159512_ex9901.htm" TargetMode="External"/><Relationship Id="rId221" Type="http://schemas.openxmlformats.org/officeDocument/2006/relationships/hyperlink" Target="https://www.sec.gov/Archives/edgar/data/1635088/000119312521162191/d65062dex1028.htm" TargetMode="External"/><Relationship Id="rId222" Type="http://schemas.openxmlformats.org/officeDocument/2006/relationships/hyperlink" Target="https://www.sec.gov/Archives/edgar/data/1635088/000119312521162191/d65062dex1029.htm" TargetMode="External"/><Relationship Id="rId223" Type="http://schemas.openxmlformats.org/officeDocument/2006/relationships/hyperlink" Target="https://www.sec.gov/Archives/edgar/data/1635088/000119312522183362/d307489dex1028.htm" TargetMode="External"/><Relationship Id="rId224" Type="http://schemas.openxmlformats.org/officeDocument/2006/relationships/hyperlink" Target="https://www.sec.gov/Archives/edgar/data/1635088/000119312521288885/d230641dex101.htm" TargetMode="External"/><Relationship Id="rId225" Type="http://schemas.openxmlformats.org/officeDocument/2006/relationships/hyperlink" Target="https://www.sec.gov/Archives/edgar/data/1635088/000114036123031798/brhc20054745_ex10-27.htm" TargetMode="External"/><Relationship Id="rId226" Type="http://schemas.openxmlformats.org/officeDocument/2006/relationships/hyperlink" Target="https://www.sec.gov/Archives/edgar/data/1635088/000119312521365107/d268332dex1037.htm" TargetMode="External"/><Relationship Id="rId227" Type="http://schemas.openxmlformats.org/officeDocument/2006/relationships/hyperlink" Target="https://www.sec.gov/Archives/edgar/data/1635088/000119312522183362/d307489dex1036.htm" TargetMode="External"/><Relationship Id="rId228" Type="http://schemas.openxmlformats.org/officeDocument/2006/relationships/hyperlink" Target="https://www.sec.gov/Archives/edgar/data/1635088/000119312522183362/d307489dex1037.htm" TargetMode="External"/><Relationship Id="rId229" Type="http://schemas.openxmlformats.org/officeDocument/2006/relationships/hyperlink" Target="https://www.sec.gov/Archives/edgar/data/1635088/000119312522183362/d307489dex1038.htm" TargetMode="External"/><Relationship Id="rId230" Type="http://schemas.openxmlformats.org/officeDocument/2006/relationships/hyperlink" Target="https://www.sec.gov/Archives/edgar/data/1635088/000119312522205102/d383501dex1039.htm" TargetMode="External"/><Relationship Id="rId231" Type="http://schemas.openxmlformats.org/officeDocument/2006/relationships/hyperlink" Target="https://www.sec.gov/Archives/edgar/data/1635088/000114036123031798/brhc20054745_ex10-39.htm" TargetMode="External"/><Relationship Id="rId232" Type="http://schemas.openxmlformats.org/officeDocument/2006/relationships/hyperlink" Target="https://www.sec.gov/Archives/edgar/data/1635088/000114036123031798/brhc20054745_ex10-40.htm" TargetMode="External"/><Relationship Id="rId233" Type="http://schemas.openxmlformats.org/officeDocument/2006/relationships/hyperlink" Target="https://www.sec.gov/Archives/edgar/data/1635088/000114036123031798/brhc20054745_ex10-41.htm" TargetMode="External"/><Relationship Id="rId234" Type="http://schemas.openxmlformats.org/officeDocument/2006/relationships/hyperlink" Target="https://www.sec.gov/Archives/edgar/data/1635088/000114036123031798/brhc20054745_ex10-42.htm" TargetMode="External"/><Relationship Id="rId235" Type="http://schemas.openxmlformats.org/officeDocument/2006/relationships/hyperlink" Target="https://www.sec.gov/Archives/edgar/data/1635088/000114036123031798/brhc20054745_ex10-43.htm" TargetMode="External"/><Relationship Id="rId236" Type="http://schemas.openxmlformats.org/officeDocument/2006/relationships/hyperlink" Target="https://www.sec.gov/Archives/edgar/data/1635088/000114036123031798/brhc20054745_ex10-44.htm" TargetMode="External"/><Relationship Id="rId237" Type="http://schemas.openxmlformats.org/officeDocument/2006/relationships/hyperlink" Target="https://www.sec.gov/Archives/edgar/data/1764013/000176401322000031/exhibit102-20211231q3.htm" TargetMode="External"/><Relationship Id="rId238" Type="http://schemas.openxmlformats.org/officeDocument/2006/relationships/hyperlink" Target="https://www.sec.gov/Archives/edgar/data/1764013/000176401322000031/exhibit103-20211231q3.htm" TargetMode="External"/><Relationship Id="rId239" Type="http://schemas.openxmlformats.org/officeDocument/2006/relationships/hyperlink" Target="https://www.sec.gov/Archives/edgar/data/1635088/000114036124036642/ef20030921_ex10-44.htm" TargetMode="External"/><Relationship Id="rId240" Type="http://schemas.openxmlformats.org/officeDocument/2006/relationships/hyperlink" Target="https://www.sec.gov/Archives/edgar/data/1635088/000114036124036642/ef20030921_ex10-43.htm" TargetMode="External"/><Relationship Id="rId241" Type="http://schemas.openxmlformats.org/officeDocument/2006/relationships/hyperlink" Target="https://www.sec.gov/Archives/edgar/data/1635088/000114036124046019/ef20034554_ex10-45.htm" TargetMode="External"/><Relationship Id="rId242" Type="http://schemas.openxmlformats.org/officeDocument/2006/relationships/hyperlink" Target="https://www.sec.gov/Archives/edgar/data/1635088/000114036124046019/ef20034554_ex10-46.htm" TargetMode="External"/><Relationship Id="rId243" Type="http://schemas.openxmlformats.org/officeDocument/2006/relationships/hyperlink" Target="https://www.sec.gov/Archives/edgar/data/1635088/000114036124028145/ef20026301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2025-05-29T07:04:56Z</dcterms:created>
  <dcterms:modified xsi:type="dcterms:W3CDTF">2025-05-29T07:04:56Z</dcterms:modified>
</cp:coreProperties>
</file>