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115570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156210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24" w:right="100" w:hanging="424"/>
        <w:spacing w:after="0" w:line="237" w:lineRule="auto"/>
        <w:tabs>
          <w:tab w:leader="none" w:pos="42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9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24" w:right="80" w:hanging="424"/>
        <w:spacing w:after="0" w:line="262" w:lineRule="auto"/>
        <w:tabs>
          <w:tab w:leader="none" w:pos="424"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001-40782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139700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ROIVANT SCIENCES LTD.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124460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9" w:lineRule="exact"/>
        <w:rPr>
          <w:sz w:val="24"/>
          <w:szCs w:val="24"/>
          <w:color w:val="auto"/>
        </w:rPr>
      </w:pPr>
    </w:p>
    <w:tbl>
      <w:tblPr>
        <w:tblLayout w:type="fixed"/>
        <w:tblInd w:w="1584" w:type="dxa"/>
        <w:tblCellMar>
          <w:top w:w="0" w:type="dxa"/>
          <w:left w:w="0" w:type="dxa"/>
          <w:bottom w:w="0" w:type="dxa"/>
          <w:right w:w="0" w:type="dxa"/>
        </w:tblCellMar>
      </w:tblPr>
      <w:tr>
        <w:trPr>
          <w:trHeight w:val="214"/>
        </w:trPr>
        <w:tc>
          <w:tcPr>
            <w:tcW w:w="5860" w:type="dxa"/>
            <w:vAlign w:val="bottom"/>
          </w:tcPr>
          <w:p>
            <w:pPr>
              <w:jc w:val="center"/>
              <w:ind w:right="3377"/>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1480" w:type="dxa"/>
            <w:vAlign w:val="bottom"/>
          </w:tcPr>
          <w:p>
            <w:pPr>
              <w:jc w:val="center"/>
              <w:ind w:left="221"/>
              <w:spacing w:after="0"/>
              <w:rPr>
                <w:sz w:val="20"/>
                <w:szCs w:val="20"/>
                <w:color w:val="auto"/>
              </w:rPr>
            </w:pPr>
            <w:r>
              <w:rPr>
                <w:rFonts w:ascii="Times New Roman" w:cs="Times New Roman" w:eastAsia="Times New Roman" w:hAnsi="Times New Roman"/>
                <w:sz w:val="18"/>
                <w:szCs w:val="18"/>
                <w:b w:val="1"/>
                <w:bCs w:val="1"/>
                <w:color w:val="auto"/>
                <w:w w:val="98"/>
              </w:rPr>
              <w:t>98-1173944</w:t>
            </w:r>
          </w:p>
        </w:tc>
      </w:tr>
      <w:tr>
        <w:trPr>
          <w:trHeight w:val="148"/>
        </w:trPr>
        <w:tc>
          <w:tcPr>
            <w:tcW w:w="5860" w:type="dxa"/>
            <w:vAlign w:val="bottom"/>
          </w:tcPr>
          <w:p>
            <w:pPr>
              <w:jc w:val="center"/>
              <w:ind w:right="337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860" w:type="dxa"/>
            <w:vAlign w:val="bottom"/>
          </w:tcPr>
          <w:p>
            <w:pPr>
              <w:jc w:val="center"/>
              <w:ind w:right="337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5860" w:type="dxa"/>
            <w:vAlign w:val="bottom"/>
          </w:tcPr>
          <w:p>
            <w:pPr>
              <w:jc w:val="center"/>
              <w:ind w:right="3377"/>
              <w:spacing w:after="0"/>
              <w:rPr>
                <w:sz w:val="20"/>
                <w:szCs w:val="20"/>
                <w:color w:val="auto"/>
              </w:rPr>
            </w:pPr>
            <w:r>
              <w:rPr>
                <w:rFonts w:ascii="Times New Roman" w:cs="Times New Roman" w:eastAsia="Times New Roman" w:hAnsi="Times New Roman"/>
                <w:sz w:val="18"/>
                <w:szCs w:val="18"/>
                <w:b w:val="1"/>
                <w:bCs w:val="1"/>
                <w:color w:val="auto"/>
              </w:rPr>
              <w:t>Suite 1, 3rd Floor</w:t>
            </w:r>
          </w:p>
        </w:tc>
        <w:tc>
          <w:tcPr>
            <w:tcW w:w="1480" w:type="dxa"/>
            <w:vAlign w:val="bottom"/>
          </w:tcPr>
          <w:p>
            <w:pPr>
              <w:spacing w:after="0"/>
              <w:rPr>
                <w:sz w:val="24"/>
                <w:szCs w:val="24"/>
                <w:color w:val="auto"/>
              </w:rPr>
            </w:pPr>
          </w:p>
        </w:tc>
      </w:tr>
      <w:tr>
        <w:trPr>
          <w:trHeight w:val="216"/>
        </w:trPr>
        <w:tc>
          <w:tcPr>
            <w:tcW w:w="5860" w:type="dxa"/>
            <w:vAlign w:val="bottom"/>
          </w:tcPr>
          <w:p>
            <w:pPr>
              <w:jc w:val="center"/>
              <w:ind w:right="3397"/>
              <w:spacing w:after="0"/>
              <w:rPr>
                <w:sz w:val="20"/>
                <w:szCs w:val="20"/>
                <w:color w:val="auto"/>
              </w:rPr>
            </w:pPr>
            <w:r>
              <w:rPr>
                <w:rFonts w:ascii="Times New Roman" w:cs="Times New Roman" w:eastAsia="Times New Roman" w:hAnsi="Times New Roman"/>
                <w:sz w:val="18"/>
                <w:szCs w:val="18"/>
                <w:b w:val="1"/>
                <w:bCs w:val="1"/>
                <w:color w:val="auto"/>
                <w:w w:val="98"/>
              </w:rPr>
              <w:t>11-12 St. James’s Square</w:t>
            </w:r>
          </w:p>
        </w:tc>
        <w:tc>
          <w:tcPr>
            <w:tcW w:w="1480" w:type="dxa"/>
            <w:vAlign w:val="bottom"/>
          </w:tcPr>
          <w:p>
            <w:pPr>
              <w:spacing w:after="0"/>
              <w:rPr>
                <w:sz w:val="18"/>
                <w:szCs w:val="18"/>
                <w:color w:val="auto"/>
              </w:rPr>
            </w:pPr>
          </w:p>
        </w:tc>
      </w:tr>
      <w:tr>
        <w:trPr>
          <w:trHeight w:val="216"/>
        </w:trPr>
        <w:tc>
          <w:tcPr>
            <w:tcW w:w="5860" w:type="dxa"/>
            <w:vAlign w:val="bottom"/>
          </w:tcPr>
          <w:p>
            <w:pPr>
              <w:jc w:val="center"/>
              <w:ind w:right="3377"/>
              <w:spacing w:after="0"/>
              <w:rPr>
                <w:sz w:val="20"/>
                <w:szCs w:val="20"/>
                <w:color w:val="auto"/>
              </w:rPr>
            </w:pPr>
            <w:r>
              <w:rPr>
                <w:rFonts w:ascii="Times New Roman" w:cs="Times New Roman" w:eastAsia="Times New Roman" w:hAnsi="Times New Roman"/>
                <w:sz w:val="18"/>
                <w:szCs w:val="18"/>
                <w:b w:val="1"/>
                <w:bCs w:val="1"/>
                <w:color w:val="auto"/>
                <w:w w:val="99"/>
              </w:rPr>
              <w:t>London SW1Y 4LB</w:t>
            </w:r>
          </w:p>
        </w:tc>
        <w:tc>
          <w:tcPr>
            <w:tcW w:w="1480" w:type="dxa"/>
            <w:vAlign w:val="bottom"/>
          </w:tcPr>
          <w:p>
            <w:pPr>
              <w:spacing w:after="0"/>
              <w:rPr>
                <w:sz w:val="18"/>
                <w:szCs w:val="18"/>
                <w:color w:val="auto"/>
              </w:rPr>
            </w:pPr>
          </w:p>
        </w:tc>
      </w:tr>
      <w:tr>
        <w:trPr>
          <w:trHeight w:val="227"/>
        </w:trPr>
        <w:tc>
          <w:tcPr>
            <w:tcW w:w="5860" w:type="dxa"/>
            <w:vAlign w:val="bottom"/>
          </w:tcPr>
          <w:p>
            <w:pPr>
              <w:jc w:val="center"/>
              <w:ind w:right="3377"/>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480" w:type="dxa"/>
            <w:vAlign w:val="bottom"/>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5860" w:type="dxa"/>
            <w:vAlign w:val="bottom"/>
          </w:tcPr>
          <w:p>
            <w:pPr>
              <w:jc w:val="center"/>
              <w:ind w:right="33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2"/>
        </w:trPr>
        <w:tc>
          <w:tcPr>
            <w:tcW w:w="5860" w:type="dxa"/>
            <w:vAlign w:val="bottom"/>
          </w:tcPr>
          <w:p>
            <w:pPr>
              <w:jc w:val="right"/>
              <w:ind w:right="1197"/>
              <w:spacing w:after="0"/>
              <w:rPr>
                <w:sz w:val="20"/>
                <w:szCs w:val="20"/>
                <w:color w:val="auto"/>
              </w:rPr>
            </w:pPr>
            <w:r>
              <w:rPr>
                <w:rFonts w:ascii="Times New Roman" w:cs="Times New Roman" w:eastAsia="Times New Roman" w:hAnsi="Times New Roman"/>
                <w:sz w:val="18"/>
                <w:szCs w:val="18"/>
                <w:b w:val="1"/>
                <w:bCs w:val="1"/>
                <w:color w:val="auto"/>
              </w:rPr>
              <w:t>+44 207 400 3347</w:t>
            </w:r>
          </w:p>
        </w:tc>
        <w:tc>
          <w:tcPr>
            <w:tcW w:w="1480" w:type="dxa"/>
            <w:vAlign w:val="bottom"/>
          </w:tcPr>
          <w:p>
            <w:pPr>
              <w:spacing w:after="0"/>
              <w:rPr>
                <w:sz w:val="21"/>
                <w:szCs w:val="21"/>
                <w:color w:val="auto"/>
              </w:rPr>
            </w:pPr>
          </w:p>
        </w:tc>
      </w:tr>
      <w:tr>
        <w:trPr>
          <w:trHeight w:val="190"/>
        </w:trPr>
        <w:tc>
          <w:tcPr>
            <w:tcW w:w="5860" w:type="dxa"/>
            <w:vAlign w:val="bottom"/>
          </w:tcPr>
          <w:p>
            <w:pPr>
              <w:jc w:val="center"/>
              <w:ind w:left="189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6"/>
                <w:szCs w:val="16"/>
                <w:color w:val="auto"/>
              </w:rPr>
            </w:pPr>
          </w:p>
        </w:tc>
      </w:tr>
    </w:tbl>
    <w:p>
      <w:pPr>
        <w:spacing w:after="0" w:line="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125095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87"/>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01"/>
        </w:trPr>
        <w:tc>
          <w:tcPr>
            <w:tcW w:w="37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Shares, $0.0000000341740141</w:t>
            </w:r>
          </w:p>
        </w:tc>
        <w:tc>
          <w:tcPr>
            <w:tcW w:w="120" w:type="dxa"/>
            <w:vAlign w:val="bottom"/>
          </w:tcPr>
          <w:p>
            <w:pPr>
              <w:spacing w:after="0"/>
              <w:rPr>
                <w:sz w:val="17"/>
                <w:szCs w:val="17"/>
                <w:color w:val="auto"/>
              </w:rPr>
            </w:pPr>
          </w:p>
        </w:tc>
        <w:tc>
          <w:tcPr>
            <w:tcW w:w="35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ROIV</w:t>
            </w:r>
          </w:p>
        </w:tc>
        <w:tc>
          <w:tcPr>
            <w:tcW w:w="100" w:type="dxa"/>
            <w:vAlign w:val="bottom"/>
          </w:tcPr>
          <w:p>
            <w:pPr>
              <w:spacing w:after="0"/>
              <w:rPr>
                <w:sz w:val="17"/>
                <w:szCs w:val="17"/>
                <w:color w:val="auto"/>
              </w:rPr>
            </w:pPr>
          </w:p>
        </w:tc>
        <w:tc>
          <w:tcPr>
            <w:tcW w:w="35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 Redeemable Warrants, each whole</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ROIVW</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 exercisable for one Common Share at</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 exercise price of $11.50 per share</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49" w:lineRule="exact"/>
        <w:rPr>
          <w:sz w:val="24"/>
          <w:szCs w:val="24"/>
          <w:color w:val="auto"/>
        </w:rPr>
      </w:pPr>
    </w:p>
    <w:p>
      <w:pPr>
        <w:ind w:left="4"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left="4"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 w:lineRule="exact"/>
        <w:rPr>
          <w:sz w:val="24"/>
          <w:szCs w:val="24"/>
          <w:color w:val="auto"/>
        </w:rPr>
      </w:pPr>
    </w:p>
    <w:tbl>
      <w:tblPr>
        <w:tblLayout w:type="fixed"/>
        <w:tblInd w:w="4" w:type="dxa"/>
        <w:tblCellMar>
          <w:top w:w="0" w:type="dxa"/>
          <w:left w:w="0" w:type="dxa"/>
          <w:bottom w:w="0" w:type="dxa"/>
          <w:right w:w="0" w:type="dxa"/>
        </w:tblCellMar>
      </w:tblPr>
      <w:tr>
        <w:trPr>
          <w:trHeight w:val="27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 w:lineRule="exact"/>
        <w:rPr>
          <w:sz w:val="24"/>
          <w:szCs w:val="24"/>
          <w:color w:val="auto"/>
        </w:rPr>
      </w:pPr>
    </w:p>
    <w:p>
      <w:pPr>
        <w:ind w:left="4"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4"/>
        <w:spacing w:after="0" w:line="207" w:lineRule="exact"/>
        <w:tabs>
          <w:tab w:leader="none" w:pos="8324" w:val="left"/>
          <w:tab w:leader="none" w:pos="9024"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As of August 12, 2022, the registrant had 703,625,412 common shares, par value $0.0000000341740141 per share, outstanding (the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I—FINANCIAL INFORMATION</w:t>
            </w:r>
          </w:p>
        </w:tc>
        <w:tc>
          <w:tcPr>
            <w:tcW w:w="6700" w:type="dxa"/>
            <w:vAlign w:val="bottom"/>
            <w:gridSpan w:val="13"/>
            <w:vMerge w:val="restart"/>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3"/>
        </w:trPr>
        <w:tc>
          <w:tcPr>
            <w:tcW w:w="3160" w:type="dxa"/>
            <w:vAlign w:val="bottom"/>
            <w:tcBorders>
              <w:bottom w:val="single" w:sz="8" w:color="0000EE"/>
            </w:tcBorders>
            <w:gridSpan w:val="10"/>
            <w:vMerge w:val="continue"/>
          </w:tcPr>
          <w:p>
            <w:pPr>
              <w:spacing w:after="0"/>
              <w:rPr>
                <w:sz w:val="13"/>
                <w:szCs w:val="13"/>
                <w:color w:val="auto"/>
              </w:rPr>
            </w:pPr>
          </w:p>
        </w:tc>
        <w:tc>
          <w:tcPr>
            <w:tcW w:w="6700" w:type="dxa"/>
            <w:vAlign w:val="bottom"/>
            <w:gridSpan w:val="13"/>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6580" w:type="dxa"/>
            <w:vAlign w:val="bottom"/>
            <w:gridSpan w:val="11"/>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June 30, 2022 and March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June 30, 2022 and 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Loss for the Three Months Ended June 30, 2022 and 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788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Shareholders’ Equity and Redeemable Noncontrolling Interest for the</w:t>
            </w:r>
          </w:p>
        </w:tc>
        <w:tc>
          <w:tcPr>
            <w:tcW w:w="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80" w:type="dxa"/>
            <w:vAlign w:val="bottom"/>
            <w:tcBorders>
              <w:bottom w:val="single" w:sz="8" w:color="0000EE"/>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EE"/>
                <w:w w:val="99"/>
              </w:rPr>
              <w:t>Three Months Ended June 30, 2022 and 2021</w:t>
            </w:r>
          </w:p>
        </w:tc>
        <w:tc>
          <w:tcPr>
            <w:tcW w:w="5720" w:type="dxa"/>
            <w:vAlign w:val="bottom"/>
            <w:gridSpan w:val="10"/>
          </w:tcPr>
          <w:p>
            <w:pPr>
              <w:spacing w:after="0"/>
              <w:rPr>
                <w:sz w:val="17"/>
                <w:szCs w:val="17"/>
                <w:color w:val="auto"/>
              </w:rPr>
            </w:pP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17"/>
        </w:trPr>
        <w:tc>
          <w:tcPr>
            <w:tcW w:w="860" w:type="dxa"/>
            <w:vAlign w:val="bottom"/>
          </w:tcPr>
          <w:p>
            <w:pPr>
              <w:spacing w:after="0"/>
              <w:rPr>
                <w:sz w:val="24"/>
                <w:szCs w:val="24"/>
                <w:color w:val="auto"/>
              </w:rPr>
            </w:pPr>
          </w:p>
        </w:tc>
        <w:tc>
          <w:tcPr>
            <w:tcW w:w="75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June 30, 2022 and 2021</w:t>
            </w:r>
          </w:p>
        </w:tc>
        <w:tc>
          <w:tcPr>
            <w:tcW w:w="1440" w:type="dxa"/>
            <w:vAlign w:val="bottom"/>
            <w:gridSpan w:val="3"/>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40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000" w:type="dxa"/>
            <w:vAlign w:val="bottom"/>
            <w:gridSpan w:val="9"/>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540" w:type="dxa"/>
            <w:vAlign w:val="bottom"/>
            <w:gridSpan w:val="5"/>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640" w:type="dxa"/>
            <w:vAlign w:val="bottom"/>
            <w:gridSpan w:val="7"/>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7220" w:type="dxa"/>
            <w:vAlign w:val="bottom"/>
            <w:gridSpan w:val="15"/>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04"/>
        </w:trPr>
        <w:tc>
          <w:tcPr>
            <w:tcW w:w="28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8"/>
              </w:rPr>
              <w:t>PART II—OTHER INFORMATION</w:t>
            </w:r>
          </w:p>
        </w:tc>
        <w:tc>
          <w:tcPr>
            <w:tcW w:w="7000" w:type="dxa"/>
            <w:vAlign w:val="bottom"/>
            <w:gridSpan w:val="14"/>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660" w:type="dxa"/>
            <w:vAlign w:val="bottom"/>
            <w:gridSpan w:val="17"/>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6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4660" w:type="dxa"/>
            <w:vAlign w:val="bottom"/>
            <w:gridSpan w:val="8"/>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680" w:type="dxa"/>
            <w:vAlign w:val="bottom"/>
            <w:gridSpan w:val="12"/>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24"/>
                <w:szCs w:val="24"/>
                <w:color w:val="auto"/>
              </w:rPr>
            </w:pPr>
          </w:p>
        </w:tc>
        <w:tc>
          <w:tcPr>
            <w:tcW w:w="7240" w:type="dxa"/>
            <w:vAlign w:val="bottom"/>
            <w:gridSpan w:val="16"/>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8400" w:type="dxa"/>
            <w:vAlign w:val="bottom"/>
            <w:gridSpan w:val="20"/>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304"/>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8760" w:type="dxa"/>
            <w:vAlign w:val="bottom"/>
            <w:gridSpan w:val="21"/>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ectPr>
          <w:pgSz w:w="11900" w:h="16838" w:orient="portrait"/>
          <w:cols w:equalWidth="0" w:num="1">
            <w:col w:w="10960"/>
          </w:cols>
          <w:pgMar w:left="440" w:top="293"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Where You Can Find More Information</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(https://investor.roivant.com), filings we make with the Securities and Exchange Commission (the “SEC”), our corporate twitter account (@Roivant), other social media platforms, webcasts, press releases and conference calls. Similarly, our subsidiary Immunovant, Inc. may announce material business and financial information to its investors using its investor relations website (https://immunovant.com/investors), filings it makes with the SEC, social media platforms, webcasts, press releases and conference calls. We and our public company subsidiaries use these mediums to communicate with our and our public company subsidiaries’ shareholders and the public about our company, our subsidiaries, our product candidates and other matters. It is possible that the information that we make available in this manner may be deemed to be material information. We therefore encourage investors and others interested in our company and our public company subsidiaries to review this information.</w:t>
      </w:r>
    </w:p>
    <w:p>
      <w:pPr>
        <w:spacing w:after="0" w:line="19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above-referenced information is not incorporated by reference into this filing and the website addresses and Twitter account name are provided only as inactive textual references.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You should consider carefully the risks described under “Risk Factors” in Part II, Item 1.A of this Quarterly Report on Form 10-Q. Unless the context otherwise requires, references in this section to “we,” “us,” “our,” “Roivant” and the “Company” refer to Roivant Sciences Ltd. and its consolidated subsidiaries, as the context requires. A summary of the risks that could materially and adversely affect our business, financial condition, operating results and prospects include the following: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35" w:lineRule="exact"/>
        <w:rPr>
          <w:sz w:val="20"/>
          <w:szCs w:val="20"/>
          <w:color w:val="auto"/>
        </w:rPr>
      </w:pPr>
    </w:p>
    <w:p>
      <w:pPr>
        <w:ind w:left="1420" w:right="20" w:hanging="439"/>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the inherent uncertainties and risks involved in biopharmaceutical product development may make it difficult for us to execute on our business model and for you to assess our future viability.</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never achieve or maintain profitability.</w:t>
      </w:r>
    </w:p>
    <w:p>
      <w:pPr>
        <w:spacing w:after="0" w:line="130" w:lineRule="exact"/>
        <w:rPr>
          <w:rFonts w:ascii="Times New Roman" w:cs="Times New Roman" w:eastAsia="Times New Roman" w:hAnsi="Times New Roman"/>
          <w:sz w:val="18"/>
          <w:szCs w:val="18"/>
          <w:color w:val="auto"/>
        </w:rPr>
      </w:pPr>
    </w:p>
    <w:p>
      <w:pPr>
        <w:ind w:left="1420" w:right="660" w:hanging="439"/>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fund our operations, and if we fail to obtain necessary financing, we may not be able to successfully market our products, acquire or in-license new products or product candidates, complete the development and commercialization of our products and product candidates and continue to pursue our drug discovery efforts.</w:t>
      </w:r>
    </w:p>
    <w:p>
      <w:pPr>
        <w:spacing w:after="0" w:line="81" w:lineRule="exact"/>
        <w:rPr>
          <w:rFonts w:ascii="Times New Roman" w:cs="Times New Roman" w:eastAsia="Times New Roman" w:hAnsi="Times New Roman"/>
          <w:sz w:val="18"/>
          <w:szCs w:val="18"/>
          <w:color w:val="auto"/>
        </w:rPr>
      </w:pPr>
    </w:p>
    <w:p>
      <w:pPr>
        <w:ind w:left="1420" w:right="260" w:hanging="439"/>
        <w:spacing w:after="0" w:line="234"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as a commercial company and the marketing and sale of VTAMA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(tapinarof) or any future products may be unsuccessful or less successful than anticipated.</w:t>
      </w:r>
    </w:p>
    <w:p>
      <w:pPr>
        <w:spacing w:after="0" w:line="10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acquire, in-license or discover new product candidates.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allocation of capital and personnel across our businesses.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Vant structure.</w:t>
      </w:r>
    </w:p>
    <w:p>
      <w:pPr>
        <w:spacing w:after="0" w:line="130" w:lineRule="exact"/>
        <w:rPr>
          <w:rFonts w:ascii="Times New Roman" w:cs="Times New Roman" w:eastAsia="Times New Roman" w:hAnsi="Times New Roman"/>
          <w:sz w:val="18"/>
          <w:szCs w:val="18"/>
          <w:color w:val="auto"/>
        </w:rPr>
      </w:pPr>
    </w:p>
    <w:p>
      <w:pPr>
        <w:ind w:left="1420" w:right="140" w:hanging="439"/>
        <w:spacing w:after="0" w:line="312" w:lineRule="auto"/>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pandemic resulting from the outbreak of the novel strain of coronavirus, SARS-CoV-2, which causes COVID-19, could adversely impact our business, including the marketing of our products and our ongoing clinical trials and preclinical studies.</w:t>
      </w:r>
    </w:p>
    <w:p>
      <w:pPr>
        <w:spacing w:after="0" w:line="45" w:lineRule="exact"/>
        <w:rPr>
          <w:rFonts w:ascii="Times New Roman" w:cs="Times New Roman" w:eastAsia="Times New Roman" w:hAnsi="Times New Roman"/>
          <w:sz w:val="17"/>
          <w:szCs w:val="17"/>
          <w:color w:val="auto"/>
        </w:rPr>
      </w:pPr>
    </w:p>
    <w:p>
      <w:pPr>
        <w:ind w:left="1420" w:right="200" w:hanging="439"/>
        <w:spacing w:after="0" w:line="276" w:lineRule="auto"/>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and preclinical studies are very expensive, time-consuming, difficult to design and implement and involve uncertain outcomes. We may encounter substantial delays in clinical trials, or may not be able to conduct or complete clinical trials</w:t>
      </w: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preclinical studies on the expected timelines, if at all.</w:t>
      </w:r>
    </w:p>
    <w:p>
      <w:pPr>
        <w:spacing w:after="0" w:line="112" w:lineRule="exact"/>
        <w:rPr>
          <w:rFonts w:ascii="Times New Roman" w:cs="Times New Roman" w:eastAsia="Times New Roman" w:hAnsi="Times New Roman"/>
          <w:sz w:val="17"/>
          <w:szCs w:val="17"/>
          <w:color w:val="auto"/>
        </w:rPr>
      </w:pPr>
    </w:p>
    <w:p>
      <w:pPr>
        <w:ind w:left="1420" w:hanging="439"/>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from our small molecule discovery engine is unproven, which makes it difficult to predict the time, cost of development and likelihood of successfully developing any product candidates from these platforms.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product candidates are novel, complex and difficult to manufacture.</w:t>
      </w:r>
    </w:p>
    <w:p>
      <w:pPr>
        <w:spacing w:after="0" w:line="130" w:lineRule="exact"/>
        <w:rPr>
          <w:rFonts w:ascii="Times New Roman" w:cs="Times New Roman" w:eastAsia="Times New Roman" w:hAnsi="Times New Roman"/>
          <w:sz w:val="18"/>
          <w:szCs w:val="18"/>
          <w:color w:val="auto"/>
        </w:rPr>
      </w:pPr>
    </w:p>
    <w:p>
      <w:pPr>
        <w:ind w:left="1420" w:right="420" w:hanging="439"/>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of a new drug is an extensive, lengthy, expensive and inherently uncertain process, and the FDA or another regulator may delay, limit or deny approval.</w:t>
      </w:r>
    </w:p>
    <w:p>
      <w:pPr>
        <w:spacing w:after="0" w:line="67" w:lineRule="exact"/>
        <w:rPr>
          <w:rFonts w:ascii="Times New Roman" w:cs="Times New Roman" w:eastAsia="Times New Roman" w:hAnsi="Times New Roman"/>
          <w:sz w:val="18"/>
          <w:szCs w:val="18"/>
          <w:color w:val="auto"/>
        </w:rPr>
      </w:pPr>
    </w:p>
    <w:p>
      <w:pPr>
        <w:ind w:left="1420" w:right="80" w:hanging="439"/>
        <w:spacing w:after="0" w:line="312" w:lineRule="auto"/>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ectPr>
          <w:pgSz w:w="11900" w:h="16838" w:orient="portrait"/>
          <w:cols w:equalWidth="0" w:num="1">
            <w:col w:w="10980"/>
          </w:cols>
          <w:pgMar w:left="440" w:top="293" w:right="479" w:bottom="1440" w:gutter="0" w:footer="0" w:header="0"/>
        </w:sectPr>
      </w:pPr>
    </w:p>
    <w:bookmarkStart w:id="3" w:name="page4"/>
    <w:bookmarkEnd w:id="3"/>
    <w:p>
      <w:pPr>
        <w:jc w:val="both"/>
        <w:ind w:left="1420" w:right="100" w:hanging="439"/>
        <w:spacing w:after="0" w:line="266"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products and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spacing w:after="0" w:line="81" w:lineRule="exact"/>
        <w:rPr>
          <w:rFonts w:ascii="Times New Roman" w:cs="Times New Roman" w:eastAsia="Times New Roman" w:hAnsi="Times New Roman"/>
          <w:sz w:val="18"/>
          <w:szCs w:val="18"/>
          <w:color w:val="auto"/>
        </w:rPr>
      </w:pPr>
    </w:p>
    <w:p>
      <w:pPr>
        <w:ind w:left="1420" w:right="500" w:hanging="439"/>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knowledge and skills of our senior leaders and may not be able to manage our business effectively if we are unable to attract and retain key personnel.</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expand our organization and may experience difficulties in managing this growth, which could disrupt operations.</w:t>
      </w:r>
    </w:p>
    <w:p>
      <w:pPr>
        <w:spacing w:after="0" w:line="130" w:lineRule="exact"/>
        <w:rPr>
          <w:rFonts w:ascii="Times New Roman" w:cs="Times New Roman" w:eastAsia="Times New Roman" w:hAnsi="Times New Roman"/>
          <w:sz w:val="18"/>
          <w:szCs w:val="18"/>
          <w:color w:val="auto"/>
        </w:rPr>
      </w:pPr>
    </w:p>
    <w:p>
      <w:pPr>
        <w:jc w:val="both"/>
        <w:ind w:left="1420" w:right="280" w:hanging="439"/>
        <w:spacing w:after="0" w:line="266"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products and product candidates or if the scope of the intellectual property protection obtained is not sufficiently broad, we may not be able to compete effectively in our markets.</w:t>
      </w:r>
    </w:p>
    <w:p>
      <w:pPr>
        <w:spacing w:after="0" w:line="81" w:lineRule="exact"/>
        <w:rPr>
          <w:rFonts w:ascii="Times New Roman" w:cs="Times New Roman" w:eastAsia="Times New Roman" w:hAnsi="Times New Roman"/>
          <w:sz w:val="18"/>
          <w:szCs w:val="18"/>
          <w:color w:val="auto"/>
        </w:rPr>
      </w:pPr>
    </w:p>
    <w:p>
      <w:pPr>
        <w:ind w:left="1420" w:right="40" w:hanging="439"/>
        <w:spacing w:after="0" w:line="261"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patent applications we hold or have in-licensed with respect to our products or product candidates fail to issue, if their breadth or strength of protection is threatened, or if they fail to provide meaningful exclusivity for our current and future products or product candidates, it could dissuade companies from collaborating with us to develop product candidates, and threaten our ability to commercialize our products.</w:t>
      </w:r>
    </w:p>
    <w:p>
      <w:pPr>
        <w:spacing w:after="0" w:line="85" w:lineRule="exact"/>
        <w:rPr>
          <w:rFonts w:ascii="Times New Roman" w:cs="Times New Roman" w:eastAsia="Times New Roman" w:hAnsi="Times New Roman"/>
          <w:sz w:val="18"/>
          <w:szCs w:val="18"/>
          <w:color w:val="auto"/>
        </w:rPr>
      </w:pPr>
    </w:p>
    <w:p>
      <w:pPr>
        <w:ind w:left="1420" w:right="500" w:hanging="439"/>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and their scope may be inadequate to protect our competitive position on current and future products and product candidates for an adequate amount of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Our Jurisdiction of Incorporation and Certain Tax Matters</w:t>
      </w:r>
    </w:p>
    <w:p>
      <w:pPr>
        <w:spacing w:after="0" w:line="135" w:lineRule="exact"/>
        <w:rPr>
          <w:sz w:val="20"/>
          <w:szCs w:val="20"/>
          <w:color w:val="auto"/>
        </w:rPr>
      </w:pPr>
    </w:p>
    <w:p>
      <w:pPr>
        <w:ind w:left="1420" w:hanging="439"/>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performance does not meet market expectations, the price of our securities may decline.</w:t>
      </w:r>
    </w:p>
    <w:p>
      <w:pPr>
        <w:spacing w:after="0" w:line="130"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increased costs as a result of operating as a public company and our management has devoted and will continue to devote a substantial amount of time to new compliance initiatives.</w:t>
      </w:r>
    </w:p>
    <w:p>
      <w:pPr>
        <w:spacing w:after="0" w:line="67"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timely and effectively implement controls and procedures required by Section 404(a) of the Sarbanes-Oxley Act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1420" w:right="60" w:hanging="439"/>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memorandum of association, bye-laws and Bermuda law could delay or prevent a change in control, limit the price investors may be willing to pay in the future for our Common Shares and could entrench management.</w:t>
      </w:r>
    </w:p>
    <w:p>
      <w:pPr>
        <w:spacing w:after="0" w:line="67"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shareholders and certain members of our management own a significant percentage of our Common Shares and will be able to exert significant control over matters subject to shareholder approval.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statements, including matters discussed under Part I, Item 2. “Management’s Discussion and Analysis of Financial Condition and Results of Operations,” Part II, Item 1. “Legal Proceedings,” Part II, Item 1A. “Risk Factors” and in other sections of this report, that are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9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89" w:lineRule="exact"/>
        <w:rPr>
          <w:sz w:val="20"/>
          <w:szCs w:val="20"/>
          <w:color w:val="auto"/>
        </w:rPr>
      </w:pPr>
    </w:p>
    <w:p>
      <w:pPr>
        <w:ind w:left="1420" w:hanging="439"/>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risks involved in biopharmaceutical product development;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as a commercial-stage company and ability to successfully commercialize VTAMA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(tapinarof);</w:t>
      </w:r>
    </w:p>
    <w:p>
      <w:pPr>
        <w:spacing w:after="0" w:line="8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business on acceptable terms or at all;</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will likely incur significant operating losses for the foreseeable future;</w:t>
      </w:r>
    </w:p>
    <w:p>
      <w:pPr>
        <w:spacing w:after="0" w:line="130" w:lineRule="exact"/>
        <w:rPr>
          <w:rFonts w:ascii="Times New Roman" w:cs="Times New Roman" w:eastAsia="Times New Roman" w:hAnsi="Times New Roman"/>
          <w:sz w:val="18"/>
          <w:szCs w:val="18"/>
          <w:color w:val="auto"/>
        </w:rPr>
      </w:pPr>
    </w:p>
    <w:p>
      <w:pPr>
        <w:ind w:left="1420" w:right="300" w:hanging="439"/>
        <w:spacing w:after="0" w:line="282"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outbreaks, epidemics or pandemics (such as the COVID-19 pandemic) on our business (including our clinical trials and preclinical studies), operations and financial condition and results;</w:t>
      </w:r>
    </w:p>
    <w:p>
      <w:pPr>
        <w:sectPr>
          <w:pgSz w:w="11900" w:h="16838" w:orient="portrait"/>
          <w:cols w:equalWidth="0" w:num="1">
            <w:col w:w="11000"/>
          </w:cols>
          <w:pgMar w:left="440" w:top="297" w:right="459" w:bottom="1440" w:gutter="0" w:footer="0" w:header="0"/>
        </w:sectPr>
      </w:pPr>
    </w:p>
    <w:bookmarkStart w:id="4" w:name="page5"/>
    <w:bookmarkEnd w:id="4"/>
    <w:p>
      <w:pPr>
        <w:ind w:left="1420" w:hanging="439"/>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ability to acquire, in-license or discover new product candidates;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Vant structure and the potential that we may fail to capitalize on certain development opportunities;</w:t>
      </w:r>
    </w:p>
    <w:p>
      <w:pPr>
        <w:spacing w:after="0" w:line="130" w:lineRule="exact"/>
        <w:rPr>
          <w:rFonts w:ascii="Times New Roman" w:cs="Times New Roman" w:eastAsia="Times New Roman" w:hAnsi="Times New Roman"/>
          <w:sz w:val="18"/>
          <w:szCs w:val="18"/>
          <w:color w:val="auto"/>
        </w:rPr>
      </w:pPr>
    </w:p>
    <w:p>
      <w:pPr>
        <w:ind w:left="1420" w:right="440" w:hanging="439"/>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and preclinical studies, which are very expensive, time-consuming, difficult to design and implement and involve uncertain outcomes;</w:t>
      </w:r>
    </w:p>
    <w:p>
      <w:pPr>
        <w:spacing w:after="0" w:line="67" w:lineRule="exact"/>
        <w:rPr>
          <w:rFonts w:ascii="Times New Roman" w:cs="Times New Roman" w:eastAsia="Times New Roman" w:hAnsi="Times New Roman"/>
          <w:sz w:val="18"/>
          <w:szCs w:val="18"/>
          <w:color w:val="auto"/>
        </w:rPr>
      </w:pPr>
    </w:p>
    <w:p>
      <w:pPr>
        <w:ind w:left="1420" w:right="340" w:hanging="439"/>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unproven nature of our approach to the discovery and development of product candidates from our small molecule discovery engine;</w:t>
      </w:r>
    </w:p>
    <w:p>
      <w:pPr>
        <w:spacing w:after="0" w:line="67"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novelty, complexity and difficulty of manufacturing certain of our products and product candidates, including any manufacturing problems that result in delays in development or commercialization of our products and product candidates;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we may face in enrolling and retaining patients in clinical trials and/or clinical development activities;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not supporting our proposed claims for a product candidate;</w:t>
      </w:r>
    </w:p>
    <w:p>
      <w:pPr>
        <w:spacing w:after="0" w:line="130" w:lineRule="exact"/>
        <w:rPr>
          <w:rFonts w:ascii="Times New Roman" w:cs="Times New Roman" w:eastAsia="Times New Roman" w:hAnsi="Times New Roman"/>
          <w:sz w:val="18"/>
          <w:szCs w:val="18"/>
          <w:color w:val="auto"/>
        </w:rPr>
      </w:pPr>
    </w:p>
    <w:p>
      <w:pPr>
        <w:ind w:left="1420" w:right="460" w:hanging="439"/>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interim, top-line and/or preliminary data from our clinical trials changing as more data becoming available or being delayed due to audit and verification process;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manufacturing or formulation that could lead to the incurrence of costs or delays;</w:t>
      </w:r>
    </w:p>
    <w:p>
      <w:pPr>
        <w:spacing w:after="0" w:line="130" w:lineRule="exact"/>
        <w:rPr>
          <w:rFonts w:ascii="Times New Roman" w:cs="Times New Roman" w:eastAsia="Times New Roman" w:hAnsi="Times New Roman"/>
          <w:sz w:val="18"/>
          <w:szCs w:val="18"/>
          <w:color w:val="auto"/>
        </w:rPr>
      </w:pPr>
    </w:p>
    <w:p>
      <w:pPr>
        <w:ind w:left="1420" w:right="540" w:hanging="439"/>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third-party we contract with to conduct, supervise and monitor our clinical trials to perform in a satisfactory manner or to comply with applicable requirements;</w:t>
      </w:r>
    </w:p>
    <w:p>
      <w:pPr>
        <w:spacing w:after="0" w:line="67" w:lineRule="exact"/>
        <w:rPr>
          <w:rFonts w:ascii="Times New Roman" w:cs="Times New Roman" w:eastAsia="Times New Roman" w:hAnsi="Times New Roman"/>
          <w:sz w:val="18"/>
          <w:szCs w:val="18"/>
          <w:color w:val="auto"/>
        </w:rPr>
      </w:pPr>
    </w:p>
    <w:p>
      <w:pPr>
        <w:ind w:left="1420" w:right="240" w:hanging="439"/>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obtaining approvals for new drugs is a lengthy, extensive, expensive and unpredictable process that may end with our inability to obtain regulatory approval by the FDA or other regulatory agencies in other jurisdictions;</w:t>
      </w:r>
    </w:p>
    <w:p>
      <w:pPr>
        <w:spacing w:after="0" w:line="67" w:lineRule="exact"/>
        <w:rPr>
          <w:rFonts w:ascii="Times New Roman" w:cs="Times New Roman" w:eastAsia="Times New Roman" w:hAnsi="Times New Roman"/>
          <w:sz w:val="18"/>
          <w:szCs w:val="18"/>
          <w:color w:val="auto"/>
        </w:rPr>
      </w:pPr>
    </w:p>
    <w:p>
      <w:pPr>
        <w:ind w:left="1420" w:right="40" w:hanging="439"/>
        <w:spacing w:after="0" w:line="289" w:lineRule="auto"/>
        <w:tabs>
          <w:tab w:leader="none" w:pos="14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our clinical trials to demonstrate substantial evidence of the safety and efficacy of our products and product candidates, including, but not limited to, scenarios in which our products and product candidates may cause adverse effects that could delay regulatory approval, discontinue clinical trials, limit the scope of approval or generally result in negative media coverage of us;</w:t>
      </w:r>
    </w:p>
    <w:p>
      <w:pPr>
        <w:spacing w:after="0" w:line="63" w:lineRule="exact"/>
        <w:rPr>
          <w:rFonts w:ascii="Times New Roman" w:cs="Times New Roman" w:eastAsia="Times New Roman" w:hAnsi="Times New Roman"/>
          <w:sz w:val="17"/>
          <w:szCs w:val="17"/>
          <w:color w:val="auto"/>
        </w:rPr>
      </w:pPr>
    </w:p>
    <w:p>
      <w:pPr>
        <w:ind w:left="1420" w:right="280" w:hanging="439"/>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regulatory approval for a product or product candidate in certain jurisdictions, even if we are able to obtain approval in certain other jurisdictions;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growth and to attract and retain key personnel;</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legal, regulatory, political, operational, financial and economic risks associated with conducting business globally;</w:t>
      </w:r>
    </w:p>
    <w:p>
      <w:pPr>
        <w:spacing w:after="0" w:line="130" w:lineRule="exact"/>
        <w:rPr>
          <w:rFonts w:ascii="Times New Roman" w:cs="Times New Roman" w:eastAsia="Times New Roman" w:hAnsi="Times New Roman"/>
          <w:sz w:val="18"/>
          <w:szCs w:val="18"/>
          <w:color w:val="auto"/>
        </w:rPr>
      </w:pPr>
    </w:p>
    <w:p>
      <w:pPr>
        <w:ind w:left="1420" w:right="720" w:hanging="439"/>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other intellectual property protection for our technology, products and product candidates;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inadequacy of patent terms and their scope to protect our competitive position;</w:t>
      </w:r>
    </w:p>
    <w:p>
      <w:pPr>
        <w:spacing w:after="0" w:line="130"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issue (or the threatening of their breadth or strength of protection) or provide meaningful exclusivity for our current and future products and product candidates of our patent applications that we hold or have in-licensed;</w:t>
      </w:r>
    </w:p>
    <w:p>
      <w:pPr>
        <w:spacing w:after="0" w:line="67" w:lineRule="exact"/>
        <w:rPr>
          <w:rFonts w:ascii="Times New Roman" w:cs="Times New Roman" w:eastAsia="Times New Roman" w:hAnsi="Times New Roman"/>
          <w:sz w:val="18"/>
          <w:szCs w:val="18"/>
          <w:color w:val="auto"/>
        </w:rPr>
      </w:pPr>
    </w:p>
    <w:p>
      <w:pPr>
        <w:ind w:left="1420" w:right="140" w:hanging="439"/>
        <w:spacing w:after="0" w:line="266"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do not currently and may not in the future own or license any issued composition of matter patents covering certain of our products and product candidates and our inability to be certain that any of our other issued patents will provide adequate protection for such products and product candidates;</w:t>
      </w:r>
    </w:p>
    <w:p>
      <w:pPr>
        <w:spacing w:after="0" w:line="81"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spacing w:after="0" w:line="67"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potential litigation, including but not limited to our expectations regarding the outcome of any such litigation and costs and expenses associated with such litigation;</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risks and uncertainties, including those described under Part II, Item 1A. “Risk Factors.”</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Quarterly Report on Form 10-Q, and while we</w:t>
      </w:r>
    </w:p>
    <w:p>
      <w:pPr>
        <w:sectPr>
          <w:pgSz w:w="11900" w:h="16838" w:orient="portrait"/>
          <w:cols w:equalWidth="0" w:num="1">
            <w:col w:w="11000"/>
          </w:cols>
          <w:pgMar w:left="440" w:top="297" w:right="45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ectPr>
          <w:pgSz w:w="11900" w:h="16838" w:orient="portrait"/>
          <w:cols w:equalWidth="0" w:num="1">
            <w:col w:w="10960"/>
          </w:cols>
          <w:pgMar w:left="440" w:top="297"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820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 w:type="dxa"/>
            <w:vAlign w:val="bottom"/>
          </w:tcPr>
          <w:p>
            <w:pPr>
              <w:spacing w:after="0"/>
              <w:rPr>
                <w:sz w:val="24"/>
                <w:szCs w:val="24"/>
                <w:color w:val="auto"/>
              </w:rPr>
            </w:pPr>
          </w:p>
        </w:tc>
        <w:tc>
          <w:tcPr>
            <w:tcW w:w="82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8"/>
              </w:rPr>
              <w:t>ROIVANT SCIENCES LTD.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0" w:type="dxa"/>
            <w:vAlign w:val="bottom"/>
          </w:tcPr>
          <w:p>
            <w:pPr>
              <w:spacing w:after="0"/>
              <w:rPr>
                <w:sz w:val="18"/>
                <w:szCs w:val="18"/>
                <w:color w:val="auto"/>
              </w:rPr>
            </w:pPr>
          </w:p>
        </w:tc>
        <w:tc>
          <w:tcPr>
            <w:tcW w:w="82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 w:type="dxa"/>
            <w:vAlign w:val="bottom"/>
          </w:tcPr>
          <w:p>
            <w:pPr>
              <w:spacing w:after="0"/>
              <w:rPr>
                <w:sz w:val="20"/>
                <w:szCs w:val="20"/>
                <w:color w:val="auto"/>
              </w:rPr>
            </w:pPr>
          </w:p>
        </w:tc>
        <w:tc>
          <w:tcPr>
            <w:tcW w:w="820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i w:val="1"/>
                <w:iCs w:val="1"/>
                <w:color w:val="auto"/>
                <w:w w:val="99"/>
              </w:rPr>
              <w:t>(unaudited, in thousands, except share and per share amounts)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4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196"/>
        </w:trPr>
        <w:tc>
          <w:tcPr>
            <w:tcW w:w="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1,942,215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2,060,400</w:t>
            </w:r>
          </w:p>
        </w:tc>
        <w:tc>
          <w:tcPr>
            <w:tcW w:w="0" w:type="dxa"/>
            <w:vAlign w:val="bottom"/>
          </w:tcPr>
          <w:p>
            <w:pPr>
              <w:spacing w:after="0"/>
              <w:rPr>
                <w:sz w:val="1"/>
                <w:szCs w:val="1"/>
                <w:color w:val="auto"/>
              </w:rPr>
            </w:pPr>
          </w:p>
        </w:tc>
      </w:tr>
      <w:tr>
        <w:trPr>
          <w:trHeight w:val="216"/>
        </w:trPr>
        <w:tc>
          <w:tcPr>
            <w:tcW w:w="8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3,903</w:t>
            </w: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82,220</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2,039,442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25,905</w:t>
            </w:r>
          </w:p>
        </w:tc>
        <w:tc>
          <w:tcPr>
            <w:tcW w:w="0" w:type="dxa"/>
            <w:vAlign w:val="bottom"/>
          </w:tcPr>
          <w:p>
            <w:pPr>
              <w:spacing w:after="0"/>
              <w:rPr>
                <w:sz w:val="1"/>
                <w:szCs w:val="1"/>
                <w:color w:val="auto"/>
              </w:rPr>
            </w:pPr>
          </w:p>
        </w:tc>
      </w:tr>
      <w:tr>
        <w:trPr>
          <w:trHeight w:val="216"/>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61,044</w:t>
            </w: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9,731</w:t>
            </w:r>
          </w:p>
        </w:tc>
        <w:tc>
          <w:tcPr>
            <w:tcW w:w="0" w:type="dxa"/>
            <w:vAlign w:val="bottom"/>
          </w:tcPr>
          <w:p>
            <w:pPr>
              <w:spacing w:after="0"/>
              <w:rPr>
                <w:sz w:val="1"/>
                <w:szCs w:val="1"/>
                <w:color w:val="auto"/>
              </w:rPr>
            </w:pPr>
          </w:p>
        </w:tc>
      </w:tr>
      <w:tr>
        <w:trPr>
          <w:trHeight w:val="216"/>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 measured at fair value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325,834</w:t>
            </w: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16,092</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2,585,129</w:t>
            </w:r>
          </w:p>
        </w:tc>
        <w:tc>
          <w:tcPr>
            <w:tcW w:w="0" w:type="dxa"/>
            <w:vAlign w:val="bottom"/>
          </w:tcPr>
          <w:p>
            <w:pPr>
              <w:spacing w:after="0"/>
              <w:rPr>
                <w:sz w:val="1"/>
                <w:szCs w:val="1"/>
                <w:color w:val="auto"/>
              </w:rPr>
            </w:pPr>
          </w:p>
        </w:tc>
      </w:tr>
      <w:tr>
        <w:trPr>
          <w:trHeight w:val="20"/>
        </w:trPr>
        <w:tc>
          <w:tcPr>
            <w:tcW w:w="8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161,304</w:t>
            </w:r>
          </w:p>
        </w:tc>
        <w:tc>
          <w:tcPr>
            <w:tcW w:w="1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34,583</w:t>
            </w: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127,531</w:t>
            </w:r>
          </w:p>
        </w:tc>
        <w:tc>
          <w:tcPr>
            <w:tcW w:w="0" w:type="dxa"/>
            <w:vAlign w:val="bottom"/>
          </w:tcPr>
          <w:p>
            <w:pPr>
              <w:spacing w:after="0"/>
              <w:rPr>
                <w:sz w:val="1"/>
                <w:szCs w:val="1"/>
                <w:color w:val="auto"/>
              </w:rPr>
            </w:pPr>
          </w:p>
        </w:tc>
      </w:tr>
      <w:tr>
        <w:trPr>
          <w:trHeight w:val="216"/>
        </w:trPr>
        <w:tc>
          <w:tcPr>
            <w:tcW w:w="8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11,398</w:t>
            </w: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 (includes $27,300 accounted for under the fair value option at June 30, 2022)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10,147</w:t>
            </w: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instruments measured at fair value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44,912</w:t>
            </w:r>
          </w:p>
        </w:tc>
        <w:tc>
          <w:tcPr>
            <w:tcW w:w="0" w:type="dxa"/>
            <w:vAlign w:val="bottom"/>
          </w:tcPr>
          <w:p>
            <w:pPr>
              <w:spacing w:after="0"/>
              <w:rPr>
                <w:sz w:val="1"/>
                <w:szCs w:val="1"/>
                <w:color w:val="auto"/>
              </w:rPr>
            </w:pPr>
          </w:p>
        </w:tc>
      </w:tr>
      <w:tr>
        <w:trPr>
          <w:trHeight w:val="234"/>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62,468</w:t>
            </w:r>
          </w:p>
        </w:tc>
        <w:tc>
          <w:tcPr>
            <w:tcW w:w="0" w:type="dxa"/>
            <w:vAlign w:val="bottom"/>
          </w:tcPr>
          <w:p>
            <w:pPr>
              <w:spacing w:after="0"/>
              <w:rPr>
                <w:sz w:val="1"/>
                <w:szCs w:val="1"/>
                <w:color w:val="auto"/>
              </w:rPr>
            </w:pPr>
          </w:p>
        </w:tc>
      </w:tr>
      <w:tr>
        <w:trPr>
          <w:trHeight w:val="90"/>
        </w:trPr>
        <w:tc>
          <w:tcPr>
            <w:tcW w:w="852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87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Long-term debt, net of current portion (includes $200,700 and $177,400 accounted for under the fair value option at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2022 and March 31, 2022, respectively)</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210,025</w:t>
            </w:r>
          </w:p>
        </w:tc>
        <w:tc>
          <w:tcPr>
            <w:tcW w:w="0" w:type="dxa"/>
            <w:vAlign w:val="bottom"/>
          </w:tcPr>
          <w:p>
            <w:pPr>
              <w:spacing w:after="0"/>
              <w:rPr>
                <w:sz w:val="1"/>
                <w:szCs w:val="1"/>
                <w:color w:val="auto"/>
              </w:rPr>
            </w:pPr>
          </w:p>
        </w:tc>
      </w:tr>
      <w:tr>
        <w:trPr>
          <w:trHeight w:val="216"/>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13,740</w:t>
            </w: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8,183</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22,491</w:t>
            </w: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40" w:type="dxa"/>
            <w:vAlign w:val="bottom"/>
            <w:gridSpan w:val="3"/>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shares, par value $0.0000000341740141 per share, 7,000,000,000 shares authorized and 701,171,465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694,975,965 shares issued and outstanding at June 30, 2022 and March 31, 2022, respectively</w:t>
            </w: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4,474,624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4,421,614</w:t>
            </w:r>
          </w:p>
        </w:tc>
        <w:tc>
          <w:tcPr>
            <w:tcW w:w="0" w:type="dxa"/>
            <w:vAlign w:val="bottom"/>
          </w:tcPr>
          <w:p>
            <w:pPr>
              <w:spacing w:after="0"/>
              <w:rPr>
                <w:sz w:val="1"/>
                <w:szCs w:val="1"/>
                <w:color w:val="auto"/>
              </w:rPr>
            </w:pPr>
          </w:p>
        </w:tc>
      </w:tr>
      <w:tr>
        <w:trPr>
          <w:trHeight w:val="216"/>
        </w:trPr>
        <w:tc>
          <w:tcPr>
            <w:tcW w:w="8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(3,095,533)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(2,763,724)</w:t>
            </w: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Shareholders’ equity attributable to Roivant Sciences Ltd.</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381,999</w:t>
            </w:r>
          </w:p>
        </w:tc>
        <w:tc>
          <w:tcPr>
            <w:tcW w:w="0" w:type="dxa"/>
            <w:vAlign w:val="bottom"/>
          </w:tcPr>
          <w:p>
            <w:pPr>
              <w:spacing w:after="0"/>
              <w:rPr>
                <w:sz w:val="1"/>
                <w:szCs w:val="1"/>
                <w:color w:val="auto"/>
              </w:rPr>
            </w:pPr>
          </w:p>
        </w:tc>
      </w:tr>
      <w:tr>
        <w:trPr>
          <w:trHeight w:val="223"/>
        </w:trPr>
        <w:tc>
          <w:tcPr>
            <w:tcW w:w="540" w:type="dxa"/>
            <w:vAlign w:val="bottom"/>
            <w:tcBorders>
              <w:bottom w:val="single" w:sz="8" w:color="CCEEFF"/>
            </w:tcBorders>
          </w:tcPr>
          <w:p>
            <w:pPr>
              <w:spacing w:after="0"/>
              <w:rPr>
                <w:sz w:val="19"/>
                <w:szCs w:val="19"/>
                <w:color w:val="auto"/>
              </w:rPr>
            </w:pPr>
          </w:p>
        </w:tc>
        <w:tc>
          <w:tcPr>
            <w:tcW w:w="8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1,755,391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2,038,943</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shd w:val="clear" w:color="auto" w:fill="CCEEFF"/>
          </w:tcPr>
          <w:p>
            <w:pPr>
              <w:spacing w:after="0"/>
              <w:rPr>
                <w:sz w:val="19"/>
                <w:szCs w:val="19"/>
                <w:color w:val="auto"/>
              </w:rPr>
            </w:pP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shareholders’ equity</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2,600,398</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2,585,129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020"/>
          </w:cols>
          <w:pgMar w:left="440" w:top="293"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ROIVANT SCIENCES LTD.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40" w:type="dxa"/>
            <w:vAlign w:val="bottom"/>
            <w:tcBorders>
              <w:bottom w:val="single" w:sz="8" w:color="CCEEFF"/>
            </w:tcBorders>
          </w:tcPr>
          <w:p>
            <w:pPr>
              <w:spacing w:after="0"/>
              <w:rPr>
                <w:sz w:val="12"/>
                <w:szCs w:val="12"/>
                <w:color w:val="auto"/>
              </w:rPr>
            </w:pPr>
          </w:p>
        </w:tc>
        <w:tc>
          <w:tcPr>
            <w:tcW w:w="8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81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(includes $12,243 and $1,615 of share-based compensation expense for the</w:t>
            </w:r>
          </w:p>
        </w:tc>
        <w:tc>
          <w:tcPr>
            <w:tcW w:w="100" w:type="dxa"/>
            <w:vAlign w:val="bottom"/>
          </w:tcPr>
          <w:p>
            <w:pPr>
              <w:spacing w:after="0"/>
              <w:rPr>
                <w:sz w:val="17"/>
                <w:szCs w:val="17"/>
                <w:color w:val="auto"/>
              </w:rPr>
            </w:pPr>
          </w:p>
        </w:tc>
        <w:tc>
          <w:tcPr>
            <w:tcW w:w="14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135,830</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78,515</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three months ended June 30, 2022 and 2021, respectively)</w:t>
            </w:r>
          </w:p>
        </w:tc>
        <w:tc>
          <w:tcPr>
            <w:tcW w:w="10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81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(includes $60,551 and $17,654 of share-based compensation expense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 the three months ended June 30, 2022 and 2021, respectively)</w:t>
            </w:r>
          </w:p>
        </w:tc>
        <w:tc>
          <w:tcPr>
            <w:tcW w:w="10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149,072</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82,754</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286,628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162,122</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(282,309)</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24,547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8,619</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41,213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termination of Sumitomo Options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(66,472)</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(349,785)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(100,985)</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(353,784)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(101,078)</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(21,975)</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(18,895)</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Roivant Sciences Ltd.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(331,809)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(82,183)</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Net loss per common share—basic and diluted</w:t>
            </w:r>
            <w:r>
              <w:rPr>
                <w:rFonts w:ascii="Times New Roman" w:cs="Times New Roman" w:eastAsia="Times New Roman" w:hAnsi="Times New Roman"/>
                <w:sz w:val="22"/>
                <w:szCs w:val="22"/>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Weighted average shares outstanding—basic and diluted</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7"/>
              </w:rPr>
              <w:t>695,878,859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649,856,203</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(1)</w:t>
            </w:r>
          </w:p>
        </w:tc>
        <w:tc>
          <w:tcPr>
            <w:tcW w:w="8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Retroactively restated for the stock subdivision as described in Note 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40" w:type="dxa"/>
            <w:vAlign w:val="bottom"/>
            <w:vMerge w:val="continue"/>
          </w:tcPr>
          <w:p>
            <w:pPr>
              <w:spacing w:after="0"/>
              <w:rPr>
                <w:sz w:val="24"/>
                <w:szCs w:val="24"/>
                <w:color w:val="auto"/>
              </w:rPr>
            </w:pPr>
          </w:p>
        </w:tc>
        <w:tc>
          <w:tcPr>
            <w:tcW w:w="8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40" w:type="dxa"/>
            <w:vAlign w:val="bottom"/>
          </w:tcPr>
          <w:p>
            <w:pPr>
              <w:spacing w:after="0"/>
              <w:rPr>
                <w:sz w:val="7"/>
                <w:szCs w:val="7"/>
                <w:color w:val="auto"/>
              </w:rPr>
            </w:pPr>
          </w:p>
        </w:tc>
        <w:tc>
          <w:tcPr>
            <w:tcW w:w="8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020"/>
          </w:cols>
          <w:pgMar w:left="440" w:top="293"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ROIVANT SCIENCES LTD.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80" w:type="dxa"/>
            <w:vAlign w:val="bottom"/>
          </w:tcPr>
          <w:p>
            <w:pPr>
              <w:spacing w:after="0"/>
              <w:rPr>
                <w:sz w:val="15"/>
                <w:szCs w:val="15"/>
                <w:color w:val="auto"/>
              </w:rPr>
            </w:pPr>
          </w:p>
        </w:tc>
        <w:tc>
          <w:tcPr>
            <w:tcW w:w="214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42"/>
        </w:trPr>
        <w:tc>
          <w:tcPr>
            <w:tcW w:w="8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20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(353,784)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(101,078)</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5,767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(2,439)</w:t>
            </w:r>
          </w:p>
        </w:tc>
      </w:tr>
      <w:tr>
        <w:trPr>
          <w:trHeight w:val="230"/>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tcPr>
          <w:p>
            <w:pPr>
              <w:spacing w:after="0"/>
              <w:rPr>
                <w:sz w:val="20"/>
                <w:szCs w:val="20"/>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(348,017)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(103,517)</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(22,174)</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(18,682)</w:t>
            </w:r>
          </w:p>
        </w:tc>
      </w:tr>
      <w:tr>
        <w:trPr>
          <w:trHeight w:val="27"/>
        </w:trPr>
        <w:tc>
          <w:tcPr>
            <w:tcW w:w="8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Roivant Sciences Ltd.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(325,843)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(84,835)</w:t>
            </w:r>
          </w:p>
        </w:tc>
      </w:tr>
      <w:tr>
        <w:trPr>
          <w:trHeight w:val="20"/>
        </w:trPr>
        <w:tc>
          <w:tcPr>
            <w:tcW w:w="8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020"/>
          </w:cols>
          <w:pgMar w:left="440" w:top="293" w:right="439" w:bottom="1440" w:gutter="0" w:footer="0" w:header="0"/>
        </w:sectPr>
      </w:pPr>
    </w:p>
    <w:bookmarkStart w:id="9" w:name="page10"/>
    <w:bookmarkEnd w:id="9"/>
    <w:p>
      <w:pPr>
        <w:jc w:val="center"/>
        <w:ind w:right="13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ROIVANT SCIENCES LTD.</w:t>
      </w:r>
    </w:p>
    <w:p>
      <w:pPr>
        <w:spacing w:after="0" w:line="31" w:lineRule="exact"/>
        <w:rPr>
          <w:sz w:val="20"/>
          <w:szCs w:val="20"/>
          <w:color w:val="auto"/>
        </w:rPr>
      </w:pPr>
    </w:p>
    <w:p>
      <w:pPr>
        <w:jc w:val="center"/>
        <w:ind w:right="136"/>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and Redeemable Noncontrolling Interest</w:t>
      </w:r>
    </w:p>
    <w:p>
      <w:pPr>
        <w:spacing w:after="0" w:line="9" w:lineRule="exact"/>
        <w:rPr>
          <w:sz w:val="20"/>
          <w:szCs w:val="20"/>
          <w:color w:val="auto"/>
        </w:rPr>
      </w:pPr>
    </w:p>
    <w:p>
      <w:pPr>
        <w:jc w:val="center"/>
        <w:ind w:right="136"/>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data)</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300" w:type="dxa"/>
            <w:vAlign w:val="bottom"/>
            <w:gridSpan w:val="4"/>
            <w:vMerge w:val="restart"/>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300" w:type="dxa"/>
            <w:vAlign w:val="bottom"/>
            <w:tcBorders>
              <w:bottom w:val="single" w:sz="8" w:color="auto"/>
            </w:tcBorders>
            <w:gridSpan w:val="4"/>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Subscription</w:t>
            </w:r>
          </w:p>
        </w:tc>
        <w:tc>
          <w:tcPr>
            <w:tcW w:w="11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0"/>
                <w:szCs w:val="10"/>
                <w:color w:val="auto"/>
              </w:rPr>
            </w:pPr>
          </w:p>
        </w:tc>
        <w:tc>
          <w:tcPr>
            <w:tcW w:w="1040" w:type="dxa"/>
            <w:vAlign w:val="bottom"/>
            <w:gridSpan w:val="3"/>
          </w:tcPr>
          <w:p>
            <w:pPr>
              <w:jc w:val="right"/>
              <w:ind w:right="12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20" w:type="dxa"/>
            <w:vAlign w:val="bottom"/>
          </w:tcPr>
          <w:p>
            <w:pPr>
              <w:spacing w:after="0"/>
              <w:rPr>
                <w:sz w:val="10"/>
                <w:szCs w:val="10"/>
                <w:color w:val="auto"/>
              </w:rPr>
            </w:pPr>
          </w:p>
        </w:tc>
        <w:tc>
          <w:tcPr>
            <w:tcW w:w="102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vMerge w:val="continue"/>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2"/>
              </w:rPr>
              <w:t>Receivable</w:t>
            </w: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694,975,965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$4,421,614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right w:val="single" w:sz="8" w:color="CCEEFF"/>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87"/>
              </w:rPr>
              <w:t>(946)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$(2,763,724)</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381,999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$ 2,038,943</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subsidiary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to the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 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instruments vested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settled, net of tax</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4,739,781</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tcBorders>
              <w:right w:val="single" w:sz="8" w:color="CCEEFF"/>
            </w:tcBorders>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the Company’s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related 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 transaction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1,455,719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61,590</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72,794</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5,966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(331,809)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(21,975)</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(353,784)</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701,171,465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4,474,624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5,020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(3,095,533</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$ 1,755,391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Shareholders’ Equity</w:t>
            </w:r>
            <w:r>
              <w:rPr>
                <w:rFonts w:ascii="Times New Roman" w:cs="Times New Roman" w:eastAsia="Times New Roman" w:hAnsi="Times New Roman"/>
                <w:sz w:val="7"/>
                <w:szCs w:val="7"/>
                <w:b w:val="1"/>
                <w:bCs w:val="1"/>
                <w:color w:val="auto"/>
              </w:rPr>
              <w:t>(1)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300" w:type="dxa"/>
            <w:vAlign w:val="bottom"/>
            <w:gridSpan w:val="4"/>
            <w:vMerge w:val="restart"/>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300" w:type="dxa"/>
            <w:vAlign w:val="bottom"/>
            <w:tcBorders>
              <w:bottom w:val="single" w:sz="8" w:color="auto"/>
            </w:tcBorders>
            <w:gridSpan w:val="4"/>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0"/>
                <w:szCs w:val="10"/>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Subscription</w:t>
            </w:r>
          </w:p>
        </w:tc>
        <w:tc>
          <w:tcPr>
            <w:tcW w:w="6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right"/>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10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60" w:type="dxa"/>
            <w:vAlign w:val="bottom"/>
          </w:tcPr>
          <w:p>
            <w:pPr>
              <w:spacing w:after="0"/>
              <w:rPr>
                <w:sz w:val="15"/>
                <w:szCs w:val="15"/>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651,576,293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$3,814,805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3"/>
              </w:rPr>
              <w:t>$ (100,000)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right w:val="single" w:sz="8" w:color="CCEEFF"/>
            </w:tcBorders>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rPr>
              <w:t>1,445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$(1,918,462)</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241,726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$ 2,039,514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subsidiary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contribution to</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majority-owned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Borders>
              <w:right w:val="single" w:sz="8" w:color="CCEEFF"/>
            </w:tcBorders>
            <w:shd w:val="clear" w:color="auto" w:fill="CCEEFF"/>
          </w:tcPr>
          <w:p>
            <w:pPr>
              <w:spacing w:after="0"/>
              <w:rPr>
                <w:sz w:val="20"/>
                <w:szCs w:val="20"/>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2,973</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11,091</w:t>
            </w:r>
          </w:p>
        </w:tc>
        <w:tc>
          <w:tcPr>
            <w:tcW w:w="1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(2,652)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10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(18,895)</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(101,078)</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651,576,293</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3,824,974</w:t>
            </w:r>
          </w:p>
        </w:tc>
        <w:tc>
          <w:tcPr>
            <w:tcW w:w="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(100,000)</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(1,207)</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(2,000,645)</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234,219</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$ 1,957,341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Retroactively restated for the stock subdivision as described in Note 7.</w:t>
      </w:r>
    </w:p>
    <w:p>
      <w:pPr>
        <w:spacing w:after="0" w:line="196" w:lineRule="exact"/>
        <w:rPr>
          <w:sz w:val="20"/>
          <w:szCs w:val="20"/>
          <w:color w:val="auto"/>
        </w:rPr>
      </w:pPr>
    </w:p>
    <w:p>
      <w:pPr>
        <w:jc w:val="center"/>
        <w:ind w:right="136"/>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164"/>
          </w:cols>
          <w:pgMar w:left="436" w:top="293"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ROIVANT SCIENCES LTD.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20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(353,784)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(101,078)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72,794</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19,269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24,547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8,619</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41,213</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termination of Sumitomo Options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(61,472)</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11,263</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 net of effects from acquisition and divestiture: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(19,451)</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(6,343)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(7,340)</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(6,453)</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5,850</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(252,082)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(141,170)</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(7,459)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30"/>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subsidiary debt financings, net of financing costs paid</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159,899</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36,400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debt by subsidiary</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(7,344)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(21,590)</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offering and loan origination costs</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paid related to net settlement of equity instruments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(8,329)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141,976</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(117,565)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(133,299)</w:t>
            </w:r>
          </w:p>
        </w:tc>
        <w:tc>
          <w:tcPr>
            <w:tcW w:w="0" w:type="dxa"/>
            <w:vAlign w:val="bottom"/>
          </w:tcPr>
          <w:p>
            <w:pPr>
              <w:spacing w:after="0"/>
              <w:rPr>
                <w:sz w:val="1"/>
                <w:szCs w:val="1"/>
                <w:color w:val="auto"/>
              </w:rPr>
            </w:pP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2,074,034</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2,141,676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1,956,469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2,008,377</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4,999</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acquired but not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146,172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6,654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020"/>
          </w:cols>
          <w:pgMar w:left="440" w:top="293" w:right="4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ROIVANT SCIENCES LTD.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and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Roivant Sciences Ltd. (inclusive of its consolidated subsidiaries, the “Company” or “RSL”) aims to improve health by rapidly delivering innovative medicines and technologies to patients. The Company does this by building biotech and healthcare technology companies (“Vants”) and deploying technology to drive greater efficiency in research and development and commercialization. In addition to biopharmaceutical subsidiaries, the Company also builds technology Vants focused on improving the process of developing and commercializing medicines. The Company was founded on April 7, 2014 as a Bermuda exempted limited company.</w:t>
      </w:r>
    </w:p>
    <w:p>
      <w:pPr>
        <w:spacing w:after="0" w:line="183" w:lineRule="exact"/>
        <w:rPr>
          <w:sz w:val="20"/>
          <w:szCs w:val="20"/>
          <w:color w:val="auto"/>
        </w:rPr>
      </w:pPr>
    </w:p>
    <w:p>
      <w:pPr>
        <w:ind w:right="560" w:firstLine="440"/>
        <w:spacing w:after="0" w:line="234" w:lineRule="auto"/>
        <w:rPr>
          <w:sz w:val="20"/>
          <w:szCs w:val="20"/>
          <w:color w:val="auto"/>
        </w:rPr>
      </w:pPr>
      <w:r>
        <w:rPr>
          <w:rFonts w:ascii="Times New Roman" w:cs="Times New Roman" w:eastAsia="Times New Roman" w:hAnsi="Times New Roman"/>
          <w:sz w:val="18"/>
          <w:szCs w:val="18"/>
          <w:color w:val="auto"/>
        </w:rPr>
        <w:t>VTAMA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(tapinarof) was approved by the United States Food and Drug Administration (“FDA”) in May 2022 for the treatment of plaque psoriasis in adult patients.</w:t>
      </w:r>
    </w:p>
    <w:p>
      <w:pPr>
        <w:spacing w:after="0" w:line="20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has one operating and reporting segment as it allocates resources and assesses financial performance on a consolidated basis. The Company’s subsidiaries are wholly owned subsidiaries and majority-owned or controlled subsidiaries. Refer to Note 3, “Investments” for further discussion of the Company’s investments in unconsolidated entities.</w:t>
      </w:r>
    </w:p>
    <w:p>
      <w:pPr>
        <w:spacing w:after="0" w:line="176"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On September 30, 2021, RSL completed its business combination (the “Business Combination”) with Montes Archimedes Acquisition Corp. (“MAAC”), a special purpose acquisition company, and began trading on Nasdaq under the ticker symbol “ROIV.”</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has incurred significant losses and negative cash flows from operations since its inception. As of June 30, 2022, the Company had cash and cash equivalents of approximately $1.9 billion and its accumulated deficit was approximately $3.1 billion. For the three months ended June 30, 2022 and 2021, the Company incurred net losses of $353.8 million and $101.1 million, respectively. The Company has historically financed its operations primarily through the sale of equity securities, sale of subsidiary interests, debt financings and revenue generated from licensing and collaboration arrangements. Through its subsidiary Dermavant Sciences Ltd., the Company has launched its first commercial product, VTAMA, following approval by the FDA in May 2022.</w:t>
      </w:r>
    </w:p>
    <w:p>
      <w:pPr>
        <w:spacing w:after="0" w:line="18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 industry including, but not limited to, uncertainties related to commercialization of products, regulatory approvals to market its product candidates, dependence on key products, dependence on third-party service providers, such as contract research organizations, and protection of intellectual property rights. Management expects to incur additional losses in the future to fund its operations and conduct product research and development and recognizes the need to raise additional capital to fully implement its business plan.</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intends to raise such additional capital through the issuance of equity securities, debt financings or other sources in order to further implement its business plan. However, if such financing is not available at adequate levels, the Company will need to reevaluate its operating plan and may be required to delay the development of its product candidates or take other steps to conserve capital. The Company expects its existing cash and cash equivalents will be sufficient to fund its committed operating expenses and capital expenditure requirements for at least the next 12 months from the date of issuance of these condensed consolidated financial statements.</w:t>
      </w:r>
    </w:p>
    <w:p>
      <w:pPr>
        <w:sectPr>
          <w:pgSz w:w="11900" w:h="16838" w:orient="portrait"/>
          <w:cols w:equalWidth="0" w:num="1">
            <w:col w:w="10960"/>
          </w:cols>
          <w:pgMar w:left="440" w:top="293"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 2—Summary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 and Principles of Consolidation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fiscal year ends on March 31, and its fiscal quarters end on June 30, September 30, and December 31.</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follow the requirements of the United States Securities and Exchange Commission (“SEC”) for interim financial reporting. Accordingly, these unaudited condensed consolidated financial statements do not include all of the information and disclosures required by U.S. GAAP for complete financial statements as certain footnotes or other financial information that are normally required by U.S. GAAP can be condensed or omitted. The unaudited condensed consolidated financial statements have been prepared on the same basis as the audited consolidated financial statements.</w:t>
      </w:r>
    </w:p>
    <w:p>
      <w:pPr>
        <w:spacing w:after="0" w:line="18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notes thereto for the fiscal year ended March 31, 2022. The unaudited condensed consolidated balance sheet at March 31, 2022 has been derived from the audited consolidated financial statements at that date. In the opinion of management, the unaudited condensed consolidated financial statements include all normal and recurring adjustments that are considered necessary to present fairly the financial position of the Company and its results of operations and cash flows for the interim periods presented. Certain prior year amounts were reclassified to conform to current year presentation. Operating results for the three months ended June 30, 2022 are not necessarily indicative of the results that may be expected for the fiscal year ending March 31, 2023, for any other interim period, or for any other future year.</w:t>
      </w:r>
    </w:p>
    <w:p>
      <w:pPr>
        <w:spacing w:after="0" w:line="18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Any references in these notes to applicable accounting guidance are meant to refer to the authoritative U.S. GAAP as found in the Accounting Standards Codification (‘‘ASC’’) and Accounting Standards Updates (‘‘ASU’’) of the Financial Accounting Standards Board (‘‘FASB’’). The unaudited condensed consolidated financial statements include the accounts of RSL and the subsidiaries in which it has a controlling financial interest, most often through a majority voting interest. All intercompany balances and transactions have been eliminated in consolidation.</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For consolidated entities where the Company owns or is exposed to less than 100% of the economics, the Company records net loss attributable to noncontrolling interests in its unaudited condensed consolidated statements of operations equal to the percentage of common stock ownership interest retained in the respective operations by the noncontrolling parties. The Company presents noncontrolling interests as a component of shareholders’ equity on its unaudited condensed consolidated balance sheets.</w:t>
      </w:r>
    </w:p>
    <w:p>
      <w:pPr>
        <w:spacing w:after="0" w:line="180"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changes in its ownership interest in its subsidiaries while control is retained as equity transactions. The carrying amount of the noncontrolling interest is adjusted to reflect the change in RSL’s ownership interest in the subsidiary. Any difference between the fair value of the consideration received or paid and the amount by which the noncontrolling interest is adjusted is recognized within shareholders’ equity attributable to RSL.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Use of Estimates</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Company regularly evaluates estimates and assumptions related to assets, liabilities, costs, expenses, contingent liabilities, share-based compensation and research and development costs.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Additionally, the Company assessed the impact that the COVID-19 pandemic has had on its operations and financial results as of June 30, 2022 and through the issuance of these condensed consolidated financial statements. The Company’s analysis was informed by the facts and circumstances as they were known to the Company. This assessment considered the impact COVID-19 may have on financial estimates and assumptions that affect the reported amounts of assets and liabilities and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Concentrations</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include cash and cash equivalents. The Company maintains cash deposits and cash equivalents in highly-rated, federally-insured financial institutions in excess of federally insured limits. The Company has established guidelines relative to diversification and maturities to maintain safety and liquidity. The Company has not experienced any credit losses related to these financial instruments and does not believe that it is exposed to any significant credit risk related to these instruments.</w:t>
      </w:r>
    </w:p>
    <w:p>
      <w:pPr>
        <w:sectPr>
          <w:pgSz w:w="11900" w:h="16838" w:orient="portrait"/>
          <w:cols w:equalWidth="0" w:num="1">
            <w:col w:w="11000"/>
          </w:cols>
          <w:pgMar w:left="440" w:top="293" w:right="459" w:bottom="1440" w:gutter="0" w:footer="0" w:header="0"/>
        </w:sectPr>
      </w:pPr>
    </w:p>
    <w:bookmarkStart w:id="13" w:name="page14"/>
    <w:bookmarkEnd w:id="1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Company has long-lived assets in different geographic locations. As of June 30, 2022 and March 31, 2022, a majority of the Company’s long-lived assets were located in the United States.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Cash, Cash Equivalents, and Restricted Cash</w:t>
      </w:r>
    </w:p>
    <w:p>
      <w:pPr>
        <w:spacing w:after="0" w:line="121"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deposits in banks and all highly liquid investments that are readily convertible to cash. The Company considers all highly liquid investments purchased with original maturities of three months or less to be cash equivalents.</w:t>
      </w:r>
    </w:p>
    <w:p>
      <w:pPr>
        <w:spacing w:after="0" w:line="162" w:lineRule="exact"/>
        <w:rPr>
          <w:sz w:val="20"/>
          <w:szCs w:val="20"/>
          <w:color w:val="auto"/>
        </w:rPr>
      </w:pPr>
    </w:p>
    <w:p>
      <w:pPr>
        <w:jc w:val="both"/>
        <w:ind w:firstLine="440"/>
        <w:spacing w:after="0" w:line="312" w:lineRule="auto"/>
        <w:rPr>
          <w:sz w:val="20"/>
          <w:szCs w:val="20"/>
          <w:color w:val="auto"/>
        </w:rPr>
      </w:pPr>
      <w:r>
        <w:rPr>
          <w:rFonts w:ascii="Times New Roman" w:cs="Times New Roman" w:eastAsia="Times New Roman" w:hAnsi="Times New Roman"/>
          <w:sz w:val="17"/>
          <w:szCs w:val="17"/>
          <w:color w:val="auto"/>
        </w:rPr>
        <w:t>Restricted cash classified as a current asset consists of legally restricted non-interest bearing deposit accounts relating to the Company’s corporate credit card programs. Restricted cash classified as a long-term asset consists of restricted deposit accounts related to irrevocable standby letters of credit.</w:t>
      </w:r>
    </w:p>
    <w:p>
      <w:pPr>
        <w:spacing w:after="0" w:line="14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Cash as reported in the condensed consolidated statements of cash flows includes the aggregate amounts of cash, cash equivalents, and restricted cash as presented on the accompanying condensed consolidated balance sheets as follows (in thousands):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$ 1,942,215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2,060,400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40" w:type="dxa"/>
            <w:vAlign w:val="bottom"/>
          </w:tcPr>
          <w:p>
            <w:pPr>
              <w:spacing w:after="0"/>
              <w:rPr>
                <w:sz w:val="19"/>
                <w:szCs w:val="19"/>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$ 1,956,469</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2,074,034</w:t>
            </w:r>
          </w:p>
        </w:tc>
      </w:tr>
      <w:tr>
        <w:trPr>
          <w:trHeight w:val="20"/>
        </w:trPr>
        <w:tc>
          <w:tcPr>
            <w:tcW w:w="4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Contingencies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may be, from time to time, a party to various disputes and claims arising from normal business activities. The Company continually assesses any litigation or other claims it may confront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litigation, including an estimable range, if possible.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Inventory</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Inventories are recorded at the lower-of-cost or net realizable value, with cost determined based on a first-in, first-out basis. Net realizable value is the estimated selling price in the ordinary course of the Company’s business, less reasonably predictable costs of completion, disposal, and transportation. The cost basis of the Company’s inventories is reduced for any products that are considered excessive or obsolete based upon assumptions about future demand and market conditions. Inventories include the cost for raw materials, the cost to manufacture the raw materials into finished goods, and overhead.</w:t>
      </w:r>
    </w:p>
    <w:p>
      <w:pPr>
        <w:spacing w:after="0" w:line="183"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inventories during each reporting period and writes down any excess and obsolete inventories to their net realizable value in the period in which the impairment is first identified. If they occur, such impairment charges are recorded as a component of cost of goods sold in the condensed consolidated statements of operations.</w:t>
      </w:r>
    </w:p>
    <w:p>
      <w:pPr>
        <w:spacing w:after="0" w:line="176"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Prior to initial regulatory approval, the Company expenses costs relating to the production of inventory as research and development expenses when incurred. After such time as the product receives initial regulatory approval, the Company capitalizes inventory costs related to the product.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Inventory is included in “Other current assets” on the accompanying condensed consolidated balance sheets.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Investments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Investments in equity securities may be accounted for using (i) the fair value option, if elected, (ii) fair value through earnings if fair value is readily determinable or (iii) for equity investments without readily determinable fair values, the measurement alternative to measure at cost adjusted for any impairment and observable price changes, as applicable. The election to use the measurement alternative is made for each eligible investment.</w:t>
      </w:r>
    </w:p>
    <w:p>
      <w:pPr>
        <w:spacing w:after="0" w:line="176"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The Company has elected the fair value option to account for certain investments over which the Company has significant influence. The Company believes the fair value option best reflects the underlying economics of the investment. See Note 3,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Intangible Assets, Net</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Finite-lived intangible assets are recorded at cost, net of accumulated amortization, and, if applicable, impairment charges. Amortization of finite-lived intangible assets is recorded over the assets’ estimated useful lives on a straight-line basis or based on the pattern in which economic benefits are consumed, if reliably determinable. The Company reviews its finite-lived intangible assets for impairment whenever events or changes in circumstances indicate that the carrying amount of an asset may not be recoverable. See Note 4, “Intangible Assets.”</w:t>
      </w:r>
    </w:p>
    <w:p>
      <w:pPr>
        <w:sectPr>
          <w:pgSz w:w="11900" w:h="16838" w:orient="portrait"/>
          <w:cols w:equalWidth="0" w:num="1">
            <w:col w:w="10980"/>
          </w:cols>
          <w:pgMar w:left="440" w:top="297"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 Fair Value Measurements</w:t>
      </w:r>
    </w:p>
    <w:p>
      <w:pPr>
        <w:spacing w:after="0" w:line="121" w:lineRule="exact"/>
        <w:rPr>
          <w:sz w:val="20"/>
          <w:szCs w:val="20"/>
          <w:color w:val="auto"/>
        </w:rPr>
      </w:pPr>
    </w:p>
    <w:p>
      <w:pPr>
        <w:ind w:right="140" w:firstLine="440"/>
        <w:spacing w:after="0" w:line="272" w:lineRule="auto"/>
        <w:rPr>
          <w:sz w:val="20"/>
          <w:szCs w:val="20"/>
          <w:color w:val="auto"/>
        </w:rPr>
      </w:pPr>
      <w:r>
        <w:rPr>
          <w:rFonts w:ascii="Times New Roman" w:cs="Times New Roman" w:eastAsia="Times New Roman" w:hAnsi="Times New Roman"/>
          <w:sz w:val="17"/>
          <w:szCs w:val="17"/>
          <w:color w:val="auto"/>
        </w:rPr>
        <w:t>The Company utilizes fair value measurement guidance prescribed by accounting standards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Fair value is defined as the exchange price, or exit price, representing the amount that would be received to sell an asset or paid to transfer a liability in an orderly transaction between market participants at the reporting date. As a basis for considering market participant assumptions in fair value measurements, the guidance establishes a three-tier fair value hierarchy that distinguishes among the following:</w:t>
      </w:r>
    </w:p>
    <w:p>
      <w:pPr>
        <w:spacing w:after="0" w:line="77" w:lineRule="exact"/>
        <w:rPr>
          <w:sz w:val="20"/>
          <w:szCs w:val="20"/>
          <w:color w:val="auto"/>
        </w:rPr>
      </w:pPr>
    </w:p>
    <w:p>
      <w:pPr>
        <w:ind w:left="960" w:right="440" w:hanging="53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are based on unadjusted quoted prices in active markets for identical assets or liabilities that the Company has the ability to access.</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are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are based on inputs that are unobservable (supported by little or no market activity) and significant to the overall fair value measurement.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shares of common stock of Arbutus Biopharma Corporation (“Arbutus”); shares of common stock of Sio Gene Therapies Inc. (“Sio”); shares of common stock of Heracles Parent, L.L.C., the parent entity of Datavant, (as defined and discussed in Note 3, “Investments”); liability instruments issued, including warrant and earn-out shares liabilities issued in connection with the Company’s business combination with MAAC (see Note 11, “Earn-Out Shares, Public Warrants and Private Placement Warrants”); its investments in other entities; cash and cash equivalents consisting of money market funds; accounts payable; and long-term debt.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shares of Arbutus and Sio common stock and investments in common stock with a readily determinable fair value are classified as Level 1, and their fair value is determined based upon quoted market prices in an active market. The shares of common stock of Heracles Parent, L.L.C., the parent entity of Datavant (as defined and discussed in Note 3, “Investments”) and liability instruments issued, excluding the Public Warrants (as defined and discussed in Note 11, “Earn-Out Shares, Public Warrants and Private Placement Warrants”), are classified as Level 3 within the fair value hierarchy as the assumptions and estimates used in the valuations are unobservable in the market. The Public Warrants are publicly traded and therefore are classified as Level 1 as the Public Warrants have a readily determinable fair value. Cash and accounts payable are stated at their respective historical carrying amounts, which approximate fair value due to their short-term nature. Money market funds are included in Level 1 of the fair value hierarchy and are valued at the closing price reported by an actively traded exchange. The carrying value of long-term debt issued by Dermavant Sciences Ltd. (together with its wholly owned subsidiaries, “Dermavant”), which is stated at amortized cost, approximates fair value based on current interest rates for similar types of borrowings and therefore is included in Level 2 of the fair value hierarchy. Long-term debt issued by Dermavant for which the fair value option has been elected is included in Level 3 of the fair value hierarchy as the assumptions and estimates used in the valuation are unobservable in the market.</w:t>
      </w:r>
    </w:p>
    <w:p>
      <w:pPr>
        <w:sectPr>
          <w:pgSz w:w="11900" w:h="16838" w:orient="portrait"/>
          <w:cols w:equalWidth="0" w:num="1">
            <w:col w:w="11000"/>
          </w:cols>
          <w:pgMar w:left="440" w:top="293"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(J) Research and Development Expenses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(“R&amp;D”) costs are expensed as incurred. Preclinical and clinical study costs are accrued over the service periods specified in the contracts and adjusted as necessary based upon an ongoing review of the level of effort and costs actually incurred. R&amp;D costs primarily consist of costs associated with preclinical studies and clinical trials, including amounts paid to contract research organizations, contract manufacturing organizations, and other third parties that conduct R&amp;D activities on behalf of the Company, as well as employee-related expenses, such as salaries, share-based compensation, and benefits, for employees engaged in R&amp;D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Acquired In-Process Research and Development Expenses</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include consideration for the purchase of IPR&amp;D through asset acquisitions and license agreements as well as payments made in connection with asset acquisitions and license agreements upon the achievement of development milestones. These expenses were previously recorded in “Research and development” on the condensed consolidated statements of operations. Prior periods have been revised to conform to the current period presentation.</w:t>
      </w:r>
    </w:p>
    <w:p>
      <w:pPr>
        <w:spacing w:after="0" w:line="18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Company evaluates in-licensed agreements for IPR&amp;D projects to determine if it meets the definition of a business and thus should be accounted for as a business combination. If the in-licensed agreement for IPR&amp;D does not meet the definition of a business and the assets have not reached technological feasibility and therefore have no alternative future use, the Company expenses payments made under such license agreements as acquired in-process research and development expense in its condensed consolidated statements of operations. Payments for milestones achieved and payments for a product license prior to regulatory approval of the product are expensed in the period incurred. Payments made in connection with regulatory and sales-based milestones are capitalized and amortized to cost of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Revenue Recognition</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determine revenue recognition for its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Milestone, and Other Revenue</w:t>
      </w:r>
    </w:p>
    <w:p>
      <w:pPr>
        <w:spacing w:after="0" w:line="12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Company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These judgments are discussed in more detail below.</w:t>
      </w:r>
    </w:p>
    <w:p>
      <w:pPr>
        <w:spacing w:after="0" w:line="83" w:lineRule="exact"/>
        <w:rPr>
          <w:sz w:val="20"/>
          <w:szCs w:val="20"/>
          <w:color w:val="auto"/>
        </w:rPr>
      </w:pPr>
    </w:p>
    <w:p>
      <w:pPr>
        <w:ind w:left="960" w:hanging="532"/>
        <w:spacing w:after="0" w:line="25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licenses to intellectual property are determined to be distinct from the other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identified in the arrangement, the Company recognizes revenues from non-refundable, upfront fees allocated to the license when the license is transferred to the licensee and the licensee is able to use and benefit from the license. For licenses that are not distinct from other promises, the Company applies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related revenue recognition accordingly.</w:t>
      </w:r>
    </w:p>
    <w:p>
      <w:pPr>
        <w:spacing w:after="0" w:line="88" w:lineRule="exact"/>
        <w:rPr>
          <w:rFonts w:ascii="Times New Roman" w:cs="Times New Roman" w:eastAsia="Times New Roman" w:hAnsi="Times New Roman"/>
          <w:sz w:val="18"/>
          <w:szCs w:val="18"/>
          <w:color w:val="auto"/>
        </w:rPr>
      </w:pPr>
    </w:p>
    <w:p>
      <w:pPr>
        <w:ind w:left="960" w:right="20" w:hanging="532"/>
        <w:spacing w:after="0" w:line="254"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research, development or regulatory milestone payments,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on a cumulative catch-up basis in earnings in the period of the adjustment.</w:t>
      </w:r>
    </w:p>
    <w:p>
      <w:pPr>
        <w:spacing w:after="0" w:line="93" w:lineRule="exact"/>
        <w:rPr>
          <w:rFonts w:ascii="Times New Roman" w:cs="Times New Roman" w:eastAsia="Times New Roman" w:hAnsi="Times New Roman"/>
          <w:sz w:val="18"/>
          <w:szCs w:val="18"/>
          <w:color w:val="auto"/>
        </w:rPr>
      </w:pPr>
    </w:p>
    <w:p>
      <w:pPr>
        <w:jc w:val="both"/>
        <w:ind w:left="960" w:right="480" w:hanging="532"/>
        <w:spacing w:after="0" w:line="261"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Royalties and commercial milestone payments: </w:t>
      </w:r>
      <w:r>
        <w:rPr>
          <w:rFonts w:ascii="Times New Roman" w:cs="Times New Roman" w:eastAsia="Times New Roman" w:hAnsi="Times New Roman"/>
          <w:sz w:val="18"/>
          <w:szCs w:val="18"/>
          <w:color w:val="auto"/>
        </w:rPr>
        <w:t>For arrangements that include sales-based royalties, including commercial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based on a pre-specified level of sales, the Company recognizes revenue at the later of (i) when the related sales occur, or (ii) when the performance obligation to which some or all of the royalty has been allocated has been satisfied (or partially satisfied). Achievement of these royalties and commercial milestones may solely depend upon performance of the licensee.</w:t>
      </w:r>
    </w:p>
    <w:p>
      <w:pPr>
        <w:spacing w:after="0" w:line="18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Revenue is also generated by certain technology-focused contracts from subscription and service-based fees recognized for the use of certain technology internally developed. Subscription revenue is recognized ratably over the contract period.</w:t>
      </w:r>
    </w:p>
    <w:p>
      <w:pPr>
        <w:sectPr>
          <w:pgSz w:w="11900" w:h="16838" w:orient="portrait"/>
          <w:cols w:equalWidth="0" w:num="1">
            <w:col w:w="10980"/>
          </w:cols>
          <w:pgMar w:left="440" w:top="293"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Product Revenue, Net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began recognizing product revenues after the initial product launch of VTAMA following approval by the FDA in May 2022.</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sells VTAMA in the U.S. principally through wholesale, specialty distribution and pharmacy channels (collectively, “customers”). These customers subsequently resell the product to healthcare providers and patients. In addition to distribution agreements with customers, the Company enters into arrangements with healthcare providers and payers that provide for government-mandated and/or privately-negotiated rebates, chargebacks and discounts with respect to the purchase of the Company’s product. Revenues from product sales are recognized when the customer obtains control of the Company’s product, which occurs at a point in time, either upon shipment or delivery to the customer.</w:t>
      </w:r>
    </w:p>
    <w:p>
      <w:pPr>
        <w:spacing w:after="0" w:line="183"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“transaction price,” which includes estimates of variable consideration for which reserves are established that result from: (a) invoice discounts for prompt payment, cash payment and distribution service fees, (b) government and private payer rebates, chargebacks, discounts and fees, (c) performance rebates and administrative fees, (d) product returns and (e) costs of co-pay assistance programs for patients. These reserves are based on amounts earned or to be claimed on the related sale and are classified as reductions of accounts receivable (if the amount is payable to the customer) or accrued expenses and other current liabilities (if the amount is payable to a party other than a customer). Where appropriate, the Company utilizes the expected value method to determine the appropriate amount for estimates of variable consideration. The estimates of reserves established for variable consideration reflect current contractual and statutory requirements, the Company’s historical experience,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adjusts these estimates in the period such change in estimate becomes known, which could affect net product revenue and earnings in the period of the adjustment.</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More specifically, these adjustments include the following:</w:t>
      </w:r>
    </w:p>
    <w:p>
      <w:pPr>
        <w:spacing w:after="0" w:line="131" w:lineRule="exact"/>
        <w:rPr>
          <w:sz w:val="20"/>
          <w:szCs w:val="20"/>
          <w:color w:val="auto"/>
        </w:rPr>
      </w:pPr>
    </w:p>
    <w:p>
      <w:pPr>
        <w:ind w:left="960" w:right="100" w:hanging="532"/>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Pay and Cash Pay Discounts: The Company generally provides invoice discounts on product sales to its customers for prompt payment and/or cash payment. The Company estimates the amount of such discounts that will be utilized and deducts the amount from its gross product revenues and accounts receivable at the time such revenues are recognized.</w:t>
      </w:r>
    </w:p>
    <w:p>
      <w:pPr>
        <w:spacing w:after="0" w:line="81" w:lineRule="exact"/>
        <w:rPr>
          <w:rFonts w:ascii="Times New Roman" w:cs="Times New Roman" w:eastAsia="Times New Roman" w:hAnsi="Times New Roman"/>
          <w:sz w:val="18"/>
          <w:szCs w:val="18"/>
          <w:color w:val="auto"/>
        </w:rPr>
      </w:pPr>
    </w:p>
    <w:p>
      <w:pPr>
        <w:jc w:val="both"/>
        <w:ind w:left="960" w:right="40" w:hanging="532"/>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Fees: The Company pays fees to its customers for account management, data management, and other administrative services. To the extent the services received are distinct from sales of products to the customer, the Company records these payments in selling, general and administrative expenses.</w:t>
      </w:r>
    </w:p>
    <w:p>
      <w:pPr>
        <w:spacing w:after="0" w:line="81"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Chargebacks are discounts that occur when contracted customers purchase directly from a wholesaler or specialty distributor. Contracted customers, which currently consist primarily of public health service institutions, federal government entities, pharmaceutical benefit managers, and health maintenance organizations, generally purchase the product at a discounted price. The wholesaler or specialty distributor, in turn, charges back to the Company the difference between the price initially paid by the wholesaler or specialty distributor and the discounted price paid to the wholesaler or specialty distributor by the contracted customer. The allowance for chargebacks is based on actual chargebacks received and an estimate of sales to contracted customers.</w:t>
      </w:r>
    </w:p>
    <w:p>
      <w:pPr>
        <w:spacing w:after="0" w:line="92" w:lineRule="exact"/>
        <w:rPr>
          <w:rFonts w:ascii="Times New Roman" w:cs="Times New Roman" w:eastAsia="Times New Roman" w:hAnsi="Times New Roman"/>
          <w:sz w:val="18"/>
          <w:szCs w:val="18"/>
          <w:color w:val="auto"/>
        </w:rPr>
      </w:pPr>
    </w:p>
    <w:p>
      <w:pPr>
        <w:ind w:left="960" w:right="60" w:hanging="532"/>
        <w:spacing w:after="0" w:line="253"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Rebates: Allowances for rebates include mandated discounts under the Medicaid Drug Rebate Program and the Medicare Part D prescription drug benefit as well as contracted discounts with pharmaceutical benefit managers and health maintenance organizations. Rebates are amounts owed after the final dispensing of the product to a benefit plan participant and are based upon contractual agreements with payers or statutory requirements pertaining to Medicaid and Medicare benefit providers. The allowance for rebates is based on contractual or statutory discount rates, estimated payer mix, and expected utilization. The Company’s estimates for expected utilization of rebates are based on historical data received from wholesalers, specialty distributors, and pharmacies since launch, as well as analog data from similar products. The Company monitors sales trends and adjusts the allowance on a regular basis to reflect the most recent rebate experience. The Company’s liability for these rebates consists of invoices received, estimates of claims for the current quarter, and estimated future claims that will be made for product that has been recognized as revenue, but remains in the distribution channel inventories at the end of each reporting period.</w:t>
      </w:r>
    </w:p>
    <w:p>
      <w:pPr>
        <w:sectPr>
          <w:pgSz w:w="11900" w:h="16838" w:orient="portrait"/>
          <w:cols w:equalWidth="0" w:num="1">
            <w:col w:w="11000"/>
          </w:cols>
          <w:pgMar w:left="440" w:top="293" w:right="459" w:bottom="1440" w:gutter="0" w:footer="0" w:header="0"/>
        </w:sectPr>
      </w:pPr>
    </w:p>
    <w:bookmarkStart w:id="17" w:name="page18"/>
    <w:bookmarkEnd w:id="17"/>
    <w:p>
      <w:pPr>
        <w:ind w:left="960" w:right="40" w:hanging="532"/>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Co-payment Assistance: The Company offers co-payment assistance to patients. Co-payment assistance is accrued based on an estimate of the number of co-payment assistance claims and the cost per claim that the Company expects to receive associated with product that has been recognized as revenue but remains in the distribution channel inventories at the end of each reporting period.</w:t>
      </w:r>
    </w:p>
    <w:p>
      <w:pPr>
        <w:spacing w:after="0" w:line="81"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Returns: Consistent with industry practice, the Company offers its customers limited product return rights for damages, shipment errors, and expiring product; provided that the return is within a specified period around the product expiration date as set forth in the applicable individual distribution or customer agreement. The Company does not allow product returns for product that has been dispensed to a patient. In arriving at its estimate for product returns, the Company considers historical product returns, the underlying product demand, and industry specific data.</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Product revenue through June 30, 2022 has not been significant and is included in “Revenue, net” on the accompanying condensed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Net</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customer credit profiles. The Company reserves against trade receivables for estimated losses that may arise from a customer’s inability to pay, and any amounts determined to be uncollectible are written off against the reserve when it is probable that the receivable will not be collected. The reserve amount for estimated losses was de minimis as of June 30, 2022 and March 31, 2022. Trade receivables, net is included in “Other current assets” on the accompanying condensed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Cost of Revenues</w:t>
      </w:r>
    </w:p>
    <w:p>
      <w:pPr>
        <w:spacing w:after="0" w:line="121" w:lineRule="exact"/>
        <w:rPr>
          <w:sz w:val="20"/>
          <w:szCs w:val="20"/>
          <w:color w:val="auto"/>
        </w:rPr>
      </w:pPr>
    </w:p>
    <w:p>
      <w:pPr>
        <w:ind w:right="220" w:firstLine="440"/>
        <w:spacing w:after="0" w:line="274" w:lineRule="auto"/>
        <w:rPr>
          <w:sz w:val="20"/>
          <w:szCs w:val="20"/>
          <w:color w:val="auto"/>
        </w:rPr>
      </w:pPr>
      <w:r>
        <w:rPr>
          <w:rFonts w:ascii="Times New Roman" w:cs="Times New Roman" w:eastAsia="Times New Roman" w:hAnsi="Times New Roman"/>
          <w:sz w:val="17"/>
          <w:szCs w:val="17"/>
          <w:color w:val="auto"/>
        </w:rPr>
        <w:t>Cost of revenues related to the Company’s subscription and service-based revenue recognized for the use of technology developed consists primarily of employee, hosting, and third-party data costs. Following the initial product launch of VTAMA, the Company began to recognize cost of product revenues, which includes the cost of producing and distributing inventories related to product revenue during the respective period, including manufacturing, freight, and indirect overhead costs. Additionally, cost of product revenues may include costs related to excess or obsolete inventory adjustment charges, abnormal costs, unabsorbed manufacturing and overhead costs, and manufacturing variances. Cost of product revenues through June 30, 2022 has not been significant and is included in “Cost of Revenues” on the accompanying condensed consolidated statements of operations.</w:t>
      </w:r>
    </w:p>
    <w:p>
      <w:pPr>
        <w:sectPr>
          <w:pgSz w:w="11900" w:h="16838" w:orient="portrait"/>
          <w:cols w:equalWidth="0" w:num="1">
            <w:col w:w="10980"/>
          </w:cols>
          <w:pgMar w:left="440" w:top="297"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Note 3—Investments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Arbutus</w:t>
      </w:r>
    </w:p>
    <w:p>
      <w:pPr>
        <w:spacing w:after="0" w:line="11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October 2017, pursuant to a subscription agreement entered into by RSL and Arbutus, RSL acquired 16,013,540 shares of common stock of Arbutus and 1,164,000 shares of Arbutus’ Series A participating convertible preferred shares, which converted into 22,833,922 shares of Arbutus common stock in October 2021. The Company accounts for its investment in Arbutus as an equity method investment accounted for using the fair value option. Due to the Company’s significant influence over operating and financial policies, Arbutus is considered a related party of the Company. At June 30, 2022, RSL held approximately 26% of issued and outstanding shares of Arbutus.</w:t>
      </w:r>
    </w:p>
    <w:p>
      <w:pPr>
        <w:spacing w:after="0" w:line="183"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7"/>
          <w:szCs w:val="17"/>
          <w:color w:val="auto"/>
        </w:rPr>
        <w:t>At June 30, 2022 and March 31, 2022, the aggregate fair value of the Company’s investment in Arbutus was $105.3 million and $115.8 million, respectively, with the Company recognizing unrealized losses on its investment in Arbutus of $10.5 million and $11.7 million in the accompanying condensed consolidated statements of operations for the three months ended June 30, 2022 and 2021, respectively. The fair value of the Company’s investment was determined using the closing price of Arbutus’s common stock on June 30, 2022 and March 31, 2022 of $2.71 and $2.98, respectively.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Sio</w:t>
      </w:r>
    </w:p>
    <w:p>
      <w:pPr>
        <w:spacing w:after="0" w:line="11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February 2020, RSL’s ownership interest in Sio fell below 50.0%, and as a result, the Company deconsolidated Sio. The Company accounts for its investment in Sio as an equity method investment accounted for using the fair value option. Due to the Company’s significant influence over operating and financial policies, Sio is considered a related party of the Company. At June 30, 2022, RSL held approximately 25% of Sio’s issued and outstanding common shares.</w:t>
      </w:r>
    </w:p>
    <w:p>
      <w:pPr>
        <w:spacing w:after="0" w:line="180"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At June 30, 2022 and March 31, 2022, the fair value of the Company’s investment in Sio was $6.7 million and $12.4 million, respectively, with the Company recognizing an unrealized loss on its investment in Sio of $5.7 million and an unrealized gain of $2.2 million in the accompanying condensed consolidated statements of operations for the three months ended June 30, 2022 and 2021, respectively. The fair value of common shares held by the Company was determined using the closing price of Sio’s common stock on June 30, 2022 and March 31, 2022 of $0.36 and $0.67, respectively.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Datavant</w:t>
      </w:r>
    </w:p>
    <w:p>
      <w:pPr>
        <w:spacing w:after="0" w:line="119"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t>In April 2020, following an equity raise completed by Datavant Holdings, Inc. (“Datavant”) along with a restructuring of Datavant’s equity classes, it was determined that RSL no longer controlled Datavant. As such, the Company deconsolidated Datavant as of April 2020. Due to the Company’s significant influence over operating and financial policies, Datavant is considered a related party of the Company.</w:t>
      </w:r>
    </w:p>
    <w:p>
      <w:pPr>
        <w:spacing w:after="0" w:line="176"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In June 2021, Datavant and Heracles Parent, L.L.C. (referred to herein as “Ciox Parent” and, after the closing of the Datavant Merger (as defined below), “Datavant”), a provider of healthcare information services and technology solutions to hospitals, health systems, physician practices and authorized recipients of protected health records in the United States, primarily through its wholly owned subsidiary CIOX Health, LLC, entered into a definitive agreement to merge Datavant with and into a newly formed wholly owned subsidiary of Ciox Parent (the “Datavant Merger”). The merger closed on July 27, 2021. At closing, the Company received approximately $320 million in cash and a minority equity stake in Ciox Parent. As of June 30, 2022, the Company’s minority equity interest represented approximately 17% of the outstanding Class A units in Ciox Parent. Ciox Parent’s capital structure includes several classes of preferred units that, among other features, have liquidation preferences and conversion features. Upon conversion of such preferred units into Class A units, the Company’s ownership interest would be diluted.</w:t>
      </w:r>
    </w:p>
    <w:p>
      <w:pPr>
        <w:spacing w:after="0" w:line="19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Following the completion of the Datavant Merger, the Company’s minority equity interest became subject to the equity method of accounting. At such time, the fair value option was elected to continuously remeasure the investment to fair value each reporting period with changes in fair value reflected in earnings. As of June 30, 2022 and March 31, 2022, the fair value of the Company’s investment was $186.9 million and $193.9 million, respectively, with the Company recognizing an unrealized loss on its investment of $7.0 million for the three months ended June 30, 2022. The fair value of the Company’s investment was determined using valuation models that incorporate significant unobservable inputs and is classified as a Level 3 measurement within the fair value hierarchy. Refer to Note 12, “Fair Value Measurements” for more information.</w:t>
      </w:r>
    </w:p>
    <w:p>
      <w:pPr>
        <w:sectPr>
          <w:pgSz w:w="11900" w:h="16838" w:orient="portrait"/>
          <w:cols w:equalWidth="0" w:num="1">
            <w:col w:w="11000"/>
          </w:cols>
          <w:pgMar w:left="440" w:top="293"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 4—Intangible Assets</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July 2018, Dermavant acquired the worldwide rights (other than for China) with respect to certain intellectual property rights retained by Welichem Biotech Inc. (“Welichem”) to VTAMA and related compounds from Glaxo Group Limited and GlaxoSmithKline Intellectual Property Development Ltd. (collectively, “GSK”) pursuant to an asset purchase agreement. GSK previously acquired rights to a predecessor formulation from Welichem pursuant to an asset purchase agreement between GSK and Welichem entered into in May 2012. The Company evaluated the agreement and determined that the acquired assets did not meet the definition of a business and thus the transaction was accounted for as an asset acquisition.</w:t>
      </w:r>
    </w:p>
    <w:p>
      <w:pPr>
        <w:spacing w:after="0" w:line="183"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Following the FDA approval of VTAMA in May 2022, the Company became obligated to pay a regulatory milestone to GSK of £100.0 million (approximately $126 million on the date of achievement) following the receipt of marketing approval of VTAMA in the United States. The milestone was paid in July 2022.</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Additionally, the first sale of VTAMA in May 2022 resulted in the achievement of a milestone to Welichem Biotech Inc. of CAD$25.0 million (approximately $20 million on the date of achievement). The milestone was paid in August 2022.</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Both of the above milestones were capitalized as intangible assets upon achievement and are amortized over their estimated useful lives.</w:t>
      </w:r>
    </w:p>
    <w:p>
      <w:pPr>
        <w:spacing w:after="0" w:line="225"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the amounts owed to GSK and Welichem for these milestones were recorded as part of “Accounts payable” in the accompanying condensed consolidated balance sheet.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recognized intangible assets (in thousands):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5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Weighted Average Estimated</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8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amount</w:t>
            </w:r>
          </w:p>
        </w:tc>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16.5 years</w:t>
            </w: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146,172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40" w:type="dxa"/>
            <w:vAlign w:val="bottom"/>
            <w:shd w:val="clear" w:color="auto" w:fill="CCEEFF"/>
          </w:tcPr>
          <w:p>
            <w:pPr>
              <w:ind w:left="360"/>
              <w:spacing w:after="0" w:line="169" w:lineRule="exact"/>
              <w:rPr>
                <w:sz w:val="20"/>
                <w:szCs w:val="20"/>
                <w:color w:val="auto"/>
              </w:rPr>
            </w:pPr>
            <w:r>
              <w:rPr>
                <w:rFonts w:ascii="Times New Roman" w:cs="Times New Roman" w:eastAsia="Times New Roman" w:hAnsi="Times New Roman"/>
                <w:sz w:val="18"/>
                <w:szCs w:val="18"/>
                <w:color w:val="auto"/>
              </w:rPr>
              <w:t>Net book value</w:t>
            </w:r>
          </w:p>
        </w:tc>
        <w:tc>
          <w:tcPr>
            <w:tcW w:w="1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145,430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Amortization expense was $0.7 million for the three months ended June 30, 2022 and was recorded as part of “Cost of revenues” in the accompanying condensed consolidated statement of operations. Future amortization expense is approximately $6.7 million for the remainder of the year ended March 31, 2023, $8.9 million for each of the years ended from March 31, 2024 through March 31, 2027 and $103.1 million thereafter.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5—Accrued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expenses at June 30, 2022 and March 31, 2022 consisted of the following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2"/>
              </w:rPr>
              <w:t>68,914</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Compensation-related expenses</w:t>
            </w:r>
          </w:p>
        </w:tc>
        <w:tc>
          <w:tcPr>
            <w:tcW w:w="160" w:type="dxa"/>
            <w:vAlign w:val="bottom"/>
          </w:tcPr>
          <w:p>
            <w:pPr>
              <w:spacing w:after="0"/>
              <w:rPr>
                <w:sz w:val="18"/>
                <w:szCs w:val="18"/>
                <w:color w:val="auto"/>
              </w:rPr>
            </w:pPr>
          </w:p>
        </w:tc>
        <w:tc>
          <w:tcPr>
            <w:tcW w:w="1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17,845</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44,262</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22,595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17,081</w:t>
            </w:r>
          </w:p>
        </w:tc>
      </w:tr>
      <w:tr>
        <w:trPr>
          <w:trHeight w:val="223"/>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109,354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127,531</w:t>
            </w:r>
          </w:p>
        </w:tc>
        <w:tc>
          <w:tcPr>
            <w:tcW w:w="4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940"/>
          </w:cols>
          <w:pgMar w:left="440" w:top="293" w:right="519" w:bottom="1440" w:gutter="0" w:footer="0" w:header="0"/>
        </w:sectPr>
      </w:pPr>
    </w:p>
    <w:bookmarkStart w:id="20" w:name="page21"/>
    <w:bookmarkEnd w:id="2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 6—Long-Term Debt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Dermavant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Funding Agreement with NovaQuest</w:t>
      </w:r>
    </w:p>
    <w:p>
      <w:pPr>
        <w:spacing w:after="0" w:line="12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Dermavant’s acquisition of tapinarof from GSK pursuant to an asset purchase agreement (the “GSK Agreement”), Dermavant and NovaQuest Co-Investment Fund VIII, L.P. (“NovaQuest”) entered into a funding agreement (the “NovaQuest Agreement”). Pursuant to the NovaQuest Agreement, Dermavant borrowed $100.0 million in August 2018 and $17.5 million in October 2018.</w:t>
      </w:r>
    </w:p>
    <w:p>
      <w:pPr>
        <w:spacing w:after="0" w:line="176"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In exchange for the $117.5 million in total funding from NovaQuest, Dermavant agreed to make fixed payments to NovaQuest under the NovaQuest Agreement upon regulatory approval of tapinarof. For each of the atopic dermatitis and psoriasis indications, Dermavant is required to make quarterly payments to NovaQuest totaling $176.3 million per indication over a six-year period following regulatory approval of tapinarof for the applicable indication in the United States. In the event that Dermavant receives regulatory approval for one indication, and Dermavant terminates the development of the other indication for any reason other than a Technical Failure (as defined below), then Dermavant will be required to make the above-referenced quarterly payments to NovaQuest up to $440.6 million over a 15-year period for the approved indication, which are referred to as 15-year Payments. A Technical Failure is deemed to occur for an indication if the development program for such indication is terminated due to</w:t>
      </w:r>
    </w:p>
    <w:p>
      <w:pPr>
        <w:spacing w:after="0" w:line="3" w:lineRule="exact"/>
        <w:rPr>
          <w:sz w:val="20"/>
          <w:szCs w:val="20"/>
          <w:color w:val="auto"/>
        </w:rPr>
      </w:pPr>
    </w:p>
    <w:p>
      <w:pPr>
        <w:ind w:left="4" w:right="60" w:hanging="4"/>
        <w:spacing w:after="0" w:line="251"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safety concerns, (2) material adverse developments or (3) the receipt by Dermavant of a complete response letter or a final non-approval letter from the FDA is expected to result in significant delay in or cost to reach commercialization for the applicable indication. In addition, Dermavant is required to make up to $141.0 million in payments to NovaQuest upon achievement of certain commercial milestones. In the event that Dermavant is required to start making 15-year Payments, then Dermavant has the right to offset such amounts by up to $88.1 million of the commercial milestone payments, with such offset being applied to the quarterly payments in reverse chronological order (such that the final quarterly payments owed will be used first to offset the commercial milestone payments). The NovaQuest Agreement does not contain any royalty payment requirements on commercialization of tapinarof. Upon receiving FDA approval, Dermavant made its first quarterly payment of $7.3 million under the NovaQuest Agreement in May 2022.</w:t>
      </w:r>
    </w:p>
    <w:p>
      <w:pPr>
        <w:spacing w:after="0" w:line="194"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At issuance, the Company concluded that certain features of the long-term debt would be considered derivatives that would require bifurcation. In lieu of bifurcating various features in the agreement, the Company has elected the fair value option for this financial instrument and will record the changes in the fair value within the statements of operations at the end of each reporting period. Direct costs and fees related to the debt issued under the NovaQuest Agreement were recognized in earnings. As of June 30, 2022 and March 31, 2022, the fair value of the debt was $228.0 million and $177.4 million, respectively. Refer to Note 12, “Fair Value Measurements” for additional details regarding the fair value measurement.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carrying balance of the debt issued to NovaQuest is as follows (in thousands):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long-term debt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177,400</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(27,300)</w:t>
            </w:r>
          </w:p>
        </w:tc>
        <w:tc>
          <w:tcPr>
            <w:tcW w:w="22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200,700</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177,400</w:t>
            </w:r>
          </w:p>
        </w:tc>
        <w:tc>
          <w:tcPr>
            <w:tcW w:w="40" w:type="dxa"/>
            <w:vAlign w:val="bottom"/>
            <w:tcBorders>
              <w:top w:val="single" w:sz="8" w:color="CCEEFF"/>
            </w:tcBorders>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with XYQ Luxco</w:t>
      </w:r>
    </w:p>
    <w:p>
      <w:pPr>
        <w:spacing w:after="0" w:line="121" w:lineRule="exact"/>
        <w:rPr>
          <w:sz w:val="20"/>
          <w:szCs w:val="20"/>
          <w:color w:val="auto"/>
        </w:rPr>
      </w:pPr>
    </w:p>
    <w:p>
      <w:pPr>
        <w:ind w:left="4" w:right="160" w:firstLine="440"/>
        <w:spacing w:after="0" w:line="255" w:lineRule="auto"/>
        <w:rPr>
          <w:sz w:val="20"/>
          <w:szCs w:val="20"/>
          <w:color w:val="auto"/>
        </w:rPr>
      </w:pPr>
      <w:r>
        <w:rPr>
          <w:rFonts w:ascii="Times New Roman" w:cs="Times New Roman" w:eastAsia="Times New Roman" w:hAnsi="Times New Roman"/>
          <w:sz w:val="18"/>
          <w:szCs w:val="18"/>
          <w:color w:val="auto"/>
        </w:rPr>
        <w:t>In May 2021, Dermavant entered into a $40.0 million senior secured credit facility (the “Credit Facility”) entered into by Dermavant and certain of its subsidiaries in May 2021 with XYQ Luxco S.A.R.L (“XYQ Luxco”), as lender, and U.S. Bank National Association, as collateral agent. The Credit Facility has a five-year maturity and bears an interest rate of 10.0% per annum. Interest is payable quarterly in arrears on the last day of each calendar quarter through the maturity date. A lump sum principal payment is due on the maturity date. Dermavant is also obligated to pay an exit fee of $5.0 million. The exit fee can be reduced to $4.0 million upon achievement of certain equity milestones defined in the agreement, which are not deemed likely as of June 30, 2022. In connection with the funding of the Credit Facility, Dermavant issued a warrant to XYQ Luxco to purchase 1,199,072 common shares of Dermavant at an exercise price of $0.01 per common share.</w:t>
      </w:r>
    </w:p>
    <w:p>
      <w:pPr>
        <w:sectPr>
          <w:pgSz w:w="11900" w:h="16838" w:orient="portrait"/>
          <w:cols w:equalWidth="0" w:num="1">
            <w:col w:w="10984"/>
          </w:cols>
          <w:pgMar w:left="436" w:top="293" w:right="47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Outstanding debt obligations to XYQ Luxco are as follows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Exit fee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(11,862)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(12,375)</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10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Interest Purchase and Sale Agreement</w:t>
      </w:r>
    </w:p>
    <w:p>
      <w:pPr>
        <w:spacing w:after="0" w:line="121"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In May 2021, Dermavant, as seller, entered into a $160.0 million revenue interest purchase and sale agreement (the “RIPSA”) for its investigational product tapinarof with XYQ Luxco, NovaQuest Co-Investment Fund XVII, L.P., an affiliate of NovaQuest Capital Management, LLC, and MAM Tapir Lender, LLC, an affiliate of Marathon Asset Management, L.P. (collectively, the “Purchasers”), together with U.S. Bank National Association, as collateral agent. Under the terms of the RIPSA, Dermavant issued to the Purchasers the right to receive royalties based on a capped single-digit revenue interest in net sales of tapinarof for all dermatological indications in the United States, up to a cap of $344.0 million, in exchange for $160.0 million in committed funding, which was paid to Dermavant in June 2022 following the approval of tapinarof by the FDA.</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transaction is accounted for as debt. Over the term of the arrangement, the effective interest rate will be updated prospectively each reporting period based on the carrying amount of the note, payments made to date, and the estimated remaining cash flows related to the note.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RIPSA carrying balance is as follows (in thousands):</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balance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(5,170)</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155,886</w:t>
            </w:r>
          </w:p>
        </w:tc>
        <w:tc>
          <w:tcPr>
            <w:tcW w:w="1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(6,004)</w:t>
            </w: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RSL Common Stock</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September 30, 2021 in connection with the closing of the Business Combination, the Company effected a 2.9262-for-1 stock subdivision based on the fixed exchange ratio established in the Business Combination. All per share amounts and number of shares in the condensed consolidated financial statements and related notes have been retroactively restated to reflect the stock split.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Additionally, in connection with the closing of the Business Combination, the Company adjusted its authorized share capital to equal 7,000,000,000 common shares, par value $0.0000000341740141 per share. Each common share has the right to one vote. The holders of common shares are also entitled to receive dividends whenever funds are legally available and when declared by the board of directors, subject to the prior rights of holders of all classes of stock outstanding having priority rights as to dividends. No dividends have been declared by the board of directors since the Company’s inception.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Committed Equity Facility</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On February 14, 2022, the Company entered into a committed equity facility (the “Facility”) with an affiliate of Cantor Fitzgerald &amp; Co. (“Cantor”). Under the terms of the Facility, Cantor has committed to purchase up to an aggregate of $250.0 million in the Company’s common shares from time to time at the request of the Company, subject to certain limitations and the satisfaction of certain conditions. Any sales of the Company’s common shares to Cantor under the Facility will be made at 99% of the volume-weighted average price of the Company’s common shares on Nasdaq on a given trading day. In consideration for entry into the Facility, the Company paid Cantor an upfront commitment fee in the form of 145,986 common shares. As of June 30, 2022, $250.0 million of the Company’s common shares remained available for sale under the Facility.</w:t>
      </w:r>
    </w:p>
    <w:p>
      <w:pPr>
        <w:sectPr>
          <w:pgSz w:w="11900" w:h="16838" w:orient="portrait"/>
          <w:cols w:equalWidth="0" w:num="1">
            <w:col w:w="11000"/>
          </w:cols>
          <w:pgMar w:left="440" w:top="297"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 8—Share-Based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RSL Equity Incentive Plans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RSL has three equity incentives plans: the Roivant Sciences Ltd. 2021 Equity Incentive Plan (the “RSL 2021 EIP”), the Roivant Sciences Ltd. Amended and Restated 2015 Equity Incentive Plan, and the Roivant Sciences Ltd. Amended and Restated 2015 Restricted Stock Unit Plan (collectively, the “RSL Equity Plans”). The RSL 2021 EIP was approved and adopted in connection with the Business Combination and became effective immediately prior to closing. At June 30, 2022, a total of 13,190,403 common shares were available for future grants under the RSL 2021 EIP.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Performance Stock Options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Activity for stock options and performance options under the RSL Equity Plans for the three months ended June 30, 2022 is as follows:</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6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10"/>
        </w:trPr>
        <w:tc>
          <w:tcPr>
            <w:tcW w:w="6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80,364,904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74,165,410</w:t>
            </w: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(231,768)</w:t>
            </w: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outstanding at June 30, 2022</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154,298,546</w:t>
            </w:r>
          </w:p>
        </w:tc>
        <w:tc>
          <w:tcPr>
            <w:tcW w:w="100" w:type="dxa"/>
            <w:vAlign w:val="bottom"/>
          </w:tcPr>
          <w:p>
            <w:pPr>
              <w:spacing w:after="0"/>
              <w:rPr>
                <w:sz w:val="19"/>
                <w:szCs w:val="19"/>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June 30, 2022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47,438,548</w:t>
            </w: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Stock Units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Activity for restricted stock units and performance stock units under the RSL Equity Plans for the three months ended June 30, 2022 is as follows:</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9"/>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March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21,956,749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8,080,813</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(2,514,982)</w:t>
            </w: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(1,098,648)</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June 30,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26,423,932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980"/>
          </w:cols>
          <w:pgMar w:left="440" w:top="293"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Capped Value Appreciation Rights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March 2020 CVAR Grants</w:t>
      </w:r>
    </w:p>
    <w:p>
      <w:pPr>
        <w:spacing w:after="0" w:line="119" w:lineRule="exact"/>
        <w:rPr>
          <w:sz w:val="20"/>
          <w:szCs w:val="20"/>
          <w:color w:val="auto"/>
        </w:rPr>
      </w:pPr>
    </w:p>
    <w:p>
      <w:pPr>
        <w:ind w:right="20" w:firstLine="440"/>
        <w:spacing w:after="0" w:line="270" w:lineRule="auto"/>
        <w:rPr>
          <w:sz w:val="20"/>
          <w:szCs w:val="20"/>
          <w:color w:val="auto"/>
        </w:rPr>
      </w:pPr>
      <w:r>
        <w:rPr>
          <w:rFonts w:ascii="Times New Roman" w:cs="Times New Roman" w:eastAsia="Times New Roman" w:hAnsi="Times New Roman"/>
          <w:sz w:val="17"/>
          <w:szCs w:val="17"/>
          <w:color w:val="auto"/>
        </w:rPr>
        <w:t>In March 2020, the Company granted capped value appreciation rights (“CVARs”) that will pay at settlement the excess in shares of (a) the lesser of (i) the fair market value of a common share as of the settlement date or (ii) the cap of $12.68, over (b) the hurdle price of either $6.40 or $11.50, as applicable to each grant. On March 30, 2022, the Company amended the outstanding CVARs that were granted in March 2020. Pursuant to the amendment, in the event any CVARs have satisfied the time-based service and liquidity event vesting requirements (“service-vested CVARs”) but have not satisfied the applicable hurdle price on an applicable measurement date, then such CVARs will be deemed to remain outstanding and the applicable award holder will be provided the right to earn such CVARs if the hurdle price is satisfied on subsequent annual “hurdle measurement dates” prior to the original expiration date of the CVARs, being March 31, 2026. The “hurdle measurement dates” are March 30 of each of years 2023 through 2026. If the hurdle price is not satisfied on any such subsequent annual hurdle measurement date prior to the expiration date of the CVARs, then the CVARs will be forfeited in their entirety on the expiration date. As of June 30, 2022, there are 11,826,924 non-service-vested CVARs and 20,185,072 service-vested CVARs relating to the March 2020 grants. The hurdle price was not satisfied for these service-vested CVARs and as such they remain outstanding.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November 2021 CVAR Grants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Activity for CVARs under the RSL 2021 EIP for the three months ended June 30, 2022 is as follows:</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6540" w:type="dxa"/>
            <w:vAlign w:val="bottom"/>
          </w:tcPr>
          <w:p>
            <w:pPr>
              <w:spacing w:after="0"/>
              <w:rPr>
                <w:sz w:val="15"/>
                <w:szCs w:val="15"/>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CVARs</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March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6,285,250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(1,559,363)</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(294,250)</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Non-vested balance at June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4,431,637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Subsidiary Equity Incentive Plans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Certain wholly owned and majority-owned or controlled subsidiaries of RSL adopt their own equity incentive plan (“EIP”). Each EIP is generally structured so that the applicable subsidiary, and its affiliates’ employees, directors, officers and consultants are eligible to receive non-qualified and incentive stock options, stock appreciation rights, restricted share awards, restricted stock unit awards, and other share awards under their respective EIP. The Company recorded share-based compensation expense of $11.5 million and $8.2 million for the three months ended June 30, 2022 and 2021, respectively, related to subsidiary EIPs.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June 30, 2022 and 2021 was (1.1)% and (0.1)%, respectively. The effective tax rate is driven by the Company’s jurisdictional earnings by location and a valuation allowance that eliminates the Company’s global net deferred tax assets.</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Company assesses the realizability of its deferred tax assets at each balance sheet date based on available positive and negative evidence in order to determine the amount which is more likely than not to be realized and records a valuation allowance as necessary.</w:t>
      </w:r>
    </w:p>
    <w:p>
      <w:pPr>
        <w:sectPr>
          <w:pgSz w:w="11900" w:h="16838" w:orient="portrait"/>
          <w:cols w:equalWidth="0" w:num="1">
            <w:col w:w="11000"/>
          </w:cols>
          <w:pgMar w:left="440" w:top="293" w:right="459" w:bottom="1440" w:gutter="0" w:footer="0" w:header="0"/>
        </w:sectPr>
      </w:pPr>
    </w:p>
    <w:bookmarkStart w:id="24" w:name="page25"/>
    <w:bookmarkEnd w:id="2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Note 10—Commitments and Contingencies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 Commitments</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In conjunction with the purchase agreement of tapinarof between the Company’s subsidiary, Dermavant and GSK, Dermavant entered into a clinical supply agreement for which GSK would provide a supply of tapinarof and clinical product at an agreed upon price during the Company’s clinical trials. In April 2019, Dermavant entered into a commercial supply agreement with GSK to continue to provide certain quantities of tapinarof and commercial product at agreed upon minimum quantities and price. The commercial supply agreement commenced in April 2022 upon completion of certain quality and regulatory conditions. In July 2022, Dermavant and GSK amended the terms of the clinical supply and commercial supply agreements which released GSK of certain commitments to supply tapinarof and released Dermavant of certain commitments to purchase tapinarof in exchange for a supplementary fee. Other supply and purchase commitments under the agreements remain in effect. In addition, Dermavant and Thermo Fisher Scientific (“TFS”) entered into a Commercial Manufacturing and Supply Agreement for which TFS will provide a supply of tapinarof to Dermavant at an agreed upon price. The agreements discussed above require Dermavant to purchase certain quantities of inventory over a period of five years. The minimum purchase commitment related to these agreements is estimated to be approximately $48.2 million.</w:t>
      </w:r>
    </w:p>
    <w:p>
      <w:pPr>
        <w:spacing w:after="0" w:line="194"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In November 2021, the Company’s subsidiary, Immunovant, Inc. (“Immunovant”), entered into a Product Service Agreement with Samsung Biologics Co., Ltd. (“Samsung”) by which Samsung will manufacture and supply Immunovant with batoclimab drug substance for commercial sale and perform other manufacturing-related services with respect to batoclimab. As of June 30, 2022, the minimum purchase commitment related to this agreement is estimated to be approximately $36.0 million.</w:t>
      </w:r>
    </w:p>
    <w:p>
      <w:pPr>
        <w:spacing w:after="0" w:line="180" w:lineRule="exact"/>
        <w:rPr>
          <w:sz w:val="20"/>
          <w:szCs w:val="20"/>
          <w:color w:val="auto"/>
        </w:rPr>
      </w:pPr>
    </w:p>
    <w:p>
      <w:pPr>
        <w:ind w:left="4" w:right="400" w:firstLine="440"/>
        <w:spacing w:after="0" w:line="312" w:lineRule="auto"/>
        <w:rPr>
          <w:sz w:val="20"/>
          <w:szCs w:val="20"/>
          <w:color w:val="auto"/>
        </w:rPr>
      </w:pPr>
      <w:r>
        <w:rPr>
          <w:rFonts w:ascii="Times New Roman" w:cs="Times New Roman" w:eastAsia="Times New Roman" w:hAnsi="Times New Roman"/>
          <w:sz w:val="17"/>
          <w:szCs w:val="17"/>
          <w:color w:val="auto"/>
        </w:rPr>
        <w:t>In May 2021, the Company entered into a master subscription agreement with Palantir Technologies Inc. (“Palantir”) for access to Palantir’s proprietary software for a five-year period. As of June 30, 2022, the remaining minimum payments for this software subscription are $30.0 million.</w:t>
      </w:r>
    </w:p>
    <w:p>
      <w:pPr>
        <w:spacing w:after="0" w:line="140"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primarily through its subsidiaries, has entered into commitments under various asset acquisition and license agreements. Additionally, the Company through its subsidiaries enters into agreements with contract service providers to assist in the performance of its R&amp;D activities. Expenditures to contract research organizations and contract manufacturing organizations represent significant costs in the clinical development of its product candidates. Subject to required notice periods and certain obligations under binding purchase orders, the Company can elect to discontinue the work under these agreements at any time. The Company expects to enter into additional collaborative research, contract research, manufacturing, and supplier agreements in the future, which may require upfront payments and long-term commitments of capital resources.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also has commitments relating to its long-term debt and operating leases. Refer to Note 6, “Long-Term Debt” for further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information. There have been no material changes to the commitments relating to the Company’s operating leases during the three months ended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30, 2022 outside the ordinary course of business. For further information regarding the Company’s lease commitments, refer to Note 12, “Leases”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 Company’s Annual Report on Form 10-K for the year ended March 31, 2022.</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 Loss Contingencies</w:t>
      </w:r>
    </w:p>
    <w:p>
      <w:pPr>
        <w:spacing w:after="0" w:line="121"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loss can be reasonably estimated, and if the Company believes that a reasonably possible loss exists, the Company discloses the facts and circumstances of the litigation or claim, including an estimable range, if possible.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Immunovant Securities Litigation</w:t>
      </w:r>
    </w:p>
    <w:p>
      <w:pPr>
        <w:spacing w:after="0" w:line="121" w:lineRule="exact"/>
        <w:rPr>
          <w:sz w:val="20"/>
          <w:szCs w:val="20"/>
          <w:color w:val="auto"/>
        </w:rPr>
      </w:pPr>
    </w:p>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t>In February 2021, a putative securities class action complaint was filed against Immunovant and certain of its current and former officers in the U.S. District Court for the Eastern District of New York on behalf of a class consisting of those who acquired Immunovant’s securities from October 2, 2019 and February 1, 2021. The complaint alleged that Immunovant and certain of its officers violated Sections 10(b) and 20(a) of the Securities Exchange Act of 1934, as amended, by making false and misleading statements regarding the safety of batoclimab and sought unspecified monetary damages on behalf of the putative class and an award of costs and expenses, including reasonable attorneys’ fees. On December 29, 2021, the U.S. District Court appointed a lead plaintiff. On February 1, 2022, the lead plaintiff filed an amended complaint adding both (i) the Company and</w:t>
      </w:r>
    </w:p>
    <w:p>
      <w:pPr>
        <w:spacing w:after="0" w:line="5" w:lineRule="exact"/>
        <w:rPr>
          <w:sz w:val="20"/>
          <w:szCs w:val="20"/>
          <w:color w:val="auto"/>
        </w:rPr>
      </w:pPr>
    </w:p>
    <w:p>
      <w:pPr>
        <w:ind w:left="4" w:right="200" w:hanging="4"/>
        <w:spacing w:after="0" w:line="260"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Immunovant’s directors and underwriters as defendants, and asserting additional claims under Section 11, 12(a)(2), and 15 of the Securities Act of 1933, as amended, on behalf of a putative class consisting of those who purchased or otherwise acquired Immunovant’s securities pursuant and/or</w:t>
      </w:r>
    </w:p>
    <w:p>
      <w:pPr>
        <w:sectPr>
          <w:pgSz w:w="11900" w:h="16838" w:orient="portrait"/>
          <w:cols w:equalWidth="0" w:num="1">
            <w:col w:w="11004"/>
          </w:cols>
          <w:pgMar w:left="436" w:top="293" w:right="459" w:bottom="1440" w:gutter="0" w:footer="0" w:header="0"/>
        </w:sectPr>
      </w:pPr>
    </w:p>
    <w:bookmarkStart w:id="25" w:name="page26"/>
    <w:bookmarkEnd w:id="25"/>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traceable to Immunovant’s follow-on public offering on or about September 2, 2020. On March 15, 2022, the lead plaintiff filed a further amended complaint. On May 27, 2022, the defendants, including the Company, filed motions to dismiss that amended complaint. The fully briefed motion to dismiss, including defendants’ opening briefs, lead plaintiff’s opposition and defendants’ replies must be filed with the court or before September 9, 2022. The Company intends to continue to vigorously defend the case and has not recorded a liability related to this lawsuit because, at this time, the Company is unable to reasonably estimate possible losses or determine whether an unfavorable outcome is either probable or remote.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Acuitas Declaratory Judgment Action</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In March 2022, Acuitas Therapeutics Inc. filed a lawsuit in the U.S. District Court for the Southern District of New York against two of the Company’s affiliates, Genevant and Arbutus, seeking a declaratory judgment that U.S. Patents 8,058,069, 8,492,359, 8,822,668, 9,006,417, 9,364,435, 9,404,127, 9,504,651, 9,518,272 and 11,141,378 are not infringed by the manufacture, use, offer for sale, sale or importation into the United States of COMIRNATY, Pfizer’s and BioNTech’s vaccine for COVID-19 and are otherwise invalid. On June 24, 2022, Genevant and Arbutus informed the court of their intent to file a motion to dismiss the lawsuit for lack of an actual controversy. Each of Genevant and Arbutus intend to continue to vigorously defend the case.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Indemnification Agreements</w:t>
      </w:r>
    </w:p>
    <w:p>
      <w:pPr>
        <w:spacing w:after="0" w:line="121"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The Company is a party to a number of agreements entered into in the ordinary course of business that contain typical provisions that obligate the Company to indemnify the other parties to such agreements upon the occurrence of certain events. The aggregate maximum potential future liability of the Company under such indemnification provisions is uncertain. The Company also indemnifies each of its directors and officers for certain events or occurrences, subject to certain limits. The maximum amount of potential future indemnification is unlimited; however, the Company currently maintain director and officer liability insurance, which may cover certain liabilities arising from the Company’s obligation to indemnify its directors. To date, the Company has not incurred any material costs related to these indemnification obligations and have not accrued any liabilities related to such obligations in the condensed consolidated financial statements as of June 30, 2022 and March 31,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11—Earn-Out Shares, Public Warrants and Private Placement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Business Combination, the Company issued the following:</w:t>
      </w:r>
    </w:p>
    <w:p>
      <w:pPr>
        <w:spacing w:after="0" w:line="131" w:lineRule="exact"/>
        <w:rPr>
          <w:sz w:val="20"/>
          <w:szCs w:val="20"/>
          <w:color w:val="auto"/>
        </w:rPr>
      </w:pPr>
    </w:p>
    <w:p>
      <w:pPr>
        <w:jc w:val="both"/>
        <w:ind w:left="960" w:right="100" w:hanging="532"/>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2,033,591 common shares to Patient Square Capital LLC (the “MAAC Sponsor”) and 10,000 common shares issued to each of MAAC’s independent directors (collectively, the “20% Earn-Out Shares”), which will vest if the closing price of the Company’s common shares is greater than or equal to $15.00 over any twenty out of thirty trading day period during the Vesting Period (defined below).</w:t>
      </w:r>
    </w:p>
    <w:p>
      <w:pPr>
        <w:spacing w:after="0" w:line="81" w:lineRule="exact"/>
        <w:rPr>
          <w:rFonts w:ascii="Times New Roman" w:cs="Times New Roman" w:eastAsia="Times New Roman" w:hAnsi="Times New Roman"/>
          <w:sz w:val="18"/>
          <w:szCs w:val="18"/>
          <w:color w:val="auto"/>
        </w:rPr>
      </w:pPr>
    </w:p>
    <w:p>
      <w:pPr>
        <w:ind w:left="960" w:right="100" w:hanging="532"/>
        <w:spacing w:after="0" w:line="261"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1,016,796 common shares issued to the MAAC Sponsor and 5,000 common shares issued to each of MAAC’s independent directors (collectively, the “10% Earn-Out Shares” and, together with the 20% Earn-Out Shares, the “Earn-Out Shares”), each in respect of its MAAC Class B Shares, will vest if the closing price of the Company’s common shares is greater than or equal to $20.00 over any twenty out of thirty trading day period during the Vesting Period (as defined below).</w:t>
      </w:r>
    </w:p>
    <w:p>
      <w:pPr>
        <w:spacing w:after="0" w:line="85"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number of common shares issued to the MAAC Sponsor and each of MAAC’s independent director are not subject to the vesting conditions described above (the “Retained Shares”).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Vesting Period commenced on November 9, 2021 and ends no later than September 30, 2026 (the “Vesting Period”). The Vesting Period will, if a definitive purchase agreement with respect to a Sale (as defined in the Sponsor Support Agreement) is entered into on or prior to the end of such period, be extended to the earlier of one day after the consummation of such Sale and the termination of such definitive transaction agreement, and if a Sale occurs during such Vesting Period, then all of the Earn-Out Shares unvested as of such time will automatically vest immediately prior to the consummation of such Sale. If any Earn-Out Shares have not vested on or prior to the end of such Vesting Period, then such Earn-Out Shares will be forfeited.</w:t>
      </w:r>
    </w:p>
    <w:p>
      <w:pPr>
        <w:sectPr>
          <w:pgSz w:w="11900" w:h="16838" w:orient="portrait"/>
          <w:cols w:equalWidth="0" w:num="1">
            <w:col w:w="10940"/>
          </w:cols>
          <w:pgMar w:left="440" w:top="297" w:right="519" w:bottom="1440" w:gutter="0" w:footer="0" w:header="0"/>
        </w:sectPr>
      </w:pPr>
    </w:p>
    <w:bookmarkStart w:id="26" w:name="page27"/>
    <w:bookmarkEnd w:id="26"/>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Earn-Out Shares require liability classification and are classified as “Liability instruments measured at fair value” on the condensed consolidated balance sheets. The Earn-Out Shares liability is subject to remeasurement at each balance sheet date with changes in fair value recognized in the Company’s statement of operations. As of June 30, 2022, no Earn-Out Shares have vested.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Immediately following the Business Combination, the Company had 10,214,365 outstanding warrants for the purchase of one of the Company’s common shares, which were held by the MAAC Sponsor at an exercise price of $11.50 (the “Private Placement Warrants”), and 20,535,896 outstanding warrants for the purchase of one of the Company’s common shares, which were held by MAAC’s shareholders at an exercise price of $11.50 (the “Public Warrants”). Pursuant to the agreement governing these warrants, the Private Placement Warrants and Public Warrants became exercisable 30 days following the completion of the Business Combination and will expire five years after the completion of the Business Combination, or earlier upon redemption or liquidation.</w:t>
      </w:r>
    </w:p>
    <w:p>
      <w:pPr>
        <w:spacing w:after="0" w:line="18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generally identical to the Public Warrants, except that (i) the Private Placement Warrants (including the common stock issuable upon exercise of the Private Placement Warrants) were not transferable, assignable or salable until 30 days after the completion of the Business Combination (ii) they will not be redeemable by the Company when the price per share of the Company’s common stock equals or exceeds $18.00, and (iii) the Private Placement Warrants may be exercised by holders on a cashless basis. If the Private Placement Warrants are held by holders other than the MAAC Sponsor or its permitted transferees, the Private Placement Warrants will be redeemable by the Company in all redemption scenarios and exercisable by the holders on the same basis as the Public Warrants.</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Private Placement Warrants and Public Warrants require liability classification and are classified as “Liability instruments measured at fair value” on the condensed consolidated balance sheets. The Private Placement Warrants liability and Public Warrants liability are subject to remeasurement at each balance sheet date with changes in fair value recognized in the Company’s statement of operations. As of June 30, 2022, 60,021 Public Warrants have been exercised and none redeemed.</w:t>
      </w:r>
    </w:p>
    <w:p>
      <w:pPr>
        <w:sectPr>
          <w:pgSz w:w="11900" w:h="16838" w:orient="portrait"/>
          <w:cols w:equalWidth="0" w:num="1">
            <w:col w:w="10960"/>
          </w:cols>
          <w:pgMar w:left="440" w:top="297" w:right="49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Note 12—Fair Value Measurements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are measured at fair value on a recurring basis as of June 30,</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2022 and March 31, 2022, by level, within the fair value hierarchy (in thousands):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976,592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976,592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1,297,844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1,297,844</w:t>
            </w:r>
          </w:p>
        </w:tc>
        <w:tc>
          <w:tcPr>
            <w:tcW w:w="0" w:type="dxa"/>
            <w:vAlign w:val="bottom"/>
          </w:tcPr>
          <w:p>
            <w:pPr>
              <w:spacing w:after="0"/>
              <w:rPr>
                <w:sz w:val="1"/>
                <w:szCs w:val="1"/>
                <w:color w:val="auto"/>
              </w:rPr>
            </w:pPr>
          </w:p>
        </w:tc>
      </w:tr>
      <w:tr>
        <w:trPr>
          <w:trHeight w:val="76"/>
        </w:trPr>
        <w:tc>
          <w:tcPr>
            <w:tcW w:w="3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Datavant Class A units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186,944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193,963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193,963</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Sio common shares</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12,447</w:t>
            </w:r>
          </w:p>
        </w:tc>
        <w:tc>
          <w:tcPr>
            <w:tcW w:w="14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12,447</w:t>
            </w:r>
          </w:p>
        </w:tc>
        <w:tc>
          <w:tcPr>
            <w:tcW w:w="0" w:type="dxa"/>
            <w:vAlign w:val="bottom"/>
          </w:tcPr>
          <w:p>
            <w:pPr>
              <w:spacing w:after="0"/>
              <w:rPr>
                <w:sz w:val="1"/>
                <w:szCs w:val="1"/>
                <w:color w:val="auto"/>
              </w:rPr>
            </w:pPr>
          </w:p>
        </w:tc>
      </w:tr>
      <w:tr>
        <w:trPr>
          <w:trHeight w:val="76"/>
        </w:trPr>
        <w:tc>
          <w:tcPr>
            <w:tcW w:w="3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Arbutus common shares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105,277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105,277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115,765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115,765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3,659</w:t>
            </w: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1,090,935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186,944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1,277,879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1,429,715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193,963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1,623,678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issued by Dermavant to NovaQuest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228,000</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177,400</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177,400</w:t>
            </w:r>
          </w:p>
        </w:tc>
        <w:tc>
          <w:tcPr>
            <w:tcW w:w="0" w:type="dxa"/>
            <w:vAlign w:val="bottom"/>
          </w:tcPr>
          <w:p>
            <w:pPr>
              <w:spacing w:after="0"/>
              <w:rPr>
                <w:sz w:val="1"/>
                <w:szCs w:val="1"/>
                <w:color w:val="auto"/>
              </w:rPr>
            </w:pPr>
          </w:p>
        </w:tc>
      </w:tr>
      <w:tr>
        <w:trPr>
          <w:trHeight w:val="216"/>
        </w:trPr>
        <w:tc>
          <w:tcPr>
            <w:tcW w:w="3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Liability instruments measured at fair value</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18,019</w:t>
            </w: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44,912</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243,895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256,181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204,293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100" w:hanging="424"/>
        <w:spacing w:after="0" w:line="243" w:lineRule="auto"/>
        <w:tabs>
          <w:tab w:leader="none" w:pos="424"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At June 30, 2022, Level 1 includes the fair value of the Public Warrants of $12.3 million, and Level 3 includes the fair value of the Earn-Out Shares of $7.2 million, Private Placement Warrants of $6.1 million, and other liability instruments issued of $2.6 million. At March 31, 2022, Level 1 includes the fair value of the Public Warrants of $18.0 million, and Level 3 includes the fair value of the Earn-Out Shares of $9.2 million, Private Placement Warrants of $9.1 million, and other liability instruments issued of $8.6 million.</w:t>
      </w:r>
    </w:p>
    <w:p>
      <w:pPr>
        <w:spacing w:after="0" w:line="195"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There were no transfers of assets between Level 1 and Level 2 of the fair value measurement hierarchy that occurred during the three months ended June 30, 2022.</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Level 3 Disclosures</w:t>
      </w:r>
    </w:p>
    <w:p>
      <w:pPr>
        <w:spacing w:after="0" w:line="121"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measures its Level 3 assets and liabilities at fair value based on significant inputs not observable in the market, which causes them to be classified as a Level 3 measurement within the fair value hierarchy. The valuation of the Level 3 assets and liabilities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related to updated assumptions and estimates are recorded within the statements of operations at the end of each reporting period.</w:t>
      </w:r>
    </w:p>
    <w:p>
      <w:pPr>
        <w:spacing w:after="0" w:line="183"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The fair value of Level 3 assets and liabilities may change significantly as additional data are obtained, impacting the Company’s assumptions regarding probabilities of potential scenarios used to estimate fair value. In evaluating this information, considerable judgment is required to interpret the data used to develop the 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sectPr>
          <w:pgSz w:w="11900" w:h="16838" w:orient="portrait"/>
          <w:cols w:equalWidth="0" w:num="1">
            <w:col w:w="11024"/>
          </w:cols>
          <w:pgMar w:left="436" w:top="293" w:right="43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changes in fair value of the Level 3 assets during the three months ended June 30, 2022 were as follows (in thousands):</w:t>
      </w:r>
    </w:p>
    <w:p>
      <w:pPr>
        <w:spacing w:after="0" w:line="270"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$193,963</w:t>
            </w: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investment in Datavant, included in net loss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(7,019)</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186,944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Level 3 assets held during the three months ended June 30, 2021.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fair value of the Level 3 liabilities during the three months ended June 30, 2022 and 2021 were as follows (in thousands):</w:t>
      </w:r>
    </w:p>
    <w:p>
      <w:pPr>
        <w:spacing w:after="0" w:line="270"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$217,993</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debt and liability instruments, included in net loss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4,585</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of DSP Options</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(61,472)</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161,106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$204,293</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Payments related to long-term debt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(7,344)</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debt and liability instruments, included in net loss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46,946</w:t>
            </w:r>
          </w:p>
        </w:tc>
        <w:tc>
          <w:tcPr>
            <w:tcW w:w="80" w:type="dxa"/>
            <w:vAlign w:val="bottom"/>
            <w:shd w:val="clear" w:color="auto" w:fill="CCEEFF"/>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243,895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Datavant</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investment in Datavant. The estimate of fair value for this investment was determined using the income approach and implementation of the option pricing method (“OPM”). The OPM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 shall be distributed among the various ownership classes at a future date. The fair value was calculated using significant unobservable inputs including the following:</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3760" w:type="dxa"/>
            <w:vAlign w:val="bottom"/>
            <w:gridSpan w:val="4"/>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Point Estimate Used</w:t>
            </w:r>
          </w:p>
        </w:tc>
        <w:tc>
          <w:tcPr>
            <w:tcW w:w="0" w:type="dxa"/>
            <w:vAlign w:val="bottom"/>
          </w:tcPr>
          <w:p>
            <w:pPr>
              <w:spacing w:after="0"/>
              <w:rPr>
                <w:sz w:val="1"/>
                <w:szCs w:val="1"/>
                <w:color w:val="auto"/>
              </w:rPr>
            </w:pPr>
          </w:p>
        </w:tc>
      </w:tr>
      <w:tr>
        <w:trPr>
          <w:trHeight w:val="128"/>
        </w:trPr>
        <w:tc>
          <w:tcPr>
            <w:tcW w:w="4600" w:type="dxa"/>
            <w:vAlign w:val="bottom"/>
            <w:gridSpan w:val="2"/>
            <w:vMerge w:val="continue"/>
          </w:tcPr>
          <w:p>
            <w:pPr>
              <w:spacing w:after="0"/>
              <w:rPr>
                <w:sz w:val="11"/>
                <w:szCs w:val="11"/>
                <w:color w:val="auto"/>
              </w:rPr>
            </w:pPr>
          </w:p>
        </w:tc>
        <w:tc>
          <w:tcPr>
            <w:tcW w:w="2260" w:type="dxa"/>
            <w:vAlign w:val="bottom"/>
            <w:tcBorders>
              <w:top w:val="single" w:sz="8" w:color="auto"/>
            </w:tcBorders>
            <w:gridSpan w:val="2"/>
          </w:tcPr>
          <w:p>
            <w:pPr>
              <w:jc w:val="right"/>
              <w:ind w:right="1060"/>
              <w:spacing w:after="0" w:line="129" w:lineRule="exact"/>
              <w:rPr>
                <w:sz w:val="20"/>
                <w:szCs w:val="20"/>
                <w:color w:val="auto"/>
              </w:rPr>
            </w:pPr>
            <w:r>
              <w:rPr>
                <w:rFonts w:ascii="Times New Roman" w:cs="Times New Roman" w:eastAsia="Times New Roman" w:hAnsi="Times New Roman"/>
                <w:sz w:val="14"/>
                <w:szCs w:val="14"/>
                <w:b w:val="1"/>
                <w:bCs w:val="1"/>
                <w:color w:val="auto"/>
              </w:rPr>
              <w:t>As of June 30, 2022</w:t>
            </w:r>
          </w:p>
        </w:tc>
        <w:tc>
          <w:tcPr>
            <w:tcW w:w="1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As of March 31, 2022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40" w:type="dxa"/>
            <w:vAlign w:val="bottom"/>
            <w:shd w:val="clear" w:color="auto" w:fill="000000"/>
          </w:tcPr>
          <w:p>
            <w:pPr>
              <w:spacing w:after="0"/>
              <w:rPr>
                <w:sz w:val="2"/>
                <w:szCs w:val="2"/>
                <w:color w:val="auto"/>
              </w:rPr>
            </w:pPr>
          </w:p>
        </w:tc>
        <w:tc>
          <w:tcPr>
            <w:tcW w:w="42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95.0%</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2.93%</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issued by Dermavant to NovaQuest</w:t>
      </w:r>
    </w:p>
    <w:p>
      <w:pPr>
        <w:spacing w:after="0" w:line="12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debt instrument as of June 30, 2022 and March 31, 2022 represents the fair value of amounts payable to NovaQuest using the Monte Carlo simulation method under the income approach determined by using probability assessments of the expected future payments through 2032. The future payments are based on significant inputs that are not observable in the market which are subject to remeasurement at each reporting date. The estimates of fair value may not be indicative of the amounts that could ultimately be paid by Dermavant to NovaQuest.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Shares</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Earn-Out Shares issued as part of the Business Combination was calculated using the Monte Carlo simulation method under the income approach. The model was structured to include the lock-up periods to which the Earn-Out Shares are subject. Refer to Note 11, “Earn-Out Shares, Public Warrants and Private Placement Warrants” for additional details. Significant unobservable inputs used to calculate the fair value of the Earn-Out Shares included the following:</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3740" w:type="dxa"/>
            <w:vAlign w:val="bottom"/>
            <w:gridSpan w:val="4"/>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Point Estimate Used</w:t>
            </w:r>
          </w:p>
        </w:tc>
        <w:tc>
          <w:tcPr>
            <w:tcW w:w="0" w:type="dxa"/>
            <w:vAlign w:val="bottom"/>
          </w:tcPr>
          <w:p>
            <w:pPr>
              <w:spacing w:after="0"/>
              <w:rPr>
                <w:sz w:val="1"/>
                <w:szCs w:val="1"/>
                <w:color w:val="auto"/>
              </w:rPr>
            </w:pPr>
          </w:p>
        </w:tc>
      </w:tr>
      <w:tr>
        <w:trPr>
          <w:trHeight w:val="129"/>
        </w:trPr>
        <w:tc>
          <w:tcPr>
            <w:tcW w:w="4620" w:type="dxa"/>
            <w:vAlign w:val="bottom"/>
            <w:gridSpan w:val="2"/>
            <w:vMerge w:val="continue"/>
          </w:tcPr>
          <w:p>
            <w:pPr>
              <w:spacing w:after="0"/>
              <w:rPr>
                <w:sz w:val="11"/>
                <w:szCs w:val="11"/>
                <w:color w:val="auto"/>
              </w:rPr>
            </w:pPr>
          </w:p>
        </w:tc>
        <w:tc>
          <w:tcPr>
            <w:tcW w:w="2240" w:type="dxa"/>
            <w:vAlign w:val="bottom"/>
            <w:tcBorders>
              <w:top w:val="single" w:sz="8" w:color="auto"/>
            </w:tcBorders>
            <w:gridSpan w:val="2"/>
          </w:tcPr>
          <w:p>
            <w:pPr>
              <w:jc w:val="right"/>
              <w:ind w:right="1060"/>
              <w:spacing w:after="0" w:line="129" w:lineRule="exact"/>
              <w:rPr>
                <w:sz w:val="20"/>
                <w:szCs w:val="20"/>
                <w:color w:val="auto"/>
              </w:rPr>
            </w:pPr>
            <w:r>
              <w:rPr>
                <w:rFonts w:ascii="Times New Roman" w:cs="Times New Roman" w:eastAsia="Times New Roman" w:hAnsi="Times New Roman"/>
                <w:sz w:val="14"/>
                <w:szCs w:val="14"/>
                <w:b w:val="1"/>
                <w:bCs w:val="1"/>
                <w:color w:val="auto"/>
              </w:rPr>
              <w:t>As of June 30, 2022</w:t>
            </w:r>
          </w:p>
        </w:tc>
        <w:tc>
          <w:tcPr>
            <w:tcW w:w="1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As of March 31, 2022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Volatility</w:t>
            </w:r>
          </w:p>
        </w:tc>
        <w:tc>
          <w:tcPr>
            <w:tcW w:w="2240" w:type="dxa"/>
            <w:vAlign w:val="bottom"/>
            <w:gridSpan w:val="2"/>
            <w:shd w:val="clear" w:color="auto" w:fill="CCEEFF"/>
          </w:tcPr>
          <w:p>
            <w:pPr>
              <w:jc w:val="right"/>
              <w:ind w:right="900"/>
              <w:spacing w:after="0" w:line="203" w:lineRule="exact"/>
              <w:rPr>
                <w:sz w:val="20"/>
                <w:szCs w:val="20"/>
                <w:color w:val="auto"/>
              </w:rPr>
            </w:pPr>
            <w:r>
              <w:rPr>
                <w:rFonts w:ascii="Times New Roman" w:cs="Times New Roman" w:eastAsia="Times New Roman" w:hAnsi="Times New Roman"/>
                <w:sz w:val="18"/>
                <w:szCs w:val="18"/>
                <w:color w:val="auto"/>
              </w:rPr>
              <w:t>82.1%</w:t>
            </w:r>
          </w:p>
        </w:tc>
        <w:tc>
          <w:tcPr>
            <w:tcW w:w="15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3.00%</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29" w:name="page30"/>
    <w:bookmarkEnd w:id="29"/>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 of June 30, 2022, the fair value of the Earn-Out Shares was $7.2 million. Earn-Out Shares are included in “Liability instruments measured at fair value” in the accompanying condensed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The fair value of the Private Placement Warrants issued as part of the Business Combination was calculated using the Monte Carlo simulation method under the income approach. The model was structured to incorporate the redemption features as discussed in Note 11, “Earn-Out Shares, Public Warrants and Private Placement Warrants” and the added restriction by which the Company cannot redeem the Private Warrants if the Reference Value is greater than $18.00. Significant unobservable inputs used to calculate the fair value of the Private Placement Warrants included the following:</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368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Point Estimate Used</w:t>
            </w:r>
          </w:p>
        </w:tc>
        <w:tc>
          <w:tcPr>
            <w:tcW w:w="0" w:type="dxa"/>
            <w:vAlign w:val="bottom"/>
          </w:tcPr>
          <w:p>
            <w:pPr>
              <w:spacing w:after="0"/>
              <w:rPr>
                <w:sz w:val="1"/>
                <w:szCs w:val="1"/>
                <w:color w:val="auto"/>
              </w:rPr>
            </w:pPr>
          </w:p>
        </w:tc>
      </w:tr>
      <w:tr>
        <w:trPr>
          <w:trHeight w:val="128"/>
        </w:trPr>
        <w:tc>
          <w:tcPr>
            <w:tcW w:w="4680" w:type="dxa"/>
            <w:vAlign w:val="bottom"/>
            <w:gridSpan w:val="2"/>
            <w:vMerge w:val="continue"/>
          </w:tcPr>
          <w:p>
            <w:pPr>
              <w:spacing w:after="0"/>
              <w:rPr>
                <w:sz w:val="11"/>
                <w:szCs w:val="11"/>
                <w:color w:val="auto"/>
              </w:rPr>
            </w:pPr>
          </w:p>
        </w:tc>
        <w:tc>
          <w:tcPr>
            <w:tcW w:w="22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 of June 30, 2022</w:t>
            </w:r>
          </w:p>
        </w:tc>
        <w:tc>
          <w:tcPr>
            <w:tcW w:w="13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 of March 31, 2022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Volatility</w:t>
            </w:r>
          </w:p>
        </w:tc>
        <w:tc>
          <w:tcPr>
            <w:tcW w:w="2220" w:type="dxa"/>
            <w:vAlign w:val="bottom"/>
            <w:gridSpan w:val="2"/>
            <w:shd w:val="clear" w:color="auto" w:fill="CCEEFF"/>
          </w:tcPr>
          <w:p>
            <w:pPr>
              <w:ind w:left="880"/>
              <w:spacing w:after="0" w:line="203" w:lineRule="exact"/>
              <w:rPr>
                <w:sz w:val="20"/>
                <w:szCs w:val="20"/>
                <w:color w:val="auto"/>
              </w:rPr>
            </w:pPr>
            <w:r>
              <w:rPr>
                <w:rFonts w:ascii="Times New Roman" w:cs="Times New Roman" w:eastAsia="Times New Roman" w:hAnsi="Times New Roman"/>
                <w:sz w:val="18"/>
                <w:szCs w:val="18"/>
                <w:color w:val="auto"/>
              </w:rPr>
              <w:t>56.0%</w:t>
            </w:r>
          </w:p>
        </w:tc>
        <w:tc>
          <w:tcPr>
            <w:tcW w:w="146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w w:val="94"/>
              </w:rPr>
              <w:t>56.5%</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3.00%</w:t>
            </w:r>
          </w:p>
        </w:tc>
        <w:tc>
          <w:tcPr>
            <w:tcW w:w="14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4"/>
              </w:rPr>
              <w:t>2.43%</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2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4.25</w:t>
            </w:r>
          </w:p>
        </w:tc>
        <w:tc>
          <w:tcPr>
            <w:tcW w:w="14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the fair value of the Private Placement Warrants was $6.1 million. The Private Placement Warrants are included in “Liability instruments measured at fair value” in the accompanying condensed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13—Other Expense (Income), Net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expense (income), net was as follows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42"/>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2,513</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(2,576)</w:t>
            </w: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14—Net Loss per Common Share</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Roivant Sciences Ltd. by the weighted-average number of common stock outstanding during the period. Diluted net loss per common share is computed by dividing the net loss attributable to Roivant Sciences Ltd. by the diluted weighted-average number of common stock outstanding during the period.</w:t>
      </w:r>
    </w:p>
    <w:p>
      <w:pPr>
        <w:sectPr>
          <w:pgSz w:w="11900" w:h="16838" w:orient="portrait"/>
          <w:cols w:equalWidth="0" w:num="1">
            <w:col w:w="10940"/>
          </w:cols>
          <w:pgMar w:left="440" w:top="297" w:right="519" w:bottom="1440" w:gutter="0" w:footer="0" w:header="0"/>
        </w:sectPr>
      </w:pPr>
    </w:p>
    <w:bookmarkStart w:id="30" w:name="page31"/>
    <w:bookmarkEnd w:id="30"/>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 periods of loss, diluted loss per share is calculated similar to basic loss per share as the effect of including all potentially dilutive common stock equivalents is anti-dilutive. All outstanding common stock equivalents have been excluded from the computation of diluted loss per share because their effect was anti-dilutive due to the net loss.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of June 30, 2022 and 2021, potentially dilutive securities were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performance stock options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154,298,546</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80,491,345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and performance stock units (non-vested)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26,423,932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24,324,525</w:t>
            </w:r>
          </w:p>
        </w:tc>
      </w:tr>
      <w:tr>
        <w:trPr>
          <w:trHeight w:val="216"/>
        </w:trPr>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March 2020 CVARs</w:t>
            </w:r>
            <w:r>
              <w:rPr>
                <w:rFonts w:ascii="Times New Roman" w:cs="Times New Roman" w:eastAsia="Times New Roman" w:hAnsi="Times New Roman"/>
                <w:sz w:val="22"/>
                <w:szCs w:val="22"/>
                <w:color w:val="auto"/>
                <w:vertAlign w:val="superscript"/>
              </w:rPr>
              <w:t>(1)</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32,011,996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32,447,626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2021 CVARs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4,431,637</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common stock (non-vested)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456,426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1,720,090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 (non-vested)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3,080,387</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10,214,365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20,475,875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instruments issued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5,067,978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5,452,793</w:t>
            </w:r>
          </w:p>
        </w:tc>
      </w:tr>
    </w:tbl>
    <w:p>
      <w:pPr>
        <w:spacing w:after="0" w:line="206"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Refer to Note 8, “Share-Based Compensation” for details regarding settlement of CVARs.</w:t>
      </w:r>
    </w:p>
    <w:p>
      <w:pPr>
        <w:sectPr>
          <w:pgSz w:w="11900" w:h="16838" w:orient="portrait"/>
          <w:cols w:equalWidth="0" w:num="1">
            <w:col w:w="10944"/>
          </w:cols>
          <w:pgMar w:left="436" w:top="297" w:right="519" w:bottom="1440" w:gutter="0" w:footer="0" w:header="0"/>
        </w:sectPr>
      </w:pPr>
    </w:p>
    <w:bookmarkStart w:id="31" w:name="page32"/>
    <w:bookmarkEnd w:id="31"/>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The following discussion and analysis of Roivant’s financial condition and results of operations should be read in conjunction with Roivant’s</w:t>
      </w:r>
    </w:p>
    <w:p>
      <w:pPr>
        <w:spacing w:after="0" w:line="29" w:lineRule="exact"/>
        <w:rPr>
          <w:sz w:val="20"/>
          <w:szCs w:val="20"/>
          <w:color w:val="auto"/>
        </w:rPr>
      </w:pPr>
    </w:p>
    <w:p>
      <w:pPr>
        <w:ind w:left="4" w:right="60" w:hanging="4"/>
        <w:spacing w:after="0" w:line="252" w:lineRule="auto"/>
        <w:tabs>
          <w:tab w:leader="none" w:pos="259"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unaudited condensed consolidated financial statements and notes to those statements included in this Quarterly Report on Form 10-Q (“Quarterly Report”) and (2) audited consolidated financial statements and notes to those statements and management’s discussion and analysis of financial condition and results of operations for the fiscal year ended March 31, 2022, included in our Annual Report on Form 10-K, filed with the SEC on June 28, 2022 (the “Form 10-K”). Certain information contained in the discussion and analysis set forth below includes forward-looking statements that involve risks and uncertainties. Roivant’s actual results may differ materially from those anticipated in these forward-looking statements as a result of many factors. Please see “Cautionary Statement Regarding Forward-Looking Statements” and “Risk Factors” in this Quarterly Report. Our fiscal year ends on March 31 and our fiscal quarters end on June 30, September 30 and December 31.</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We are building the next-generation “big pharma” company, organized to harness modern technologies and computational tools as well as the entrepreneurial spirit of nimble biotechnology companies at scale. Our mission is improve the delivery of healthcare to patients by treating every inefficiency as an opportunity.</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176"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leading computational physics and machine learning (“ML”) capabilities for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drug design.</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We develop drugs and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the Roivant platform and technologies that are built to address inefficiencies in the drug discovery, development and commercialization process.</w:t>
      </w:r>
    </w:p>
    <w:p>
      <w:pPr>
        <w:spacing w:after="0" w:line="180"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Our agile Vant model has allowed us to rapidly add capabilities in diverse therapeutic areas, including immunology, dermatology and oncology, and modalities, including biologics, topicals and bifunctional small molecules. We have launched and taken public multiple Vants, resulting in an aggregate ownership stake of approximately $451 million in our publicly-traded Vants as of June 30, 2022 (inclusive of the value of certain shares of Myovant Sciences Ltd. as to which Roivant has a return right under certain circumstances).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Since our founding in 2014, we have:</w:t>
      </w:r>
    </w:p>
    <w:p>
      <w:pPr>
        <w:spacing w:after="0" w:line="131" w:lineRule="exact"/>
        <w:rPr>
          <w:sz w:val="20"/>
          <w:szCs w:val="20"/>
          <w:color w:val="auto"/>
        </w:rPr>
      </w:pPr>
    </w:p>
    <w:p>
      <w:pPr>
        <w:ind w:left="1424" w:hanging="439"/>
        <w:spacing w:after="0"/>
        <w:tabs>
          <w:tab w:leader="none" w:pos="1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launched VTAMA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(tapinarof) cream 1% for the treatment of plaque psoriasis in adults;</w:t>
      </w:r>
    </w:p>
    <w:p>
      <w:pPr>
        <w:spacing w:after="0" w:line="8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nine international Phase 3 trials, the last eight of which have been successful;</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consummated a $3 billion upfront partnership with Sumitomo Pharma (“Sumitomo”);</w:t>
      </w:r>
    </w:p>
    <w:p>
      <w:pPr>
        <w:spacing w:after="0" w:line="130" w:lineRule="exact"/>
        <w:rPr>
          <w:rFonts w:ascii="Times New Roman" w:cs="Times New Roman" w:eastAsia="Times New Roman" w:hAnsi="Times New Roman"/>
          <w:sz w:val="18"/>
          <w:szCs w:val="18"/>
          <w:color w:val="auto"/>
        </w:rPr>
      </w:pPr>
    </w:p>
    <w:p>
      <w:pPr>
        <w:ind w:left="1424" w:right="340" w:hanging="439"/>
        <w:spacing w:after="0" w:line="282" w:lineRule="auto"/>
        <w:tabs>
          <w:tab w:leader="none" w:pos="1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six FDA approvals for drugs developed by Vants launched by Roivant, including VTAMA and four drugs that received FDA approval after their transfer to Sumitomo;</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a broad and differentiated pipeline of drugs and drug candidates ranging from early discovery to commercial stage; and</w:t>
      </w:r>
    </w:p>
    <w:p>
      <w:pPr>
        <w:spacing w:after="0" w:line="130" w:lineRule="exact"/>
        <w:rPr>
          <w:rFonts w:ascii="Times New Roman" w:cs="Times New Roman" w:eastAsia="Times New Roman" w:hAnsi="Times New Roman"/>
          <w:sz w:val="18"/>
          <w:szCs w:val="18"/>
          <w:color w:val="auto"/>
        </w:rPr>
      </w:pPr>
    </w:p>
    <w:p>
      <w:pPr>
        <w:ind w:left="1424" w:right="320" w:hanging="439"/>
        <w:spacing w:after="0" w:line="282" w:lineRule="auto"/>
        <w:tabs>
          <w:tab w:leader="none" w:pos="1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Roivant Discovery, our small molecule discovery engine, consisting of a collection of advanced computational physics capabilities, integrated with an in-house wet lab facility.</w:t>
      </w:r>
    </w:p>
    <w:p>
      <w:pPr>
        <w:sectPr>
          <w:pgSz w:w="11900" w:h="16838" w:orient="portrait"/>
          <w:cols w:equalWidth="0" w:num="1">
            <w:col w:w="10984"/>
          </w:cols>
          <w:pgMar w:left="436" w:top="293" w:right="47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summarizes selected commercial and development-stage pipeline products and product candidates.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93"/>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Product/Product Candidate</w:t>
            </w:r>
          </w:p>
        </w:tc>
        <w:tc>
          <w:tcPr>
            <w:tcW w:w="1320" w:type="dxa"/>
            <w:vAlign w:val="bottom"/>
          </w:tcPr>
          <w:p>
            <w:pPr>
              <w:spacing w:after="0"/>
              <w:rPr>
                <w:sz w:val="16"/>
                <w:szCs w:val="16"/>
                <w:color w:val="auto"/>
              </w:rPr>
            </w:pPr>
          </w:p>
        </w:tc>
        <w:tc>
          <w:tcPr>
            <w:tcW w:w="340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0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Vant</w:t>
            </w:r>
          </w:p>
        </w:tc>
        <w:tc>
          <w:tcPr>
            <w:tcW w:w="200" w:type="dxa"/>
            <w:vAlign w:val="bottom"/>
          </w:tcPr>
          <w:p>
            <w:pPr>
              <w:spacing w:after="0"/>
              <w:rPr>
                <w:sz w:val="16"/>
                <w:szCs w:val="16"/>
                <w:color w:val="auto"/>
              </w:rPr>
            </w:pP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Modality</w:t>
            </w:r>
          </w:p>
        </w:tc>
        <w:tc>
          <w:tcPr>
            <w:tcW w:w="10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Phase</w:t>
            </w:r>
          </w:p>
        </w:tc>
      </w:tr>
      <w:tr>
        <w:trPr>
          <w:trHeight w:val="185"/>
        </w:trPr>
        <w:tc>
          <w:tcPr>
            <w:tcW w:w="17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VTAMA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(tapinarof)</w:t>
            </w:r>
          </w:p>
        </w:tc>
        <w:tc>
          <w:tcPr>
            <w:tcW w:w="1320" w:type="dxa"/>
            <w:vAlign w:val="bottom"/>
          </w:tcPr>
          <w:p>
            <w:pPr>
              <w:spacing w:after="0"/>
              <w:rPr>
                <w:sz w:val="16"/>
                <w:szCs w:val="16"/>
                <w:color w:val="auto"/>
              </w:rPr>
            </w:pPr>
          </w:p>
        </w:tc>
        <w:tc>
          <w:tcPr>
            <w:tcW w:w="32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Psoriasis</w:t>
            </w:r>
          </w:p>
        </w:tc>
        <w:tc>
          <w:tcPr>
            <w:tcW w:w="200" w:type="dxa"/>
            <w:vAlign w:val="bottom"/>
          </w:tcPr>
          <w:p>
            <w:pPr>
              <w:spacing w:after="0"/>
              <w:rPr>
                <w:sz w:val="16"/>
                <w:szCs w:val="16"/>
                <w:color w:val="auto"/>
              </w:rPr>
            </w:pPr>
          </w:p>
        </w:tc>
        <w:tc>
          <w:tcPr>
            <w:tcW w:w="10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Dermavant</w:t>
            </w:r>
          </w:p>
        </w:tc>
        <w:tc>
          <w:tcPr>
            <w:tcW w:w="200" w:type="dxa"/>
            <w:vAlign w:val="bottom"/>
          </w:tcPr>
          <w:p>
            <w:pPr>
              <w:spacing w:after="0"/>
              <w:rPr>
                <w:sz w:val="16"/>
                <w:szCs w:val="16"/>
                <w:color w:val="auto"/>
              </w:rPr>
            </w:pPr>
          </w:p>
        </w:tc>
        <w:tc>
          <w:tcPr>
            <w:tcW w:w="1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Topical</w:t>
            </w: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Commercial</w:t>
            </w:r>
          </w:p>
        </w:tc>
      </w:tr>
      <w:tr>
        <w:trPr>
          <w:trHeight w:val="216"/>
        </w:trPr>
        <w:tc>
          <w:tcPr>
            <w:tcW w:w="1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VTAMA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(tapinarof)</w:t>
            </w:r>
          </w:p>
        </w:tc>
        <w:tc>
          <w:tcPr>
            <w:tcW w:w="1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Atopic Dermatitis</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Dermavant</w:t>
            </w:r>
          </w:p>
        </w:tc>
        <w:tc>
          <w:tcPr>
            <w:tcW w:w="1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Topical</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1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Dermatomyositis</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Priovant</w:t>
            </w:r>
          </w:p>
        </w:tc>
        <w:tc>
          <w:tcPr>
            <w:tcW w:w="1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Small Molecule</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1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Systemic Lupus Erythematosus</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Priovant</w:t>
            </w:r>
          </w:p>
        </w:tc>
        <w:tc>
          <w:tcPr>
            <w:tcW w:w="1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Small Molecule</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1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Indications</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Priovant</w:t>
            </w:r>
          </w:p>
        </w:tc>
        <w:tc>
          <w:tcPr>
            <w:tcW w:w="1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Small Molecule</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Batoclimab</w:t>
            </w:r>
          </w:p>
        </w:tc>
        <w:tc>
          <w:tcPr>
            <w:tcW w:w="1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Myasthenia Gravis</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Immunovant</w:t>
            </w:r>
          </w:p>
        </w:tc>
        <w:tc>
          <w:tcPr>
            <w:tcW w:w="1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Biologic</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Batoclimab</w:t>
            </w:r>
          </w:p>
        </w:tc>
        <w:tc>
          <w:tcPr>
            <w:tcW w:w="1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Thyroid Eye Disease</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Immunovant</w:t>
            </w:r>
          </w:p>
        </w:tc>
        <w:tc>
          <w:tcPr>
            <w:tcW w:w="1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Biologic</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Batoclimab</w:t>
            </w:r>
          </w:p>
        </w:tc>
        <w:tc>
          <w:tcPr>
            <w:tcW w:w="1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Warm Autoimmune Hemolytic Anemia</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Immunovant</w:t>
            </w:r>
          </w:p>
        </w:tc>
        <w:tc>
          <w:tcPr>
            <w:tcW w:w="1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Biologic</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Phase 2 or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Batoclimab</w:t>
            </w:r>
          </w:p>
        </w:tc>
        <w:tc>
          <w:tcPr>
            <w:tcW w:w="1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Indications</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Immunovant</w:t>
            </w:r>
          </w:p>
        </w:tc>
        <w:tc>
          <w:tcPr>
            <w:tcW w:w="1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Biologic</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Phase 2 or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Namilumab</w:t>
            </w:r>
          </w:p>
        </w:tc>
        <w:tc>
          <w:tcPr>
            <w:tcW w:w="1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Sarcoidosis</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Kinevant</w:t>
            </w:r>
          </w:p>
        </w:tc>
        <w:tc>
          <w:tcPr>
            <w:tcW w:w="1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Biologic</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RVT-2001</w:t>
            </w:r>
          </w:p>
        </w:tc>
        <w:tc>
          <w:tcPr>
            <w:tcW w:w="13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Transfusion-Dependent Anemia in</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Hemavant</w:t>
            </w:r>
          </w:p>
        </w:tc>
        <w:tc>
          <w:tcPr>
            <w:tcW w:w="1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Small Molecule</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Phase 1/2</w:t>
            </w:r>
          </w:p>
        </w:tc>
      </w:tr>
      <w:tr>
        <w:trPr>
          <w:trHeight w:val="234"/>
        </w:trPr>
        <w:tc>
          <w:tcPr>
            <w:tcW w:w="1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Patients with Lower-Risk MDS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9" w:lineRule="exact"/>
        <w:rPr>
          <w:sz w:val="20"/>
          <w:szCs w:val="20"/>
          <w:color w:val="auto"/>
        </w:rPr>
      </w:pPr>
    </w:p>
    <w:p>
      <w:pPr>
        <w:ind w:left="440" w:right="60"/>
        <w:spacing w:after="0" w:line="284" w:lineRule="auto"/>
        <w:rPr>
          <w:sz w:val="20"/>
          <w:szCs w:val="20"/>
          <w:color w:val="auto"/>
        </w:rPr>
      </w:pPr>
      <w:r>
        <w:rPr>
          <w:rFonts w:ascii="Times New Roman" w:cs="Times New Roman" w:eastAsia="Times New Roman" w:hAnsi="Times New Roman"/>
          <w:sz w:val="18"/>
          <w:szCs w:val="18"/>
          <w:i w:val="1"/>
          <w:iCs w:val="1"/>
          <w:color w:val="auto"/>
        </w:rPr>
        <w:t>Note: All preclinical and clinical stage drugs in our current pipeline are investigational and subject to health authority approval. Pipeline reflects both ongoing preclinical and clinical trials and expected upcoming trials.</w:t>
      </w:r>
    </w:p>
    <w:p>
      <w:pPr>
        <w:spacing w:after="0" w:line="185" w:lineRule="exact"/>
        <w:rPr>
          <w:sz w:val="20"/>
          <w:szCs w:val="20"/>
          <w:color w:val="auto"/>
        </w:rPr>
      </w:pPr>
    </w:p>
    <w:p>
      <w:pPr>
        <w:ind w:left="760" w:hanging="332"/>
        <w:spacing w:after="0"/>
        <w:tabs>
          <w:tab w:leader="none" w:pos="7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Reflects an ongoing trial that is designed to serve as one of two potentially registrational trials for brepocitinib.</w:t>
      </w:r>
    </w:p>
    <w:p>
      <w:pPr>
        <w:spacing w:after="0" w:line="225" w:lineRule="exact"/>
        <w:rPr>
          <w:sz w:val="20"/>
          <w:szCs w:val="20"/>
          <w:color w:val="auto"/>
        </w:rPr>
      </w:pPr>
    </w:p>
    <w:p>
      <w:pPr>
        <w:ind w:right="7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small molecule discovery engine at Roivant Discovery is powered by our QUAISAR (QUantum, AI, and Structure-Activity Relationships) capabilities. The key components of our small molecule discovery engine include:</w:t>
      </w:r>
    </w:p>
    <w:p>
      <w:pPr>
        <w:spacing w:after="0" w:line="66" w:lineRule="exact"/>
        <w:rPr>
          <w:sz w:val="20"/>
          <w:szCs w:val="20"/>
          <w:color w:val="auto"/>
        </w:rPr>
      </w:pPr>
    </w:p>
    <w:p>
      <w:pPr>
        <w:ind w:left="1420" w:right="20" w:hanging="439"/>
        <w:spacing w:after="0" w:line="282" w:lineRule="auto"/>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quantum mechanics-based molecular dynamics software platform to predict the interactions, energies and conformational behavior of targets and generate novel drug candidates;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supercomputing cluster composed of over 800 graphics processing units;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suite of degrader-specific ML tools;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wet lab fully equipped for synthetic chemistry, crystallography, biophysics, biochemistry and biology.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ownership of our subsidiary companies and certain affiliates as of June 30, 2022.</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Vant</w:t>
            </w:r>
          </w:p>
        </w:tc>
        <w:tc>
          <w:tcPr>
            <w:tcW w:w="6060" w:type="dxa"/>
            <w:vAlign w:val="bottom"/>
            <w:vMerge w:val="restart"/>
          </w:tcPr>
          <w:p>
            <w:pPr>
              <w:spacing w:after="0"/>
              <w:rPr>
                <w:sz w:val="15"/>
                <w:szCs w:val="15"/>
                <w:color w:val="auto"/>
              </w:rPr>
            </w:pPr>
          </w:p>
        </w:tc>
        <w:tc>
          <w:tcPr>
            <w:tcW w:w="200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Roivant Ownership</w:t>
            </w: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Basic</w:t>
            </w:r>
            <w:r>
              <w:rPr>
                <w:rFonts w:ascii="Times New Roman" w:cs="Times New Roman" w:eastAsia="Times New Roman" w:hAnsi="Times New Roman"/>
                <w:sz w:val="8"/>
                <w:szCs w:val="8"/>
                <w:b w:val="1"/>
                <w:bCs w:val="1"/>
                <w:color w:val="auto"/>
              </w:rPr>
              <w:t>1</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Fully Diluted</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Dermavant</w:t>
            </w:r>
          </w:p>
        </w:tc>
        <w:tc>
          <w:tcPr>
            <w:tcW w:w="5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52"/>
              <w:spacing w:after="0" w:line="203"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58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22"/>
                <w:szCs w:val="22"/>
                <w:color w:val="auto"/>
                <w:vertAlign w:val="superscript"/>
              </w:rPr>
              <w:t>3</w:t>
            </w:r>
          </w:p>
        </w:tc>
        <w:tc>
          <w:tcPr>
            <w:tcW w:w="560" w:type="dxa"/>
            <w:vAlign w:val="bottom"/>
          </w:tcPr>
          <w:p>
            <w:pPr>
              <w:spacing w:after="0"/>
              <w:rPr>
                <w:sz w:val="18"/>
                <w:szCs w:val="18"/>
                <w:color w:val="auto"/>
              </w:rPr>
            </w:pPr>
          </w:p>
        </w:tc>
        <w:tc>
          <w:tcPr>
            <w:tcW w:w="860" w:type="dxa"/>
            <w:vAlign w:val="bottom"/>
          </w:tcPr>
          <w:p>
            <w:pPr>
              <w:jc w:val="right"/>
              <w:ind w:right="92"/>
              <w:spacing w:after="0" w:line="216" w:lineRule="exact"/>
              <w:rPr>
                <w:sz w:val="20"/>
                <w:szCs w:val="20"/>
                <w:color w:val="auto"/>
              </w:rPr>
            </w:pPr>
            <w:r>
              <w:rPr>
                <w:rFonts w:ascii="Times New Roman" w:cs="Times New Roman" w:eastAsia="Times New Roman" w:hAnsi="Times New Roman"/>
                <w:sz w:val="18"/>
                <w:szCs w:val="18"/>
                <w:color w:val="auto"/>
              </w:rPr>
              <w:t>57%</w:t>
            </w:r>
            <w:r>
              <w:rPr>
                <w:rFonts w:ascii="Times New Roman" w:cs="Times New Roman" w:eastAsia="Times New Roman" w:hAnsi="Times New Roman"/>
                <w:sz w:val="22"/>
                <w:szCs w:val="22"/>
                <w:color w:val="auto"/>
                <w:vertAlign w:val="superscript"/>
              </w:rPr>
              <w:t>3</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Priovant</w:t>
            </w:r>
          </w:p>
        </w:tc>
        <w:tc>
          <w:tcPr>
            <w:tcW w:w="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Proteovant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Genevant</w:t>
            </w:r>
          </w:p>
        </w:tc>
        <w:tc>
          <w:tcPr>
            <w:tcW w:w="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Kinevant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w:t>
            </w:r>
          </w:p>
        </w:tc>
        <w:tc>
          <w:tcPr>
            <w:tcW w:w="56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Hemavant</w:t>
            </w:r>
          </w:p>
        </w:tc>
        <w:tc>
          <w:tcPr>
            <w:tcW w:w="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Affivant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Arbutus</w:t>
            </w:r>
          </w:p>
        </w:tc>
        <w:tc>
          <w:tcPr>
            <w:tcW w:w="5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26%</w:t>
            </w:r>
            <w:r>
              <w:rPr>
                <w:rFonts w:ascii="Times New Roman" w:cs="Times New Roman" w:eastAsia="Times New Roman" w:hAnsi="Times New Roman"/>
                <w:sz w:val="22"/>
                <w:szCs w:val="22"/>
                <w:color w:val="auto"/>
                <w:vertAlign w:val="superscript"/>
              </w:rPr>
              <w:t>3</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line="216" w:lineRule="exact"/>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22"/>
                <w:szCs w:val="22"/>
                <w:color w:val="auto"/>
                <w:vertAlign w:val="superscript"/>
              </w:rPr>
              <w:t>3</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Lokavant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56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Datavant</w:t>
            </w:r>
          </w:p>
        </w:tc>
        <w:tc>
          <w:tcPr>
            <w:tcW w:w="5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40" w:right="40"/>
        <w:spacing w:after="0" w:line="284" w:lineRule="auto"/>
        <w:rPr>
          <w:sz w:val="20"/>
          <w:szCs w:val="20"/>
          <w:color w:val="auto"/>
        </w:rPr>
      </w:pPr>
      <w:r>
        <w:rPr>
          <w:rFonts w:ascii="Times New Roman" w:cs="Times New Roman" w:eastAsia="Times New Roman" w:hAnsi="Times New Roman"/>
          <w:sz w:val="18"/>
          <w:szCs w:val="18"/>
          <w:i w:val="1"/>
          <w:iCs w:val="1"/>
          <w:color w:val="auto"/>
        </w:rPr>
        <w:t>Note: Excludes early-stage pipeline of protein degraders and inhibitors being developed through our small molecule discovery engine. Ownership figures as of June 30, 2022.</w:t>
      </w:r>
    </w:p>
    <w:p>
      <w:pPr>
        <w:spacing w:after="0" w:line="64" w:lineRule="exact"/>
        <w:rPr>
          <w:sz w:val="20"/>
          <w:szCs w:val="20"/>
          <w:color w:val="auto"/>
        </w:rPr>
      </w:pPr>
    </w:p>
    <w:p>
      <w:pPr>
        <w:ind w:left="960" w:hanging="532"/>
        <w:spacing w:after="0" w:line="262" w:lineRule="auto"/>
        <w:tabs>
          <w:tab w:leader="none" w:pos="9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Basic ownership refers to Roivant’s percentage ownership of the issued and outstanding common and preferred shares (if applicable) of the entity.</w:t>
      </w:r>
    </w:p>
    <w:p>
      <w:pPr>
        <w:ind w:left="960" w:right="120" w:hanging="532"/>
        <w:spacing w:after="0" w:line="250" w:lineRule="auto"/>
        <w:tabs>
          <w:tab w:leader="none" w:pos="9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Fully diluted ownership refers to Roivant’s percentage ownership of all outstanding equity interests of the entity, including unvested RSUs as well as options and warrants, in each case whether vested or unvested.</w:t>
      </w:r>
    </w:p>
    <w:p>
      <w:pPr>
        <w:ind w:left="960" w:hanging="532"/>
        <w:spacing w:after="0"/>
        <w:tabs>
          <w:tab w:leader="none" w:pos="9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Denotes entities that are publicly traded.</w:t>
      </w:r>
    </w:p>
    <w:p>
      <w:pPr>
        <w:sectPr>
          <w:pgSz w:w="11900" w:h="16838" w:orient="portrait"/>
          <w:cols w:equalWidth="0" w:num="1">
            <w:col w:w="11020"/>
          </w:cols>
          <w:pgMar w:left="440" w:top="297" w:right="439" w:bottom="1440" w:gutter="0" w:footer="0" w:header="0"/>
        </w:sectPr>
      </w:pPr>
    </w:p>
    <w:bookmarkStart w:id="33" w:name="page34"/>
    <w:bookmarkEnd w:id="33"/>
    <w:p>
      <w:pPr>
        <w:ind w:left="960" w:right="60" w:hanging="532"/>
        <w:spacing w:after="0" w:line="258" w:lineRule="auto"/>
        <w:tabs>
          <w:tab w:leader="none" w:pos="9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 of June 30, 2022, the Company’s minority equity interest in Datavant represented approximately 17% of the outstanding Class A units. Datavant’s capital structure includes several classes of preferred units that, among other features, have liquidation preferences and conversion features. Upon conversion of such preferred units into Class A units, the Company’s ownership interest would be diluted. For more information on Roivant’s ownership interest in Datavant, please refer to Note 3 to Roivant’s unaudited condensed consolidated financial statements included in this Quarterly Report on Form 10-Q.</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 robust calendar of potential near-term catalysts, including the items set forth below.</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Expected</w:t>
            </w:r>
          </w:p>
        </w:tc>
      </w:t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880" w:type="dxa"/>
            <w:vAlign w:val="bottom"/>
          </w:tcPr>
          <w:p>
            <w:pPr>
              <w:spacing w:after="0"/>
              <w:rPr>
                <w:sz w:val="16"/>
                <w:szCs w:val="16"/>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Vant</w:t>
            </w:r>
          </w:p>
        </w:tc>
        <w:tc>
          <w:tcPr>
            <w:tcW w:w="454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Catalyst</w:t>
            </w:r>
          </w:p>
        </w:tc>
        <w:tc>
          <w:tcPr>
            <w:tcW w:w="200" w:type="dxa"/>
            <w:vAlign w:val="bottom"/>
          </w:tcPr>
          <w:p>
            <w:pPr>
              <w:spacing w:after="0"/>
              <w:rPr>
                <w:sz w:val="16"/>
                <w:szCs w:val="16"/>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Timing</w:t>
            </w:r>
          </w:p>
        </w:tc>
      </w:tr>
      <w:tr>
        <w:trPr>
          <w:trHeight w:val="203"/>
        </w:trPr>
        <w:tc>
          <w:tcPr>
            <w:tcW w:w="3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VTAMA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(tapinarof)</w:t>
            </w:r>
          </w:p>
        </w:tc>
        <w:tc>
          <w:tcPr>
            <w:tcW w:w="10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Dermavant</w:t>
            </w:r>
          </w:p>
        </w:tc>
        <w:tc>
          <w:tcPr>
            <w:tcW w:w="200" w:type="dxa"/>
            <w:vAlign w:val="bottom"/>
            <w:tcBorders>
              <w:top w:val="single" w:sz="8" w:color="CCEEFF"/>
            </w:tcBorders>
            <w:shd w:val="clear" w:color="auto" w:fill="CCEEFF"/>
          </w:tcPr>
          <w:p>
            <w:pPr>
              <w:spacing w:after="0"/>
              <w:rPr>
                <w:sz w:val="17"/>
                <w:szCs w:val="17"/>
                <w:color w:val="auto"/>
              </w:rPr>
            </w:pPr>
          </w:p>
        </w:tc>
        <w:tc>
          <w:tcPr>
            <w:tcW w:w="45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Updates on commercial launch of VTAMA in psoriasis</w:t>
            </w: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Ongoing</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Roivant pipeline growth</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Roivant</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New mid/late-stage in-licensing announcements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Ongoing</w:t>
            </w: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LNP platform</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Genevant</w:t>
            </w: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Updates to LNP patent litigation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Ongoing</w:t>
            </w:r>
          </w:p>
        </w:tc>
      </w:tr>
      <w:tr>
        <w:trPr>
          <w:trHeight w:val="198"/>
        </w:trPr>
        <w:tc>
          <w:tcPr>
            <w:tcW w:w="3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Roivant Discovery</w:t>
            </w:r>
          </w:p>
        </w:tc>
        <w:tc>
          <w:tcPr>
            <w:tcW w:w="1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Roivant</w:t>
            </w:r>
          </w:p>
        </w:tc>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Updates on QUAISAR platform and degrader</w:t>
            </w: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Ongoing</w:t>
            </w:r>
          </w:p>
        </w:tc>
      </w:tr>
      <w:tr>
        <w:trPr>
          <w:trHeight w:val="234"/>
        </w:trPr>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discovery</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Batoclimab</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Immunovant</w:t>
            </w: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Initiate two additional pivotal programs, including TED</w:t>
            </w:r>
          </w:p>
        </w:tc>
        <w:tc>
          <w:tcPr>
            <w:tcW w:w="9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2H 2022</w:t>
            </w:r>
          </w:p>
        </w:tc>
      </w:tr>
      <w:tr>
        <w:trPr>
          <w:trHeight w:val="216"/>
        </w:trPr>
        <w:tc>
          <w:tcPr>
            <w:tcW w:w="34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VTAMA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(tapinarof)</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Dermavant</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Topline data from Phase 3 trials in atopic dermatitis</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1H 2023</w:t>
            </w:r>
          </w:p>
        </w:tc>
      </w:tr>
      <w:tr>
        <w:trPr>
          <w:trHeight w:val="198"/>
        </w:trPr>
        <w:tc>
          <w:tcPr>
            <w:tcW w:w="3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Brepocitinib</w:t>
            </w:r>
          </w:p>
        </w:tc>
        <w:tc>
          <w:tcPr>
            <w:tcW w:w="1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Priovant</w:t>
            </w:r>
          </w:p>
        </w:tc>
        <w:tc>
          <w:tcPr>
            <w:tcW w:w="4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Topline data from potentially registrational Phase 2</w:t>
            </w:r>
          </w:p>
        </w:tc>
        <w:tc>
          <w:tcPr>
            <w:tcW w:w="900" w:type="dxa"/>
            <w:vAlign w:val="bottom"/>
            <w:gridSpan w:val="2"/>
            <w:shd w:val="clear" w:color="auto" w:fill="CCEEFF"/>
          </w:tcPr>
          <w:p>
            <w:pPr>
              <w:jc w:val="right"/>
              <w:ind w:right="2"/>
              <w:spacing w:after="0" w:line="198" w:lineRule="exact"/>
              <w:rPr>
                <w:sz w:val="20"/>
                <w:szCs w:val="20"/>
                <w:color w:val="auto"/>
              </w:rPr>
            </w:pPr>
            <w:r>
              <w:rPr>
                <w:rFonts w:ascii="Times New Roman" w:cs="Times New Roman" w:eastAsia="Times New Roman" w:hAnsi="Times New Roman"/>
                <w:sz w:val="18"/>
                <w:szCs w:val="18"/>
                <w:color w:val="auto"/>
              </w:rPr>
              <w:t>2H 2023</w:t>
            </w:r>
          </w:p>
        </w:tc>
      </w:tr>
      <w:tr>
        <w:trPr>
          <w:trHeight w:val="234"/>
        </w:trPr>
        <w:tc>
          <w:tcPr>
            <w:tcW w:w="56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trial in systemic lupus erythematosus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RVT-2001</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Hemavant</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Data from RVT-2001 Phase 1/2 trial in lower-risk MDS</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2H 2023</w:t>
            </w: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Namilumab</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Kinevant</w:t>
            </w: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data from Phase 2 in sarcoidosis</w:t>
            </w:r>
          </w:p>
        </w:tc>
        <w:tc>
          <w:tcPr>
            <w:tcW w:w="9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1H 2024</w:t>
            </w: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Batoclimab</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Topline data from Phase 3 in MG</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2H 2024</w:t>
            </w:r>
          </w:p>
        </w:tc>
      </w:tr>
    </w:tbl>
    <w:p>
      <w:pPr>
        <w:spacing w:after="0" w:line="177" w:lineRule="exact"/>
        <w:rPr>
          <w:sz w:val="20"/>
          <w:szCs w:val="20"/>
          <w:color w:val="auto"/>
        </w:rPr>
      </w:pPr>
    </w:p>
    <w:p>
      <w:pPr>
        <w:ind w:left="440" w:right="620"/>
        <w:spacing w:after="0" w:line="284" w:lineRule="auto"/>
        <w:rPr>
          <w:sz w:val="20"/>
          <w:szCs w:val="20"/>
          <w:color w:val="auto"/>
        </w:rPr>
      </w:pPr>
      <w:r>
        <w:rPr>
          <w:rFonts w:ascii="Times New Roman" w:cs="Times New Roman" w:eastAsia="Times New Roman" w:hAnsi="Times New Roman"/>
          <w:sz w:val="18"/>
          <w:szCs w:val="18"/>
          <w:i w:val="1"/>
          <w:iCs w:val="1"/>
          <w:color w:val="auto"/>
        </w:rPr>
        <w:t>Note: References are to calendar years. All catalyst timings are based on current expectations and, where applicable, contingent on FDA feedback, and may be subject to change.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1" w:lineRule="exact"/>
        <w:rPr>
          <w:sz w:val="20"/>
          <w:szCs w:val="20"/>
          <w:color w:val="auto"/>
        </w:rPr>
      </w:pPr>
    </w:p>
    <w:p>
      <w:pPr>
        <w:ind w:left="960" w:right="40" w:hanging="424"/>
        <w:spacing w:after="0" w:line="25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Dermavant</w:t>
      </w:r>
      <w:r>
        <w:rPr>
          <w:rFonts w:ascii="Times New Roman" w:cs="Times New Roman" w:eastAsia="Times New Roman" w:hAnsi="Times New Roman"/>
          <w:sz w:val="18"/>
          <w:szCs w:val="18"/>
          <w:color w:val="auto"/>
        </w:rPr>
        <w:t>: Since its launch in late May, VTAMA has had approximately 14,000 prescriptions written by more than 3,000 unique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prescribers based on the latest available IQVIA data through August 5 for prescriptions and July 29 for prescribers. VTAMA became the most prescribed branded topical for the treatment of psoriasis in the U.S. within eight weeks of launch. In July, Torii Pharmaceutical and Japan Tobacco announced positive topline results from their Phase 3 study of tapinarof in atopic dermatitis. In this trial, tapinarof showed statistical superiority to vehicle on the primary endpoint of efficacy, IGA response at week 8. In addition, tapinarof showed statistical superiority to vehicle for EASI achievement rate at week 8, the key secondary endpoint of efficacy. There were no new observed safety or tolerability findings reported.</w:t>
      </w:r>
    </w:p>
    <w:p>
      <w:pPr>
        <w:spacing w:after="0" w:line="88" w:lineRule="exact"/>
        <w:rPr>
          <w:rFonts w:ascii="Times New Roman" w:cs="Times New Roman" w:eastAsia="Times New Roman" w:hAnsi="Times New Roman"/>
          <w:sz w:val="18"/>
          <w:szCs w:val="18"/>
          <w:color w:val="auto"/>
        </w:rPr>
      </w:pPr>
    </w:p>
    <w:p>
      <w:pPr>
        <w:ind w:left="960" w:hanging="424"/>
        <w:spacing w:after="0" w:line="257"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Priovant</w:t>
      </w:r>
      <w:r>
        <w:rPr>
          <w:rFonts w:ascii="Times New Roman" w:cs="Times New Roman" w:eastAsia="Times New Roman" w:hAnsi="Times New Roman"/>
          <w:sz w:val="18"/>
          <w:szCs w:val="18"/>
          <w:color w:val="auto"/>
        </w:rPr>
        <w:t>: Priovant expects to complete enrollment for its ongoing potentially registrational global trial evaluating oral brepocitinib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SLE in August 2022. Oral brepocitinib is a potential first-in-class dual, selective inhibitor of TYK2 and JAK1 licensed from Pfizer that has been evaluated in 14 completed Phase 1 and Phase 2 trials, including 5 placebo-controlled Phase 2 trials in psoriatic arthritis, plaque psoriasis, ulcerative colitis, alopecia areata and hidradenitis suppurativa that generated statistically significant and clinically meaningful efficacy results. Priovant is also developing oral brepocitinib for the treatment of dermatomyositis, for which it recently initiated a single registrational Phase 3 trial.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COVID-19 pandemic continues to present global public health and economic challenges that may impact our business. Although some of our clinical development timelines have been impacted by delays related to the COVID-19 pandemic, we have not experienced a material financial impact on our business and operations as a result of the pandemic. However, the impact on our future operations and financial results will largely depend on future developments related to COVID-19, which are highly uncertain and cannot be accurately predicted, such as the continued emergence of new variants of COVID-19, the ultimate duration of the pandemic, the continuing impact of the pandemic on financial markets and the global economy, travel restrictions and other preventative measures implemented in the United States and other countries, business closures or business disruptions and the effectiveness of actions taken in the United States and other countries to manage the pandemic, including the availability and effectiveness of vaccines, and vaccine booster shots.</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risks and uncertainties related to the COVID-19 pandemic that may impact our business, financial condition and results of operations, see the section titled “Risk Factors” included elsewhere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With the approval of VTAMA for the treatment of plaque psoriasis in adult patients by the FDA in May 2022, we began to recognize product revenues after our initial product launch. We record product revenue net of estimated chargebacks, discounts, rebates, returns, and other allowances associated with the respective sales. Revenue, net also includes the recognition of upfront payments received in connection with license agreements as well as revenue generated by subscription and service-based fees. Our revenue recognized from inception through June 30, 2022 has not been significant.</w:t>
      </w:r>
    </w:p>
    <w:p>
      <w:pPr>
        <w:sectPr>
          <w:pgSz w:w="11900" w:h="16838" w:orient="portrait"/>
          <w:cols w:equalWidth="0" w:num="1">
            <w:col w:w="10940"/>
          </w:cols>
          <w:pgMar w:left="440" w:top="295"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Cost of revenues</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We began to recognize cost of product revenues after the initial launch of VTAMA in May 2022. Cost of product revenues includes the cost of producing and distributing inventories related to product revenue during the respective period, including manufacturing, freight, and indirect overhead costs. Additionally, milestone payments made in connection with regulatory approvals and sales-based milestones are capitalized and amortized to cost of revenue over the remaining useful life of the asset. Our cost of revenues also relates to subscription and service-based revenue recognized for the use of technology developed and consists primarily of employee, hosting, and third-party data costs. Our cost of revenues through June 30, 2022 has not been significant.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Research and development expenses consist mainly of costs incurred in connection with the discovery and development of our product candidates.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primarily include the following:</w:t>
      </w:r>
    </w:p>
    <w:p>
      <w:pPr>
        <w:spacing w:after="0" w:line="112" w:lineRule="exact"/>
        <w:rPr>
          <w:sz w:val="20"/>
          <w:szCs w:val="20"/>
          <w:color w:val="auto"/>
        </w:rPr>
      </w:pPr>
    </w:p>
    <w:p>
      <w:pPr>
        <w:ind w:left="960" w:right="40" w:hanging="532"/>
        <w:spacing w:after="0" w:line="258"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Program-specific costs, including direct third-party costs, which include expenses incurred under agreements with contract research organizations (“CROs”) and contract manufacturing organizations (“CMOs”), manufacturing costs in connection with producing materials for use in conducting nonclinical and clinical studies, the cost of consultants who assist with the development of our product candidates on a program-specific basis, investigator grants, sponsored research, and any other third-party expenses directly attributable to the development of our product candidates.</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internal costs, including:</w:t>
      </w:r>
    </w:p>
    <w:p>
      <w:pPr>
        <w:spacing w:after="0" w:line="130" w:lineRule="exact"/>
        <w:rPr>
          <w:rFonts w:ascii="Times New Roman" w:cs="Times New Roman" w:eastAsia="Times New Roman" w:hAnsi="Times New Roman"/>
          <w:sz w:val="18"/>
          <w:szCs w:val="18"/>
          <w:color w:val="auto"/>
        </w:rPr>
      </w:pPr>
    </w:p>
    <w:p>
      <w:pPr>
        <w:ind w:left="2080" w:right="620" w:hanging="653"/>
        <w:spacing w:after="0" w:line="282" w:lineRule="auto"/>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such as salaries, share-based compensation, and benefits, for research and development personnel; and</w:t>
      </w:r>
    </w:p>
    <w:p>
      <w:pPr>
        <w:spacing w:after="0" w:line="67" w:lineRule="exact"/>
        <w:rPr>
          <w:rFonts w:ascii="Times New Roman" w:cs="Times New Roman" w:eastAsia="Times New Roman" w:hAnsi="Times New Roman"/>
          <w:sz w:val="18"/>
          <w:szCs w:val="18"/>
          <w:color w:val="auto"/>
        </w:rPr>
      </w:pPr>
    </w:p>
    <w:p>
      <w:pPr>
        <w:ind w:left="2080" w:hanging="65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that are not allocated to a specific program.</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will continue to be central to our business model. We anticipate that our research and development expenses will increase for the foreseeable future as we advance our product candidates through preclinical studies and clinical trials, as well as acquire new product candidates. In addition, we expect our research and development expenses to increase in the future, including as a result of ongoing work at Roivant Discovery, our small molecule discovery engine, comprising advanced computational physics and machine learning capabilities, integrated with an in-house wet lab facility. Research and development expenses will also be driven in part by the number of drug candidates from Roivant Discovery that we advance into preclinical studies and clinical trials. We expect higher employee-related expenses, including higher share-based compensation expenses, as well as higher consulting costs as we hire additional resources to support increasing development activity.</w:t>
      </w:r>
    </w:p>
    <w:p>
      <w:pPr>
        <w:spacing w:after="0" w:line="18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preclinical studies and clinical trials of our product candidates will depend on a variety of factors that include, but are not limited to, the following:</w:t>
      </w:r>
    </w:p>
    <w:p>
      <w:pPr>
        <w:spacing w:after="0" w:line="67" w:lineRule="exact"/>
        <w:rPr>
          <w:sz w:val="20"/>
          <w:szCs w:val="20"/>
          <w:color w:val="auto"/>
        </w:rPr>
      </w:pPr>
    </w:p>
    <w:p>
      <w:pPr>
        <w:ind w:left="960" w:right="820" w:hanging="532"/>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preclinical development activities, any future clinical trials of our product candidates, and other research and development activities that we may conduct;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in clinical trial design and patient enrollment or drop out or discontinuation rates;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ectPr>
          <w:pgSz w:w="11900" w:h="16838" w:orient="portrait"/>
          <w:cols w:equalWidth="0" w:num="1">
            <w:col w:w="11000"/>
          </w:cols>
          <w:pgMar w:left="440" w:top="293" w:right="459" w:bottom="1440" w:gutter="0" w:footer="0" w:header="0"/>
        </w:sectPr>
      </w:pPr>
    </w:p>
    <w:bookmarkStart w:id="35" w:name="page36"/>
    <w:bookmarkEnd w:id="35"/>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our ability to secure and leverage adequate CRO support for the conduct of clinical trials;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appropriate safety and efficacy profile for our product candidates;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and changing government regulation and regulatory guidance;</w:t>
      </w:r>
    </w:p>
    <w:p>
      <w:pPr>
        <w:spacing w:after="0" w:line="130"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clinical and commercial manufacturing capabilities, or make arrangements with third-party manufacturers in order to ensure that we or our third-party manufacturers are able to make product successfully;</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due to the COVID-19 pandemic;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 of our product candidates.</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and we cannot reasonably estimate the costs that will be necessary to complete the remainder of the development of our product candidates. In addition, the probability of success for our product candidates will depend on numerous factors, including competition, manufacturing capability and commercial viability.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include consideration for the purchase of IPR&amp;D through asset acquisitions and license agreements as well as payments made in connection with asset acquisitions and license agreements upon the achievement of development milestones. These expenses were previously recorded in “Research and development” on the condensed consolidated statements of operations. Prior periods have been revised to conform to the current period presentation.</w:t>
      </w:r>
    </w:p>
    <w:p>
      <w:pPr>
        <w:spacing w:after="0" w:line="18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Consideration for the purchase of IPR&amp;D through asset acquisitions and license agreements includes cash upfront payments, shares and other liability instruments issued, and fair value of future contingent consideration payments.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employee-related expenses, such as salaries, share-based compensation, sales incentive compensation and benefits, for employees engaged in SG&amp;A activities, including those responsible for the identification and acquisition or in-license of new drug candidates as well as for managing Vant operations and facilitating the use of our platform and technologies at the Vants. SG&amp;A expenses also consist of legal and accounting fees, consulting services, marketing programs, advertising and other operating costs relating to corporate matters and daily operations. Additionally, SG&amp;A expenses include costs incurred relating to the identification, acquisition or in-license and technology transfer of promising drug candidates along with costs incurred relating to the integration of new technologies.</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expect SG&amp;A expenses to increase in future periods as we continue to expand our sales and marketing infrastructure and general administrative functions. These increases will likely include salaries, sales incentive compensation, share-based compensation and travel expenses associated with our sales force, which began promoting VTAMA in the United States following approval by the FDA in May 2022, as well as expected costs associated with the further build out of our commercial operations functions. We anticipate these expenses to further increase if any of our other current or future product candidates receives regulatory approval in the United States or another jurisdiction.</w:t>
      </w:r>
    </w:p>
    <w:p>
      <w:pPr>
        <w:sectPr>
          <w:pgSz w:w="11900" w:h="16838" w:orient="portrait"/>
          <w:cols w:equalWidth="0" w:num="1">
            <w:col w:w="10920"/>
          </w:cols>
          <w:pgMar w:left="440" w:top="297" w:right="5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Change in fair value of investments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Change in fair value of investments includes the unrealized loss (gain) on equity investments in publicly-traded companies, including Sio Gene Therapies Inc. (“Sio”) and Arbutus Biopharma Corporation (“Arbutus”), as well as our equity investment in Heracles Parent, L.L.C., the parent entity of the Datavant business (“Datavant”), following Datavant’s merger with a wholly-owned subsidiary of Heracles Parent, L.L.C., the parent company of CIOX Health, (the “Datavant Merger”) in July 2021 at which point our minority equity interest in Datavant became subject to the equity method of accounting. We have elected the fair value option to account for these investments.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debt and liability instruments</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Change in fair value of debt and liability instruments primarily includes the unrealized loss (gain) relating to the measurement and recognition of fair value on a recurring basis of certain liabilities, including debt issued by a wholly-owned subsidiary of Dermavant Sciences Ltd. to NovaQuest Co-Investment Fund VIII, L.P. (the “NovaQuest Facility”), and other liability instruments, including warrant and earn-out share liabilities issued in connection with our business combination (the “Business Combination”) with Montes Archimedes Acquisition Corp. (“MAAC”), a special purpose acquisition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Other expense (income), net consists of interest expense resulting from interest accrued on long-term debt and the amortization of debt discount and issuance costs, interest income on our cash and cash equivalents, and other miscellaneous expense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Income tax expense is recorded for the jurisdictions in which we do business. 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our deferred tax assets will be realizable.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Net loss attributable to noncontrolling interests consists of the portion of net loss of those consolidated entities that is not allocated to us. Changes in the amount of net loss attributable to noncontrolling interests are directly impacted by the net loss of our consolidated entities and changes in ownership percentages.</w:t>
      </w:r>
    </w:p>
    <w:p>
      <w:pPr>
        <w:sectPr>
          <w:pgSz w:w="11900" w:h="16838" w:orient="portrait"/>
          <w:cols w:equalWidth="0" w:num="1">
            <w:col w:w="10980"/>
          </w:cols>
          <w:pgMar w:left="440" w:top="293"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June 30, 2022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60" w:type="dxa"/>
            <w:vAlign w:val="bottom"/>
            <w:gridSpan w:val="9"/>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7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(3,416)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135,830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78,515</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149,072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66,318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286,628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162,122</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(282,309)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(154,387)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(127,922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termination of Sumitomo Options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(66,472)</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(349,785)</w:t>
            </w:r>
          </w:p>
        </w:tc>
        <w:tc>
          <w:tcPr>
            <w:tcW w:w="12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(100,985)</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(248,800)</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(353,784)</w:t>
            </w:r>
          </w:p>
        </w:tc>
        <w:tc>
          <w:tcPr>
            <w:tcW w:w="12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(101,078)</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(252,706)</w:t>
            </w:r>
          </w:p>
        </w:tc>
        <w:tc>
          <w:tcPr>
            <w:tcW w:w="0" w:type="dxa"/>
            <w:vAlign w:val="bottom"/>
          </w:tcPr>
          <w:p>
            <w:pPr>
              <w:spacing w:after="0"/>
              <w:rPr>
                <w:sz w:val="1"/>
                <w:szCs w:val="1"/>
                <w:color w:val="auto"/>
              </w:rPr>
            </w:pPr>
          </w:p>
        </w:tc>
      </w:tr>
      <w:tr>
        <w:trPr>
          <w:trHeight w:val="230"/>
        </w:trPr>
        <w:tc>
          <w:tcPr>
            <w:tcW w:w="58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(21,975)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(18,895)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Roivant Sciences Ltd.</w:t>
            </w:r>
          </w:p>
        </w:tc>
        <w:tc>
          <w:tcPr>
            <w:tcW w:w="1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(331,809)</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(82,183)</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(249,626)</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Variance analysis for three months ended June 30, 2022 and 2021</w:t>
            </w: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8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7"/>
              </w:rPr>
              <w:t>(in</w:t>
            </w:r>
          </w:p>
        </w:tc>
        <w:tc>
          <w:tcPr>
            <w:tcW w:w="80" w:type="dxa"/>
            <w:vAlign w:val="bottom"/>
          </w:tcPr>
          <w:p>
            <w:pPr>
              <w:spacing w:after="0"/>
              <w:rPr>
                <w:sz w:val="12"/>
                <w:szCs w:val="12"/>
                <w:color w:val="auto"/>
              </w:rPr>
            </w:pPr>
          </w:p>
        </w:tc>
        <w:tc>
          <w:tcPr>
            <w:tcW w:w="60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tcBorders>
              <w:top w:val="single" w:sz="8" w:color="auto"/>
            </w:tcBorders>
            <w:gridSpan w:val="3"/>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thousands)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4,319</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Revenue, net decreased by $3.4 million to $4.3 million for the three months ended June 30, 2022 compared to $7.7 million for the three months ended June 30, 2021. Revenue generated was not significant in either period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(in</w:t>
            </w:r>
          </w:p>
        </w:tc>
        <w:tc>
          <w:tcPr>
            <w:tcW w:w="140" w:type="dxa"/>
            <w:vAlign w:val="bottom"/>
          </w:tcPr>
          <w:p>
            <w:pPr>
              <w:spacing w:after="0"/>
              <w:rPr>
                <w:sz w:val="12"/>
                <w:szCs w:val="12"/>
                <w:color w:val="auto"/>
              </w:rPr>
            </w:pPr>
          </w:p>
        </w:tc>
        <w:tc>
          <w:tcPr>
            <w:tcW w:w="5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20" w:type="dxa"/>
            <w:vAlign w:val="bottom"/>
            <w:vMerge w:val="continue"/>
          </w:tcPr>
          <w:p>
            <w:pPr>
              <w:spacing w:after="0"/>
              <w:rPr>
                <w:sz w:val="13"/>
                <w:szCs w:val="13"/>
                <w:color w:val="auto"/>
              </w:rPr>
            </w:pPr>
          </w:p>
        </w:tc>
        <w:tc>
          <w:tcPr>
            <w:tcW w:w="68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thousands)</w:t>
            </w:r>
          </w:p>
        </w:tc>
        <w:tc>
          <w:tcPr>
            <w:tcW w:w="46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6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Cost of revenues increased by $1.0 million to $1.7 million for the three months ended June 30, 2022 compared to $0.7 million for the three months ended June 30, 2021. Cost of revenues was not significant in either period presented.</w:t>
      </w:r>
    </w:p>
    <w:p>
      <w:pPr>
        <w:sectPr>
          <w:pgSz w:w="11900" w:h="16838" w:orient="portrait"/>
          <w:cols w:equalWidth="0" w:num="1">
            <w:col w:w="10780"/>
          </w:cols>
          <w:pgMar w:left="440" w:top="293" w:right="6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Research and development expenses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three months ended June 30, 2022 and 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our research and development expenses consisted of the following:</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7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w:t>
            </w:r>
          </w:p>
        </w:tc>
        <w:tc>
          <w:tcPr>
            <w:tcW w:w="78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thousands)</w:t>
            </w: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Program-specific costs: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Batoclimab</w:t>
            </w:r>
          </w:p>
        </w:tc>
        <w:tc>
          <w:tcPr>
            <w:tcW w:w="1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Brepocitinib</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Tapinarof</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ARU-1801</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LSVT-1701</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ARU-2801</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AFVT-2101</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program-specific costs</w:t>
            </w:r>
          </w:p>
        </w:tc>
        <w:tc>
          <w:tcPr>
            <w:tcW w:w="1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17,981</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program-specific costs</w:t>
            </w:r>
          </w:p>
        </w:tc>
        <w:tc>
          <w:tcPr>
            <w:tcW w:w="1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80,503</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47,904</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32,599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Unallocated internal costs: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expenses</w:t>
            </w:r>
          </w:p>
        </w:tc>
        <w:tc>
          <w:tcPr>
            <w:tcW w:w="1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7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135,830</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64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$57.3 million to $135.8 million for the three months ended June 30, 2022 compared to $78.5 million for the three months ended June 30, 2021, primarily due to increases in program-specific costs of $32.6 million, personnel-related expenses of $12.4 million, and share-based compensation of $10.6 million.</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increase of $32.6 million in program-specific costs largely reflects the progression of our programs and drug discovery. Additionally, program specific costs for Priovant Therapeutics, Inc.’s (“Priovant”) brepocitinib program were $12.3 million for the three months ended June 30, 2022. The asset acquisition of brepocitinib was completed in September 2021.</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increase of $12.4 million in personnel-related expenses was primarily driven by an increase in headcount to support the progression of our programs and drug discovery.</w:t>
      </w:r>
    </w:p>
    <w:p>
      <w:pPr>
        <w:spacing w:after="0" w:line="16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increase of $10.6 million in share-based compensation expense was primarily due to the ongoing vesting of certain equity instruments for which the liquidity event vesting condition was met upon the closing of the Business Combination. We did not recognize share-based compensation expense related to these equity instruments during the three months ended June 30, 2021 as the liquidity event requirement had not been met and was not deemed probable of being met.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5"/>
                <w:szCs w:val="15"/>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w:t>
            </w:r>
          </w:p>
        </w:tc>
        <w:tc>
          <w:tcPr>
            <w:tcW w:w="7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thousands)</w:t>
            </w:r>
          </w:p>
        </w:tc>
        <w:tc>
          <w:tcPr>
            <w:tcW w:w="3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149,072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82,754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$66.3 million to $149.1 million for the three months ended June 30, 2022 compared to $82.8 million for the three months ended June 30, 2021. The increase was largely due to an increase in share-based compensation expense of</w:t>
      </w:r>
    </w:p>
    <w:p>
      <w:pPr>
        <w:ind w:right="60"/>
        <w:spacing w:after="0" w:line="253" w:lineRule="auto"/>
        <w:rPr>
          <w:sz w:val="20"/>
          <w:szCs w:val="20"/>
          <w:color w:val="auto"/>
        </w:rPr>
      </w:pPr>
      <w:r>
        <w:rPr>
          <w:rFonts w:ascii="Times New Roman" w:cs="Times New Roman" w:eastAsia="Times New Roman" w:hAnsi="Times New Roman"/>
          <w:sz w:val="18"/>
          <w:szCs w:val="18"/>
          <w:color w:val="auto"/>
        </w:rPr>
        <w:t>$42.9 million, primarily as a result of the ongoing vesting of certain equity instruments for which the liquidity event vesting condition was met upon the closing of the Business Combination. We did not recognize share-based compensation expense related to these equity instruments during the three months ended June 30, 2021 as the liquidity event requirement had not been met and was not deemed probable of being met. Additionally, selling, general and administrative expenses for Dermavant have increased as a result of the commercial launch of VTAMA in May 2022.</w:t>
      </w:r>
    </w:p>
    <w:p>
      <w:pPr>
        <w:sectPr>
          <w:pgSz w:w="11900" w:h="16838" w:orient="portrait"/>
          <w:cols w:equalWidth="0" w:num="1">
            <w:col w:w="11000"/>
          </w:cols>
          <w:pgMar w:left="440" w:top="293"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Change in fair value of investments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5"/>
                <w:szCs w:val="15"/>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w:t>
            </w:r>
          </w:p>
        </w:tc>
        <w:tc>
          <w:tcPr>
            <w:tcW w:w="160" w:type="dxa"/>
            <w:vAlign w:val="bottom"/>
          </w:tcPr>
          <w:p>
            <w:pPr>
              <w:spacing w:after="0"/>
              <w:rPr>
                <w:sz w:val="12"/>
                <w:szCs w:val="12"/>
                <w:color w:val="auto"/>
              </w:rPr>
            </w:pPr>
          </w:p>
        </w:tc>
        <w:tc>
          <w:tcPr>
            <w:tcW w:w="62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vMerge w:val="continue"/>
          </w:tcPr>
          <w:p>
            <w:pPr>
              <w:spacing w:after="0"/>
              <w:rPr>
                <w:sz w:val="13"/>
                <w:szCs w:val="13"/>
                <w:color w:val="auto"/>
              </w:rPr>
            </w:pPr>
          </w:p>
        </w:tc>
        <w:tc>
          <w:tcPr>
            <w:tcW w:w="78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thousands)</w:t>
            </w:r>
          </w:p>
        </w:tc>
        <w:tc>
          <w:tcPr>
            <w:tcW w:w="3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2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Change in fair value of investments were unrealized losses of $24.5 million and $8.6 million for the three months ended June 30, 2022 and 2021, respectively. The change of $15.9 million was primarily driven by changes in the public share prices of Arbutus and Sio as well as the change in fair value of our investment in Datavant following the completion of the Datavant Merger in July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debt and liability instruments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5"/>
                <w:szCs w:val="15"/>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w:t>
            </w:r>
          </w:p>
        </w:tc>
        <w:tc>
          <w:tcPr>
            <w:tcW w:w="160" w:type="dxa"/>
            <w:vAlign w:val="bottom"/>
          </w:tcPr>
          <w:p>
            <w:pPr>
              <w:spacing w:after="0"/>
              <w:rPr>
                <w:sz w:val="12"/>
                <w:szCs w:val="12"/>
                <w:color w:val="auto"/>
              </w:rPr>
            </w:pPr>
          </w:p>
        </w:tc>
        <w:tc>
          <w:tcPr>
            <w:tcW w:w="62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vMerge w:val="continue"/>
          </w:tcPr>
          <w:p>
            <w:pPr>
              <w:spacing w:after="0"/>
              <w:rPr>
                <w:sz w:val="13"/>
                <w:szCs w:val="13"/>
                <w:color w:val="auto"/>
              </w:rPr>
            </w:pPr>
          </w:p>
        </w:tc>
        <w:tc>
          <w:tcPr>
            <w:tcW w:w="78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thousands)</w:t>
            </w:r>
          </w:p>
        </w:tc>
        <w:tc>
          <w:tcPr>
            <w:tcW w:w="3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14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41,213</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Change in fair value of debt and liability instruments were unrealized losses of $41.2 million and $4.6 million for the three months ended June 30, 2022 and 2021, respectively. Change in fair value of debt and liability instruments for the three months ended June 30, 2022 primarily consisted of an unrealized loss of $57.9 million relating to the NovaQuest facility which was primarily due to the impact of VTAMA approval in psoriasis, partially offset by an unrealized gain of $10.6 million relating to the warrant and earn-out share liabilities issued as part of the Business Combination. Change in fair value of debt and liability instruments for the three months ended June 30, 2021 primarily consisted of an unrealized loss of $5.1 million relating to the NovaQuest facility, which was largely due to the passage of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termination of Sumitomo Options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42"/>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termination of Sumitomo Options</w:t>
            </w:r>
          </w:p>
        </w:tc>
        <w:tc>
          <w:tcPr>
            <w:tcW w:w="2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(66,472)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Gain on termination of Sumitomo Options was $66.5 million for the three months ended June 30, 2021 due to the completion of transactions contemplated by an Asset Purchase Agreement entered into with Sumitomo Pharma Co., Ltd. and its subsidiary Sumitomo Pharmaceuticals (Suzhou) Co., Ltd.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For the three months ended June 30, 2022 and 2021, we incurred net losses of $353.8 million and $101.1 million, respectively. As of June 30, 2022, we had cash and cash equivalents of approximately $1.9 billion and our accumulated deficit was approximately $3.1 billion. Through our subsidiary Dermavant, we launched our first commercial product, VTAMA, following approval by the FDA in May 2022. We began generating product revenue, net from sales of VTAMA in the United States in May 2022. We also have generated revenue through license agreements as well as from subscription and service-based fees. Our revenue through June 30, 2022 has not been significant. Our operations to date have been financed primarily through the sale of equity securities, sale of subsidiary interests, debt financings and revenue generated from licensing and collaboration arrangements.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short-term and long-term liquidity requirements as of June 30, 2022 included:</w:t>
      </w:r>
    </w:p>
    <w:p>
      <w:pPr>
        <w:spacing w:after="0" w:line="131" w:lineRule="exact"/>
        <w:rPr>
          <w:sz w:val="20"/>
          <w:szCs w:val="20"/>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payments related to our long-term debt (see Note 6, “Long-Term Debt” of our condensed consolidated financial statements);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our operating leases;</w:t>
      </w:r>
    </w:p>
    <w:p>
      <w:pPr>
        <w:sectPr>
          <w:pgSz w:w="11900" w:h="16838" w:orient="portrait"/>
          <w:cols w:equalWidth="0" w:num="1">
            <w:col w:w="10960"/>
          </w:cols>
          <w:pgMar w:left="440" w:top="293" w:right="499" w:bottom="1440" w:gutter="0" w:footer="0" w:header="0"/>
        </w:sectPr>
      </w:pPr>
    </w:p>
    <w:bookmarkStart w:id="40" w:name="page41"/>
    <w:bookmarkEnd w:id="40"/>
    <w:p>
      <w:pPr>
        <w:ind w:left="960" w:right="60" w:hanging="532"/>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commitments to Palantir Technologies Inc. (“Palantir”) totaling $30.0 million related to a master subscription agreement entered in May 2021 for access to Palantir’s proprietary software for a five-year period;</w:t>
      </w:r>
    </w:p>
    <w:p>
      <w:pPr>
        <w:spacing w:after="0" w:line="67" w:lineRule="exact"/>
        <w:rPr>
          <w:rFonts w:ascii="Times New Roman" w:cs="Times New Roman" w:eastAsia="Times New Roman" w:hAnsi="Times New Roman"/>
          <w:sz w:val="18"/>
          <w:szCs w:val="18"/>
          <w:color w:val="auto"/>
        </w:rPr>
      </w:pPr>
    </w:p>
    <w:p>
      <w:pPr>
        <w:ind w:left="960" w:right="40" w:hanging="532"/>
        <w:spacing w:after="0" w:line="261"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commitments to Samsung Biologics Co., Ltd. (“Samsung”) pursuant to a Product Service Agreement entered between Immunovant and Samsung by which Samsung will manufacture and supply Immunovant with batoclimab drug substance for commercial sale and perform other manufacturing-related services with respect to batoclimab. The minimum purchase commitment related to this agreement is estimated to be approximately $36.0 million; and</w:t>
      </w:r>
    </w:p>
    <w:p>
      <w:pPr>
        <w:spacing w:after="0" w:line="85"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commitments to GSK pursuant to a commercial supply agreement entered between Dermavant and GSK. In conjunction with the purchase agreement of tapinarof between our subsidiary, Dermavant and GSK, Dermavant entered into a clinical supply agreement for which GSK would provide a supply of tapinarof and clinical product at an agreed upon price during our clinical trials. In April 2019, Dermavant entered into a commercial supply agreement with GSK to continue to provide certain quantities of tapinarof and commercial product at agreed upon minimum quantities and price. The commercial supply agreement commenced in April 2022 upon completion of certain quality and regulatory conditions. In July 2022, Dermavant and GSK amended the terms of the clinical supply and commercial supply agreements which released GSK of certain commitments to supply tapinarof and released Dermavant of certain commitments to purchase tapinarof in exchange for a supplementary fee. Other supply and purchase commitments under the agreements remain in effect. In addition, Dermavant and Thermo Fisher Scientific (“TFS”) entered into a Commercial Manufacturing and Supply Agreement for which TFS will provide a supply of tapinarof to Dermavant at an agreed upon price. The agreements discussed above require Dermavant to purchase certain quantities of inventory over a period of five years. The minimum purchase commitment related to these agreements is estimated to be approximately $48.2 million.</w:t>
      </w:r>
    </w:p>
    <w:p>
      <w:pPr>
        <w:spacing w:after="0" w:line="19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commitments relating to our operating leases during the three months ended June 30, 2022 outside the ordinary course of business. For further information regarding our lease commitments, refer to Note 12, “Leases” in our Form 10-K.</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Additionally, we have certain payment obligations under various asset acquisition and license agreements. Under these agreements we are required to make milestone payments upon successful completion and achievement of certain development, regulatory and commercial milestones. The payment obligations under the asset acquisition and license agreements are contingent upon future events such as our achievement of specified development, regulatory and commercial milestones, and we will be required to make milestone payments and royalty payments in connection with the sale of products developed under these agreements.</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July 2022, Dermavant paid GSK £100.0 million (approximately $126 million on the date of achievement) for the regulatory milestone achieved as a result of FDA approval. Additionally, the first sale of VTAMA in May 2022 resulted in the achievement of a milestone to Welichem Biotech Inc. of CAD$25.0 million (approximately $20 million on the date of achievement) due within 60 calendar days of the invoice date. Payment for this milestone was made in August 2022.</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Following the approval of VTAMA by the FDA in May 2022, Dermavant received $160.0 million in June 2022 pursuant to the terms of the revenue interest purchase and sale agreement (the “RIPSA”) entered with XYQ Luxco, NovaQuest Co-Investment Fund XVII, L.P., an affiliate of NovaQuest Capital Management, LLC, and MAM Tapir Lender, LLC, an affiliate of Marathon Asset Management, L.P., together with U.S. Bank National Association, as collateral agent. Under the terms of the RIPSA, Dermavant issued to the purchasers named therein the right to receive royalties based on a capped single-digit revenue interest in net sales of tapinarof for all dermatological indications in the United States, up to a cap of</w:t>
      </w:r>
    </w:p>
    <w:p>
      <w:pPr>
        <w:spacing w:after="0" w:line="3"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7"/>
          <w:szCs w:val="17"/>
          <w:color w:val="auto"/>
        </w:rPr>
        <w:t>$344.0 million, in exchange for $160.0 million in committed funding to be paid to Dermavant, conditioned on the approval of tapinarof by the FDA, which was achieved in May 2022. Dermavant used the RIPSA proceeds primarily for the payment of the milestone obligations to GSK and Welichem.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advance the discovery efforts, preclinical activities, clinical trials and potential commercialization of our product candidates. Additionally, we expect to incur significant commercialization expenses with respect to VTAMA. Our operating results, including our net losses, may fluctuate significantly from quarter-to-quarter and year-to-year, depending on the timing of our planned clinical trials, our expenditures on other research and development activities and our commercialization efforts. We anticipate that our expenses will increase substantially as we:</w:t>
      </w:r>
    </w:p>
    <w:p>
      <w:pPr>
        <w:spacing w:after="0" w:line="89" w:lineRule="exact"/>
        <w:rPr>
          <w:sz w:val="20"/>
          <w:szCs w:val="20"/>
          <w:color w:val="auto"/>
        </w:rPr>
      </w:pPr>
    </w:p>
    <w:p>
      <w:pPr>
        <w:ind w:left="960" w:hanging="532"/>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preclinical studies and clinical trials for our product candidates, which we are pursuing or may choose to pursue in the future;</w:t>
      </w:r>
    </w:p>
    <w:p>
      <w:pPr>
        <w:sectPr>
          <w:pgSz w:w="11900" w:h="16838" w:orient="portrait"/>
          <w:cols w:equalWidth="0" w:num="1">
            <w:col w:w="11000"/>
          </w:cols>
          <w:pgMar w:left="440" w:top="297" w:right="459" w:bottom="1440" w:gutter="0" w:footer="0" w:header="0"/>
        </w:sectPr>
      </w:pPr>
    </w:p>
    <w:bookmarkStart w:id="41" w:name="page42"/>
    <w:bookmarkEnd w:id="41"/>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fund the manufacturing of drug substance and drug product of our product candidates in development;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develop and commercialize additional product candidates;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activities related to the discovery of novel drugs and advancement of our internal programs;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w:t>
      </w:r>
    </w:p>
    <w:p>
      <w:pPr>
        <w:spacing w:after="0" w:line="130" w:lineRule="exact"/>
        <w:rPr>
          <w:rFonts w:ascii="Times New Roman" w:cs="Times New Roman" w:eastAsia="Times New Roman" w:hAnsi="Times New Roman"/>
          <w:sz w:val="18"/>
          <w:szCs w:val="18"/>
          <w:color w:val="auto"/>
        </w:rPr>
      </w:pPr>
    </w:p>
    <w:p>
      <w:pPr>
        <w:ind w:left="960" w:right="460" w:hanging="53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efforts;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under our agreements with third parties that will require us to make substantial payments to those parties;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our sales, marketing and distribution infrastructure and scale up external manufacturing capabilities to commercialize VTAMA and any drug candidates for which we may obtain regulatory approval;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expect to continue to finance our cash needs through a combination of our cash on hand and future equity offerings, debt financings, sales of subsidiaries, and proceeds received from collaborations, strategic alliances or marketing, distribution, licensing or similar arrangements with third parties. To the extent that we raise additional capital through the sale of equity or convertible debt securities, your ownership interest will be diluted, and the terms of these securities may include liquidation or other preferences that adversely affect your rights as a common shareholder. Any agreements for future debt or preferred equity financings, if available, may involve covenants limiting or restricting our ability to take specific actions, such as incurring additional debt, making capital expenditures or declaring dividends. Our ability to raise additional capital may be adversely impacted by potential worsening global economic conditions and the recent disruptions to, and volatility in, the credit and financial markets in the United States and worldwide.</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licensing or similar arrangements with third parties, we may be required to relinquish valuable rights to our technologies, future revenue streams, research programs or product candidates or to grant licenses on terms that may not be favorable to us. Adequate additional funding may not be available to us on acceptable terms, or at all. If we are unable to raise capital in sufficient amounts or on terms acceptable to us, we may have to significantly delay, scale back or discontinue the development or commercialization of our product candidates, grant rights to develop and market product candidates that we would otherwise prefer to develop and market ourselves or potentially discontinue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three months ended June 30, 2022 and 2021:</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42"/>
        </w:trPr>
        <w:tc>
          <w:tcPr>
            <w:tcW w:w="4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55"/>
        </w:trPr>
        <w:tc>
          <w:tcPr>
            <w:tcW w:w="46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5"/>
          </w:tcPr>
          <w:p>
            <w:pPr>
              <w:jc w:val="center"/>
              <w:ind w:right="55"/>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3"/>
                <w:szCs w:val="13"/>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(252,082)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(141,170)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(7,459)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141,976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10,210</w:t>
            </w:r>
          </w:p>
        </w:tc>
      </w:tr>
    </w:tbl>
    <w:p>
      <w:pPr>
        <w:sectPr>
          <w:pgSz w:w="11900" w:h="16838" w:orient="portrait"/>
          <w:cols w:equalWidth="0" w:num="1">
            <w:col w:w="11000"/>
          </w:cols>
          <w:pgMar w:left="440" w:top="297"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Operating Activities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represents the cash receipts and disbursements related to all of our activities other than investing and financing activities. Cash flow from operating activities is derived from adjusting our net loss for non-cash items and changes in working capital.</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cash used in operating activities increased by $110.9 million to $252.1 million compared to the three months ended June 30, 2021. This increase was primarily driven by an increase in cash required to fund operations, particularly as a result of the progression of clinical programs, and to support the commercial launch of VTAMA.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and 2021, cash used in investing activities was primarily related to the purchase of property and equipment.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cash provided by financing activities increased by $131.8 million to $142.0 million compared to the three months ended June 30, 2021. This change was primarily driven by funding pursuant to the terms of the RIPSA following the approval of VTAMA by the FDA in May 2022. During the three months ended June 30, 2021, proceeds were generated by the senior secured credit facility entered into by Dermavant and certain of its subsidiaries with XYQ Luxco, as lender, and U.S. Bank National Association, as collateral agent, partially offset by cash used to repay all amounts outstanding under a previously existing loan and security agreement with Hercules Capital, Inc.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21"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We expect our existing cash and cash equivalents will be sufficient to fund our committed operating expenses and capital expenditure requirements for at least the next twelve months based on current operating plans and financial forecasts. However, we have based this estimate on assumptions that may prove to be wrong, which may require us to use our capital resources sooner than expected. See “Cautionary Note Regarding Forward-Looking Statements” and “Risk Factors” in this Quarterly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condensed consolidated financial statements, which have been prepared in accordance with U.S. generally accepted accounting principles (“U.S. GAAP”). The preparation of these unaudited condensed consolidated financial statements requires us to make estimates, judgments and assumptions that affect the reported amounts of assets and liabilities, and disclosures of contingencies as of the dates of the unaudited condensed consolidated financial statements, and the reported amounts of revenues and expenses during the reporting periods. In accordance with U.S. GAAP,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circumstances, facts, or experience. Changes in estimates and assumptions are reflected in reported results in the period in which they become known.</w:t>
      </w:r>
    </w:p>
    <w:p>
      <w:pPr>
        <w:spacing w:after="0" w:line="19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define our critical accounting policies as those under U.S. GAAP that require us to make subjective estimates and judgments about matters that are uncertain and are likely to have a material impact on our financial condition and results of operations, as well as the specific manner in which we apply those principles. Except as discussed below, there have been no significant changes to our critical accounting policies and use of estimates from those disclosed under Management’s Discussion and Analysis of Financial Condition and Results of Operations for the year ended March 31, 2022 in our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Reserves</w:t>
      </w:r>
    </w:p>
    <w:p>
      <w:pPr>
        <w:spacing w:after="0" w:line="121"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We recognize revenue when the customer obtains control of the product, which occurs at a point in time, either upon shipment or delivery to the customer. Revenues from product sales are recorded at the net sales price, which includes estimates of variable consideration for which reserves are established that result from (a) invoice discounts for prompt payment and specialty distributor and specialty pharmacy service fees, (b) government and private payer rebates, chargebacks, discounts and fees, (c) performance rebates and administrative fees, (d) product returns and (e) costs of co-pay assistance programs for patients. These reserves are based on amounts earned or to be claimed on the related sale and are classified as reductions of accounts receivable (if amount is payable to the customer) or accrued expenses and other current liabilities (if amount is payable to a party other than a customer). Where appropriate, we utilize the expected value method to determine the appropriate amount for estimates of variable consideration. The estimates of reserves established for variable consideration reflect current contractual and statutory requirements, our historical experience,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our estimates. If actual results vary from our estimates, we adjust these estimates in the period such change in estimate becomes known, which could affect net product revenue and earnings in the period of the adjustment.</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make significant estimates and judgments that materially affect our recognition of net product revenue. Claims by third-party payors for rebates, chargebacks and discounts may be submitted to us significantly after the related sales, potentially resulting in adjustments in the period in which the new information becomes known. We will adjust our estimates based on new information, including information regarding actual rebates, chargebacks and discounts for our products, as it becomes available.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w:t>
      </w:r>
    </w:p>
    <w:p>
      <w:pPr>
        <w:sectPr>
          <w:pgSz w:w="11900" w:h="16838" w:orient="portrait"/>
          <w:cols w:equalWidth="0" w:num="1">
            <w:col w:w="11000"/>
          </w:cols>
          <w:pgMar w:left="440" w:top="293" w:right="459" w:bottom="60" w:gutter="0" w:footer="0" w:header="0"/>
        </w:sectPr>
      </w:pPr>
    </w:p>
    <w:bookmarkStart w:id="43" w:name="page44"/>
    <w:bookmarkEnd w:id="43"/>
    <w:p>
      <w:pPr>
        <w:ind w:right="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2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Under SEC rules and regulations, because we are considered to be a “smaller reporting company,” we are not required to provide the information required by this item in this report.</w:t>
      </w:r>
    </w:p>
    <w:p>
      <w:pPr>
        <w:sectPr>
          <w:pgSz w:w="11900" w:h="16838" w:orient="portrait"/>
          <w:cols w:equalWidth="0" w:num="1">
            <w:col w:w="10880"/>
          </w:cols>
          <w:pgMar w:left="440" w:top="297" w:right="579" w:bottom="1440" w:gutter="0" w:footer="0" w:header="0"/>
        </w:sectPr>
      </w:pPr>
    </w:p>
    <w:bookmarkStart w:id="44" w:name="page45"/>
    <w:bookmarkEnd w:id="4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158"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w:t>
      </w:r>
    </w:p>
    <w:p>
      <w:pPr>
        <w:spacing w:after="0" w:line="15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of June 30, 2022, the end of the period covered by this Quarterly Report. Based on this evaluation, our Principal Executive Officer and Principal Financial Officer concluded that our disclosure controls and procedures were effective as of June 30, 2022 at the reasonable assurance level.</w:t>
      </w:r>
    </w:p>
    <w:p>
      <w:pPr>
        <w:sectPr>
          <w:pgSz w:w="11900" w:h="16838" w:orient="portrait"/>
          <w:cols w:equalWidth="0" w:num="1">
            <w:col w:w="10960"/>
          </w:cols>
          <w:pgMar w:left="440" w:top="293"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Changes in Internal Control Over Financial Reporting.</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fiscal quarter ended June 30, 2022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the Effectiveness of Internal Control.</w:t>
      </w:r>
    </w:p>
    <w:p>
      <w:pPr>
        <w:spacing w:after="0" w:line="229"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From time to time, we may become involved in legal or regulatory proceedings arising in the ordinary course of our business. We do not currently, however, expect such legal proceedings to have a material adverse effect on our business, operating results or financial condition. However, depending on the nature and timing of a given dispute, an unfavorable resolution could materially affect our current or future results of operations or cash flows.</w:t>
      </w:r>
    </w:p>
    <w:p>
      <w:pPr>
        <w:spacing w:after="0" w:line="158"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our legal proceedings, refer to “Note 10—Commitments and Contingencies” in our unaudited condensed consolidated financial statements in Part I, Item 1 of this Quarterly Report.</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risks described below, together with the other information contained in this Quarterly Report, including our unaudited condensed consolidated financial statements and the related notes appearing elsewhere in this Quarterly Report, as well as the risks, uncertainties and other information set forth in the reports and other materials filed or furnished by us and our majority-controlled subsidiary, Immunovant, Inc. (“Immunovant”), with the SEC. We cannot assure you that any of the events discussed in the risk factors below will not occur. These risks could have a material and adverse impact on our business, prospects, results of operations, financial condition and cash flows. If any such events were to happen, the trading shares of our Common Shares could decline, and you could lose all or part of your investment.</w:t>
      </w:r>
    </w:p>
    <w:p>
      <w:pPr>
        <w:spacing w:after="0" w:line="183"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“our,” “Roivant” and the “Company” refer to Roivant Sciences Ltd. and its subsidiaries and affiliates, as the context requires.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Strategy</w:t>
      </w:r>
    </w:p>
    <w:p>
      <w:pPr>
        <w:spacing w:after="0" w:line="11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the inherent uncertainties and risks involved in biopharmaceutical product development may make it difficult for us to execute on our business model and for you to assess our future viability. We have not generated significant revenue from our operations since inception, and there is no guarantee that we will do so in the future.</w:t>
      </w:r>
    </w:p>
    <w:p>
      <w:pPr>
        <w:spacing w:after="0" w:line="17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are a newly commercial-stage biopharmaceutical and healthcare technology company with a limited operating history upon which you can evaluate our business and prospects. We were formed in April 2014, and our operations to date have been limited to acquiring or in-licensing product candidates, efforts to discover new product candidates through our small molecule discovery engine, the creation or acquisition of healthcare technology companies and products, starting or acquiring subsidiary businesses, which we refer to as the Vants, in which to house biopharmaceutical products, product candidates or technologies, and hiring management teams to operate the Vants and oversee the development of our products, product candidates and technologies.</w:t>
      </w:r>
    </w:p>
    <w:p>
      <w:pPr>
        <w:spacing w:after="0" w:line="187" w:lineRule="exact"/>
        <w:rPr>
          <w:sz w:val="20"/>
          <w:szCs w:val="20"/>
          <w:color w:val="auto"/>
        </w:rPr>
      </w:pPr>
    </w:p>
    <w:p>
      <w:pPr>
        <w:ind w:right="60" w:firstLine="440"/>
        <w:spacing w:after="0" w:line="239" w:lineRule="auto"/>
        <w:rPr>
          <w:sz w:val="20"/>
          <w:szCs w:val="20"/>
          <w:color w:val="auto"/>
        </w:rPr>
      </w:pPr>
      <w:r>
        <w:rPr>
          <w:rFonts w:ascii="Times New Roman" w:cs="Times New Roman" w:eastAsia="Times New Roman" w:hAnsi="Times New Roman"/>
          <w:sz w:val="18"/>
          <w:szCs w:val="18"/>
          <w:color w:val="auto"/>
        </w:rPr>
        <w:t>We have recently commenced our transition from a clinical-stage to a company with commercial-stage assets. In May 2022, VTAMA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(tapinarof) for the treatment of adults with plaque psoriasis received regulatory approval in the U.S. VTAMA is not currently approved in any other jurisdictions and we do not have any other product candidates that have received regulatory approvals in the U.S. or in any other jurisdiction.</w:t>
      </w:r>
    </w:p>
    <w:p>
      <w:pPr>
        <w:sectPr>
          <w:pgSz w:w="11900" w:h="16838" w:orient="portrait"/>
          <w:cols w:equalWidth="0" w:num="1">
            <w:col w:w="11000"/>
          </w:cols>
          <w:pgMar w:left="440" w:top="293" w:right="45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ability to execute on our business model and generate revenues depends on a number of factors including our ability to:</w:t>
      </w:r>
    </w:p>
    <w:p>
      <w:pPr>
        <w:spacing w:after="0" w:line="131" w:lineRule="exact"/>
        <w:rPr>
          <w:sz w:val="20"/>
          <w:szCs w:val="20"/>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VTAMA;</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new acquisition or in-licensing opportunities;</w:t>
      </w:r>
    </w:p>
    <w:p>
      <w:pPr>
        <w:spacing w:after="0" w:line="130" w:lineRule="exact"/>
        <w:rPr>
          <w:rFonts w:ascii="Times New Roman" w:cs="Times New Roman" w:eastAsia="Times New Roman" w:hAnsi="Times New Roman"/>
          <w:sz w:val="18"/>
          <w:szCs w:val="18"/>
          <w:color w:val="auto"/>
        </w:rPr>
      </w:pPr>
    </w:p>
    <w:p>
      <w:pPr>
        <w:ind w:left="1420" w:right="560" w:hanging="439"/>
        <w:spacing w:after="0" w:line="282"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ongoing preclinical studies and clinical trials and obtain regulatory approvals for our current and future products and product candidates;</w:t>
      </w:r>
    </w:p>
    <w:p>
      <w:pPr>
        <w:spacing w:after="0" w:line="67" w:lineRule="exact"/>
        <w:rPr>
          <w:rFonts w:ascii="Times New Roman" w:cs="Times New Roman" w:eastAsia="Times New Roman" w:hAnsi="Times New Roman"/>
          <w:sz w:val="18"/>
          <w:szCs w:val="18"/>
          <w:color w:val="auto"/>
        </w:rPr>
      </w:pPr>
    </w:p>
    <w:p>
      <w:pPr>
        <w:ind w:left="1420" w:right="320" w:hanging="439"/>
        <w:spacing w:after="0" w:line="282"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new product candidates through our small molecule discovery engine and advance those product candidates into preclinical studies and clinical trials;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healthcare technology products and services;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additional funds when needed and on terms acceptable to us;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experienced management and advisory teams;</w:t>
      </w:r>
    </w:p>
    <w:p>
      <w:pPr>
        <w:spacing w:after="0" w:line="130" w:lineRule="exact"/>
        <w:rPr>
          <w:rFonts w:ascii="Times New Roman" w:cs="Times New Roman" w:eastAsia="Times New Roman" w:hAnsi="Times New Roman"/>
          <w:sz w:val="18"/>
          <w:szCs w:val="18"/>
          <w:color w:val="auto"/>
        </w:rPr>
      </w:pPr>
    </w:p>
    <w:p>
      <w:pPr>
        <w:ind w:left="1420" w:right="240" w:hanging="439"/>
        <w:spacing w:after="0" w:line="282"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clinical, preclinical manufacturing and commercialization efforts and operations;</w:t>
      </w:r>
    </w:p>
    <w:p>
      <w:pPr>
        <w:spacing w:after="0" w:line="67" w:lineRule="exact"/>
        <w:rPr>
          <w:rFonts w:ascii="Times New Roman" w:cs="Times New Roman" w:eastAsia="Times New Roman" w:hAnsi="Times New Roman"/>
          <w:sz w:val="18"/>
          <w:szCs w:val="18"/>
          <w:color w:val="auto"/>
        </w:rPr>
      </w:pPr>
    </w:p>
    <w:p>
      <w:pPr>
        <w:ind w:left="1420" w:right="320" w:hanging="439"/>
        <w:spacing w:after="0" w:line="282"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future product candidates, whether alone or in collaboration with others, including establishing sales, marketing and distribution systems;</w:t>
      </w:r>
    </w:p>
    <w:p>
      <w:pPr>
        <w:spacing w:after="0" w:line="67" w:lineRule="exact"/>
        <w:rPr>
          <w:rFonts w:ascii="Times New Roman" w:cs="Times New Roman" w:eastAsia="Times New Roman" w:hAnsi="Times New Roman"/>
          <w:sz w:val="18"/>
          <w:szCs w:val="18"/>
          <w:color w:val="auto"/>
        </w:rPr>
      </w:pPr>
    </w:p>
    <w:p>
      <w:pPr>
        <w:ind w:left="1420" w:right="420" w:hanging="439"/>
        <w:spacing w:after="0" w:line="266"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relationships with third-party suppliers and manufacturers and have commercial quantities of products and product candidates manufactured at acceptable cost and quality levels and in compliance with the U.S. Food and Drug Administration (the “FDA”) and other regulatory requirements;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acceptable prices for products and product candidates and obtain coverage and adequate reimbursement from third-party payors;</w:t>
      </w:r>
    </w:p>
    <w:p>
      <w:pPr>
        <w:spacing w:after="0" w:line="130"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products and product candidates in the medical community and with third-party payors and consumers;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If we cannot successfully execute on these objectives, our business may not succeed and the price of our Common Shares may be negatively impacted.</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and commercialization, we are unable to predict the timing or amount of increased expenses, or when we will be able to generate any meaningful revenue or achieve or maintain profitability, if ever. Our expenses could increase beyond expectations if we are required by the FDA or comparable non-U.S. regulatory authorities to perform studies or clinical trials in addition to those that are currently anticipated or to otherwise provide data beyond that which we currently believe is necessary to support an application for marketing approval or to continue clinical development, or if there are any delays in any of our or our future collaborators’ clinical trials or the development of our product candidates that we may identify. We anticipate incurring significant costs associated with commercializing VTAMA and any future product candidates, if approved, as well as ongoing compliance efforts.</w:t>
      </w:r>
    </w:p>
    <w:p>
      <w:pPr>
        <w:spacing w:after="0" w:line="189"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We may never be able to develop new marketable drugs or successfully commercialize a marketable drug or achieve profitability. To become profitable, we must succeed in developing and commercializing products that generate significant revenue. Revenue from the sale of any products or product candidate for which regulatory approval is obtained will be dependent, in part, upon the size of the markets in the territories for which we have or may gain regulatory approval, the accepted price for the product, the ability to obtain reimbursement at any price, the strength and term of patent exclusivity for the product, the competitive landscape of the product market, and whether we own the commercial rights for that territory. For example, even though VTAMA for the treatment of adults with plaque psoriasis has received regulatory approval in the U.S., we can provide no assurances that we will be able to achieve profitability based on sales in that indication alone or that we will be able to receive approval of and commercialize VTAMA in other indications or in other jurisdictions. Even if we achieve profitability in the future, we may not be able to sustain profitability in subsequent periods. Our failure to achieve sustained profitability would depress the value of our company and could impair our ability to raise capital, expand our business, expand our pipeline, market our products and, if approved, product candidates, and continue our operations. Our prior losses, combined with expected future losses, have had and will continue to have an adverse effect on our shareholders’ equity and working capital.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never achieve or maintain profitability.</w:t>
      </w:r>
    </w:p>
    <w:p>
      <w:pPr>
        <w:spacing w:after="0" w:line="229"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 product candidate will fail to gain regulatory approval or become commercially viable. While</w:t>
      </w:r>
    </w:p>
    <w:p>
      <w:pPr>
        <w:sectPr>
          <w:pgSz w:w="11900" w:h="16838" w:orient="portrait"/>
          <w:cols w:equalWidth="0" w:num="1">
            <w:col w:w="11020"/>
          </w:cols>
          <w:pgMar w:left="440" w:top="297" w:right="439" w:bottom="1440" w:gutter="0" w:footer="0" w:header="0"/>
        </w:sectPr>
      </w:pPr>
    </w:p>
    <w:bookmarkStart w:id="47" w:name="page48"/>
    <w:bookmarkEnd w:id="4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have received regulatory approval for one product candidate, VTAMA for the treatment of adults with plaque psoriasis in the U.S., we have yet to receive marketing approval for any of our other product candidates anywhere in the world and we have not generated meaningful product revenues from the commercial sale of our biopharmaceutical products. We cannot estimate with precision the extent of our future losses. We may never generate meaningful product revenue from the commercial sales of our products or, if approved, product candidates or achieve or maintain profitability. It is possible that we will continue to incur substantial operating losses for the foreseeable future. Our ability to generate meaningful product revenue and achieve profitability is dependent on the ability to complete the development of our products and product candidates, obtain necessary regulatory approvals for our current and future products and product candidates and manufacture and successfully market our current and future products and product candidates alone or in collaboration with others.</w:t>
      </w:r>
    </w:p>
    <w:p>
      <w:pPr>
        <w:spacing w:after="0" w:line="1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fund our operations, and if we fail to obtain necessary financing, we may not be able to successfully market our products, acquire or in-license new products or product candidates, complete the development and commercialization of our products and product candidates and continue to pursue our drug discovery efforts.</w:t>
      </w:r>
    </w:p>
    <w:p>
      <w:pPr>
        <w:spacing w:after="0" w:line="17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Acquiring or in-licensing, discovering, developing, commercializing and marketing biopharmaceutical products and product candidates is expensive and time consuming, and we expect to require additional capital to acquire or in-license new products or product candidates, pursue the development and commercialization of our current and future products and product candidates, and continue our drug discovery efforts. We are also responsible for payments to third parties under our license and acquisition agreements, including milestone and royalty payments. Because of the inherent uncertainties in these activities – including the outcome of preclinical and clinical trials and the regulatory approval process – we cannot reasonably estimate the actual amounts necessary to successfully complete the development, regulatory approval process and commercialization of our product candidates or any future product candidates.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future funding requirements, both near- and long-term, will depend on many factors, including, but not limited to:</w:t>
      </w:r>
    </w:p>
    <w:p>
      <w:pPr>
        <w:spacing w:after="0" w:line="131" w:lineRule="exact"/>
        <w:rPr>
          <w:sz w:val="20"/>
          <w:szCs w:val="20"/>
          <w:color w:val="auto"/>
        </w:rPr>
      </w:pPr>
    </w:p>
    <w:p>
      <w:pPr>
        <w:ind w:left="1420" w:hanging="43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necessary to complete our ongoing, planned and future clinical trials;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necessary to pursue regulatory approvals for our current and future product candidates;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future acquisitions or in-licensing transactions;</w:t>
      </w:r>
    </w:p>
    <w:p>
      <w:pPr>
        <w:spacing w:after="0" w:line="130" w:lineRule="exact"/>
        <w:rPr>
          <w:rFonts w:ascii="Times New Roman" w:cs="Times New Roman" w:eastAsia="Times New Roman" w:hAnsi="Times New Roman"/>
          <w:sz w:val="18"/>
          <w:szCs w:val="18"/>
          <w:color w:val="auto"/>
        </w:rPr>
      </w:pPr>
    </w:p>
    <w:p>
      <w:pPr>
        <w:ind w:left="1420" w:right="400" w:hanging="439"/>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and costs of our preclinical studies, clinical trials and other related activities, including the ability to enroll patients in a timely manner for our ongoing and planned clinical trials and potential future clinical trials;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our ongoing, planned and future preclinical studies and other drug discovery activities;</w:t>
      </w:r>
    </w:p>
    <w:p>
      <w:pPr>
        <w:spacing w:after="0" w:line="130"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and negotiate acceptable terms for third-party supply and contract manufacturing agreements with contract manufacturing organizations (“CMOs”);</w:t>
      </w:r>
    </w:p>
    <w:p>
      <w:pPr>
        <w:spacing w:after="0" w:line="67"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adequate clinical and commercial supplies of raw materials and drug products for our products and product candidates;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VTAMA, including:</w:t>
      </w:r>
    </w:p>
    <w:p>
      <w:pPr>
        <w:spacing w:after="0" w:line="130" w:lineRule="exact"/>
        <w:rPr>
          <w:rFonts w:ascii="Times New Roman" w:cs="Times New Roman" w:eastAsia="Times New Roman" w:hAnsi="Times New Roman"/>
          <w:sz w:val="18"/>
          <w:szCs w:val="18"/>
          <w:color w:val="auto"/>
        </w:rPr>
      </w:pPr>
    </w:p>
    <w:p>
      <w:pPr>
        <w:ind w:left="2080" w:right="120" w:hanging="653"/>
        <w:spacing w:after="0" w:line="282" w:lineRule="auto"/>
        <w:tabs>
          <w:tab w:leader="none" w:pos="2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VTAMA, including the cost and timing of expanding sales and marketing capabilities or entering into strategic collaborations with third parties; and</w:t>
      </w:r>
    </w:p>
    <w:p>
      <w:pPr>
        <w:spacing w:after="0" w:line="67" w:lineRule="exact"/>
        <w:rPr>
          <w:rFonts w:ascii="Times New Roman" w:cs="Times New Roman" w:eastAsia="Times New Roman" w:hAnsi="Times New Roman"/>
          <w:sz w:val="18"/>
          <w:szCs w:val="18"/>
          <w:color w:val="auto"/>
        </w:rPr>
      </w:pPr>
    </w:p>
    <w:p>
      <w:pPr>
        <w:ind w:left="2080" w:right="60" w:hanging="653"/>
        <w:spacing w:after="0" w:line="282" w:lineRule="auto"/>
        <w:tabs>
          <w:tab w:leader="none" w:pos="2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sales and other revenues from VTAMA, including the sales price and the availability of adequate third-party reimbursement.</w:t>
      </w:r>
    </w:p>
    <w:p>
      <w:pPr>
        <w:spacing w:after="0" w:line="67"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 including current and future patent infringement actions brought against third parties;</w:t>
      </w:r>
    </w:p>
    <w:p>
      <w:pPr>
        <w:spacing w:after="0" w:line="67"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patent infringement actions brought by third parties against us or any of our current or future products or product candidates;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attract and retain qualified personnel.</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cannot be certain that additional capital will be available to us or the Vants on acceptable terms, or at all. If we or the Vants are unable to raise additional capital in sufficient amounts or on terms acceptable to us, we may have to significantly delay, scale back or discontinue our in-licensing and acquisition, discovery, development, commercialization and marketing activities. In addition, attempting to secure additional capital may divert the time and attention of our management from day-to-day activities and harm our business. Because of the numerous risks and uncertainties associated with our business, we are unable to estimate the amounts of increased capital outlays, operating expenditures and capital requirements associated with our current and future product development programs and discovery efforts. Moreover, risks associated with broader market conditions including high levels of inflation and market volatility, both of which have been observed in recent months, may further adversely impact our ability to obtain financing on acceptable terms or at all.</w:t>
      </w:r>
    </w:p>
    <w:p>
      <w:pPr>
        <w:sectPr>
          <w:pgSz w:w="11900" w:h="16838" w:orient="portrait"/>
          <w:cols w:equalWidth="0" w:num="1">
            <w:col w:w="10980"/>
          </w:cols>
          <w:pgMar w:left="440" w:top="297" w:right="479" w:bottom="1440" w:gutter="0" w:footer="0" w:header="0"/>
        </w:sectPr>
      </w:pPr>
    </w:p>
    <w:bookmarkStart w:id="48" w:name="page49"/>
    <w:bookmarkEnd w:id="48"/>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expect that significant additional capital will be needed in the future to continue our planned operations. Until such time, if ever, that we can generate substantial revenues, we expect to continue to finance our cash needs through a combination of equity offerings, debt financings, strategic alliances and license and development agreements or other collaborations at Roivant and the Vants. To the extent that we raise additional capital by issuing equity securities at Roivant or the Vants, our existing shareholders’ ownership, or our ownership in the Vants, may experience substantial dilution, and the terms of these securities may include liquidation or other preferences that could harm the rights of our shareholders. Additionally, any agreements for future debt or preferred equity financings, if available, may involve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products and product candidates, future revenue streams, research programs or technologies or grant licenses on terms that may not be favorable to us. The foregoing restrictions associated with potential sources of additional capital may make it more difficult for us to raise additional capital or to pursue business opportunities, including potential acquisitions.</w:t>
      </w:r>
    </w:p>
    <w:p>
      <w:pPr>
        <w:spacing w:after="0" w:line="192"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If adequate funds are not available to us, we may be required to forego potential in-licensing or acquisition opportunities, delay, limit or terminate one or more development or discovery programs, scale back marketing efforts for our current and future products or be unable to expand operations or otherwise capitalize on business opportunities, which could materially affect our business, prospects, financial condition and results of operations.</w:t>
      </w:r>
    </w:p>
    <w:p>
      <w:pPr>
        <w:spacing w:after="0" w:line="15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marketing and sale of VTAMA or any future products may be unsuccessful or less successful than anticipated.</w:t>
      </w:r>
    </w:p>
    <w:p>
      <w:pPr>
        <w:spacing w:after="0" w:line="159"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In May 2022, the FDA approved VTAMA for the treatment of adults with plaque psoriasis in the U.S. While we have launched VTAMA in the U.S., we have limited experience as a commercial company and therefore face significant risks and uncertainties relating to the commercialization of VTAMA and any future products that receive marketing approval, including:</w:t>
      </w:r>
    </w:p>
    <w:p>
      <w:pPr>
        <w:spacing w:after="0" w:line="81" w:lineRule="exact"/>
        <w:rPr>
          <w:sz w:val="20"/>
          <w:szCs w:val="20"/>
          <w:color w:val="auto"/>
        </w:rPr>
      </w:pPr>
    </w:p>
    <w:p>
      <w:pPr>
        <w:ind w:left="1420" w:hanging="439"/>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effective sales, marketing and customer service personnel;</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access to physicians or persuade adequate numbers of physicians to prescribe VTAMA and any future products;</w:t>
      </w:r>
    </w:p>
    <w:p>
      <w:pPr>
        <w:spacing w:after="0" w:line="142" w:lineRule="exact"/>
        <w:rPr>
          <w:rFonts w:ascii="Times New Roman" w:cs="Times New Roman" w:eastAsia="Times New Roman" w:hAnsi="Times New Roman"/>
          <w:sz w:val="17"/>
          <w:szCs w:val="17"/>
          <w:color w:val="auto"/>
        </w:rPr>
      </w:pPr>
    </w:p>
    <w:p>
      <w:pPr>
        <w:ind w:left="1420" w:right="460" w:hanging="439"/>
        <w:spacing w:after="0" w:line="28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and to price VTAMA and any future products at a price point sufficient to ensure an adequate and attractive level of profitability;</w:t>
      </w:r>
    </w:p>
    <w:p>
      <w:pPr>
        <w:spacing w:after="0" w:line="67" w:lineRule="exact"/>
        <w:rPr>
          <w:rFonts w:ascii="Times New Roman" w:cs="Times New Roman" w:eastAsia="Times New Roman" w:hAnsi="Times New Roman"/>
          <w:sz w:val="18"/>
          <w:szCs w:val="18"/>
          <w:color w:val="auto"/>
        </w:rPr>
      </w:pPr>
    </w:p>
    <w:p>
      <w:pPr>
        <w:ind w:left="1420" w:right="1000" w:hanging="439"/>
        <w:spacing w:after="0" w:line="28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adequate reimbursement for these products will be available from government health administration authorities, private health insurers and other organizations;</w:t>
      </w:r>
    </w:p>
    <w:p>
      <w:pPr>
        <w:spacing w:after="0" w:line="67"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potential co-promotion or partnership agreements, including the failure to realize the expected benefits of such arrangements; and</w:t>
      </w:r>
    </w:p>
    <w:p>
      <w:pPr>
        <w:spacing w:after="0" w:line="67" w:lineRule="exact"/>
        <w:rPr>
          <w:rFonts w:ascii="Times New Roman" w:cs="Times New Roman" w:eastAsia="Times New Roman" w:hAnsi="Times New Roman"/>
          <w:sz w:val="18"/>
          <w:szCs w:val="18"/>
          <w:color w:val="auto"/>
        </w:rPr>
      </w:pPr>
    </w:p>
    <w:p>
      <w:pPr>
        <w:ind w:left="1420" w:right="680" w:hanging="439"/>
        <w:spacing w:after="0" w:line="28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unforeseen costs, expenses and risks associated with the commercialization of biopharmaceutical products, including compliance costs.</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in preparation for our commercial launch of VTAMA, we expect to significantly increase the amount of cash we spend in order to expand our commercial infrastructure. We expect this level of increased cash spending to increase into calendar year 2023. The increased level of cash spending will support our transition to an integrated commercial biopharmaceutical company and to support the commercialization of VTAMA. To the extent that we are able to gain regulatory approval for VTAMA in any other jurisdiction besides the U.S. or to gain regulatory approval for any of our other product candidates in any jurisdiction, we would expect to incur additional increased cash costs.</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Our limited experience as a commercial-stage company means that there is limited information about our ability to overcome many of the risks and uncertainties encountered by companies commercializing products in the biopharmaceutical industry, including the risks and uncertainties outlined above. Further, as we continue to develop and seek regulatory approval of additional product and products candidates, as well as additional indications for VTAMA, and to pursue regulatory approvals for VTAMA and other products and product candidates outside the U.S., it could be difficult for us to obtain and devote the resources necessary to successfully manage our commercialization efforts. If we are unable to manage the risks and uncertainties associated with the commercialization of VTAMA and any future products or product candidates that receive marketing approval, we may be unable to generate significant revenues from the sales of these products and product candidates to achieve profitability, which will materially affect our business, prospects, financial condition and results of operations.</w:t>
      </w:r>
    </w:p>
    <w:p>
      <w:pPr>
        <w:sectPr>
          <w:pgSz w:w="11900" w:h="16838" w:orient="portrait"/>
          <w:cols w:equalWidth="0" w:num="1">
            <w:col w:w="10940"/>
          </w:cols>
          <w:pgMar w:left="440" w:top="297" w:right="5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may not be successful in our efforts to acquire, in-license or discover new product candidates.</w:t>
      </w:r>
    </w:p>
    <w:p>
      <w:pPr>
        <w:spacing w:after="0" w:line="22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successfully identify new product candidates, whether through acquisitions or in-licensing transactions or through our internal discovery capabilities. Our acquisition and in-licensing efforts focus on identifying assets in development by third parties across a diverse range of therapeutic areas that, in our view, are underserved or undervalued. Our strategy often entails designing low-cost studies that result in quick “go/no-go” decisions when deciding whether or how to proceed with future development for a given asset, once acquired. We may decide to proceed with the development of a product candidate on this basis and later determine that the more costly and time intensive trials do not support the initial value the product candidate was thought to hold. Even if a product candidate does prove to be valuable, its value may be less than anticipated at the time of investment. We may also face competition for attractive investment opportunities. A number of entities compete with us for such opportunities, many of which have considerably greater financial and technical resources. If we are unable to identify a sufficient number of such product candidates, or if the product candidates that we identify do not prove to be as valuable as anticipated, we will not be able to generate returns and implement our investment strategy and our business and results of operations may suffer materially.</w:t>
      </w:r>
    </w:p>
    <w:p>
      <w:pPr>
        <w:spacing w:after="0" w:line="194"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Our drug discovery efforts are centered on our small molecule discovery engine. As a company we have relatively limited experience in drug discovery generally, with targeted protein degradation and covalency as approaches to target inhibition and with computational discovery as a technology. Our future success depends, in part, on our ability to successfully use these approaches and technologies to identify promising new product candidates and eventually advance those product candidates through preclinical studies and clinical trials.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Only a limited number of product candidates using the approaches of targeted protein degradation or covalency have been approved in the United States or Europe. The data underlying the feasibility of developing therapeutic products based on these approaches remains both preliminary and limited. We have not yet succeeded and may not succeed in advancing any product candidates developed using our small molecule discovery engine into clinical trials, demonstrating the efficacy and safety of such product candidates or obtaining regulatory approval thereafter. As a result, it is difficult to predict the time and cost of product candidate development from our small molecule discovery engine and we cannot predict whether the application of these approaches will result in the development and regulatory approval of any products. Any problems we experience in the future related to this platform or any of our related development programs may cause significant delays or unanticipated costs or may prevent the development of a commercially viable product. Any of these factors may prevent us from completing our preclinical studies or any clinical trials that we may initiate or commercializing any internally discovered product candidates we may develop on a timely or profitable basis, if at all.</w:t>
      </w:r>
    </w:p>
    <w:p>
      <w:pPr>
        <w:spacing w:after="0" w:line="18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Although we believe that our computational discovery platform has the potential to identify more promising molecules than traditional research methods and to accelerate drug discovery efforts, our focus on using our platform technology to discover and design molecules with therapeutic potential may not result in the discovery and development of commercially viable products for us. Computational discovery is a relatively new approach to drug development. As an organization, we have not yet developed any product candidates using this technology that have advanced into clinical trials and we may fail to identify potential product candidates for clinical development. Even if we are able to advance product candidates identified through our computational discovery platform into clinical trials, those trials may not be successful in demonstrating the efficacy and safety of such product candidates and, as a result, we may not be able to obtain regulatory approvals for those product candidates.</w:t>
      </w:r>
    </w:p>
    <w:p>
      <w:pPr>
        <w:spacing w:after="0" w:line="18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Any such failure to in-license or acquire new product candidates from third parties, or to discover new product candidates using our small molecule discovery engine or computational discovery platforms, would have a material adverse effect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allocation of capital and personnel across our businesses.</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have to make challenging decisions regarding the allocation of capital and personnel across our businesses. We face certain risks associated with these decisions and may fail to capitalize on viable commercial product candidates or profitable market opportunities. For example, we may decide not to pursue a particular in-licensing or acquisition opportunity, or a potential target indication for a product candidate, that later proves to have greater commercial potential than our current and planned development programs and product candidates. Similarly, our management’s attention to one product or product candidate may divert their attention from another opportunity that ultimately might have proven more successful. Our spending on current and future research and development programs and other future product candidates may not yield any commercially viable future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future product candidate.</w:t>
      </w:r>
    </w:p>
    <w:p>
      <w:pPr>
        <w:sectPr>
          <w:pgSz w:w="11900" w:h="16838" w:orient="portrait"/>
          <w:cols w:equalWidth="0" w:num="1">
            <w:col w:w="11000"/>
          </w:cols>
          <w:pgMar w:left="440" w:top="293" w:right="459" w:bottom="1440" w:gutter="0" w:footer="0" w:header="0"/>
        </w:sectPr>
      </w:pPr>
    </w:p>
    <w:bookmarkStart w:id="50" w:name="page51"/>
    <w:bookmarkEnd w:id="50"/>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Additionally, we may pursue additional in-licenses or acquisitions of product candidates or programs, which entails additional risk to us. Identifying, selecting and acquiring promising product candidates requires substantial technical, financial and human resources expertise. Efforts to do so may not result in the actual acquisition or in-license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Vant structure.</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Our products and product candidates are developed at our Vants, which operate similarly to independent biopharmaceutical companies. While we believe that there are significant competitive advantages to this structure, as compared to traditional pharmaceutical companies or smaller biopharma companies, the Vant structure also poses certain risks for our business.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Operating the Vants independently, rather than under a centralized, consolidated management team, may result in increased costs at the Vants, as certain functions or processes, including sales and marketing, clinical and nonclinical personnel, business development, finance, accounting, human resources and legal functions, are replicated across the Vants. There may also be certain start-up costs, associated with the establishment of a new Vant or integration of a newly acquired business into a Vant, which are greater under the Vant model than they would be under a centralized model. The use of the Vant model may also entail increased costs for us, including the time and expenses associated with hiring Vant CEOs and management teams, overseeing Vant equity incentive arrangements and managing compliance-related risks, including the internal controls, reporting systems and procedures necessary for us to operate as a public company. We may also be exposed to increased “key employee” risks, in the event a Vant CEO were to depart, including the loss of other senior Vant personnel, potentially resulting in adverse impacts to commercialization or development work at the Vant. These increased expenses, complexities and other challenges may make using and scaling the Vant model more challenging and costly than it would be for a traditional pharmaceutical company to both operate and expand the number of product candidates under development, which could have a material adverse effect on our consolidated business, financial condition, results of operations or prospects. This decentralized model could also make compliance with applicable laws and regulations more challenging to monitor and may expose us to increased costs that could, in turn, harm our business, financial condition, results of operations or prospects.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a single or limited number of the Vants may, now or in the future, comprise a large proportion of our value. Similarly, a large proportion of our consolidated revenues may be derived from one or a small number of Vants. For example, our only approved product, VTAMA, was developed and is being commercialized by Dermavant, one of our Vants. Any adverse development at Dermavant or any other Vant, including the loss of key members of management, the termination of a key license agreement or other loss of the intellectual property underlying a product or product candidate or the failure of a clinical trial for a product candidate under development at the Vant, could have a material adverse effect on our consolidated business, financial condition, results of operations or prospects.</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manage the Vants in part through our designees who serve on the Vant boards of directors. In their capacities as directors, those individuals owe fiduciary duties to the Vants and their shareholders under applicable law, which may at times require them to take actions that are not directly in our interest. To the extent any such actions have an adverse effect on the value of our ownership interest in the Vant, it could further adversely impact our consolidated business, financial condition, results of operations or prospects.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pandemic resulting from the outbreak of the novel strain of coronavirus, SARS-CoV-2, which causes COVID-19, could adversely impact our business, including the marketing of our products and our ongoing clinical trials and preclinical studies.</w:t>
      </w:r>
    </w:p>
    <w:p>
      <w:pPr>
        <w:spacing w:after="0" w:line="159"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Public health crises such as pandemics or similar outbreaks could adversely impact our business. In December 2019, a novel strain of coronavirus, SARS-CoV-2, which causes COVID-19, emerged. COVID-19 has since spread globally, including to the countries in which we and our business partners conduct business. Governments in affected regions have implemented, and may continue to implement or re-implement, safety precautions, including quarantines, travel restrictions, business closures, cancellations of public gatherings and other measures they deem necessary. Like many other organizations and individuals, we and our employees have taken additional steps to avoid or reduce infection, including limiting travel and implementing remote work arrangements. We will continue to actively monitor the situation and may take further actions that could alter our business operations as may be required by national, state or local authorities, or that we determine are in the best interests of our employees and shareholders.</w:t>
      </w:r>
    </w:p>
    <w:p>
      <w:pPr>
        <w:spacing w:after="0" w:line="171"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We have experienced, and may in the future experience, disruptions as a result of COVID-19 or future pandemics that severely impact our business, commercial and marketing activities, clinical trials and preclinical studies, including:</w:t>
      </w:r>
    </w:p>
    <w:p>
      <w:pPr>
        <w:spacing w:after="0" w:line="67" w:lineRule="exact"/>
        <w:rPr>
          <w:sz w:val="20"/>
          <w:szCs w:val="20"/>
          <w:color w:val="auto"/>
        </w:rPr>
      </w:pPr>
    </w:p>
    <w:p>
      <w:pPr>
        <w:ind w:left="1420" w:right="820" w:hanging="439"/>
        <w:spacing w:after="0" w:line="282"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and market our current and future products and, if approved, product candidates, including as a result of government- or employer-imposed remote work orders and travel and workplace visitor restrictions;</w:t>
      </w:r>
    </w:p>
    <w:p>
      <w:pPr>
        <w:sectPr>
          <w:pgSz w:w="11900" w:h="16838" w:orient="portrait"/>
          <w:cols w:equalWidth="0" w:num="1">
            <w:col w:w="10980"/>
          </w:cols>
          <w:pgMar w:left="440" w:top="297" w:right="479" w:bottom="1440" w:gutter="0" w:footer="0" w:header="0"/>
        </w:sectPr>
      </w:pPr>
    </w:p>
    <w:bookmarkStart w:id="51" w:name="page52"/>
    <w:bookmarkEnd w:id="51"/>
    <w:p>
      <w:pPr>
        <w:ind w:left="1420" w:right="380" w:hanging="43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 decrease in patient health care utilization due to quarantines, travel restrictions, work from home orders or other public health measures;</w:t>
      </w:r>
    </w:p>
    <w:p>
      <w:pPr>
        <w:spacing w:after="0" w:line="67"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commercial supply chain including as a result of quarantines, travel restrictions, work from home orders or other public health measures;</w:t>
      </w:r>
    </w:p>
    <w:p>
      <w:pPr>
        <w:spacing w:after="0" w:line="67" w:lineRule="exact"/>
        <w:rPr>
          <w:rFonts w:ascii="Times New Roman" w:cs="Times New Roman" w:eastAsia="Times New Roman" w:hAnsi="Times New Roman"/>
          <w:sz w:val="18"/>
          <w:szCs w:val="18"/>
          <w:color w:val="auto"/>
        </w:rPr>
      </w:pPr>
    </w:p>
    <w:p>
      <w:pPr>
        <w:ind w:left="1420" w:right="620" w:hanging="43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 and the consequences of such delays or difficulties, including terminating clinical trials prematurely;</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30"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nonclinical experiments due to unforeseen circumstances at contract research organizations (“CROs”), and vendors along their supply chain;</w:t>
      </w:r>
    </w:p>
    <w:p>
      <w:pPr>
        <w:spacing w:after="0" w:line="67" w:lineRule="exact"/>
        <w:rPr>
          <w:rFonts w:ascii="Times New Roman" w:cs="Times New Roman" w:eastAsia="Times New Roman" w:hAnsi="Times New Roman"/>
          <w:sz w:val="18"/>
          <w:szCs w:val="18"/>
          <w:color w:val="auto"/>
        </w:rPr>
      </w:pPr>
    </w:p>
    <w:p>
      <w:pPr>
        <w:ind w:left="1420" w:right="340" w:hanging="43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patients withdrawing from our clinical trials following enrollment as a result of contracting COVID-19, being forced to quarantine or not accepting home health visits;</w:t>
      </w:r>
    </w:p>
    <w:p>
      <w:pPr>
        <w:spacing w:after="0" w:line="67"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ind w:left="1420" w:right="400" w:hanging="439"/>
        <w:spacing w:after="0" w:line="261"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85" w:lineRule="exact"/>
        <w:rPr>
          <w:rFonts w:ascii="Times New Roman" w:cs="Times New Roman" w:eastAsia="Times New Roman" w:hAnsi="Times New Roman"/>
          <w:sz w:val="18"/>
          <w:szCs w:val="18"/>
          <w:color w:val="auto"/>
        </w:rPr>
      </w:pPr>
    </w:p>
    <w:p>
      <w:pPr>
        <w:ind w:left="1420" w:right="300" w:hanging="43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and comparable non-U.S. regulatory agencies, which may impact review and approval timelines;</w:t>
      </w:r>
    </w:p>
    <w:p>
      <w:pPr>
        <w:spacing w:after="0" w:line="67" w:lineRule="exact"/>
        <w:rPr>
          <w:rFonts w:ascii="Times New Roman" w:cs="Times New Roman" w:eastAsia="Times New Roman" w:hAnsi="Times New Roman"/>
          <w:sz w:val="18"/>
          <w:szCs w:val="18"/>
          <w:color w:val="auto"/>
        </w:rPr>
      </w:pPr>
    </w:p>
    <w:p>
      <w:pPr>
        <w:ind w:left="1420" w:right="400" w:hanging="43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67" w:lineRule="exact"/>
        <w:rPr>
          <w:rFonts w:ascii="Times New Roman" w:cs="Times New Roman" w:eastAsia="Times New Roman" w:hAnsi="Times New Roman"/>
          <w:sz w:val="18"/>
          <w:szCs w:val="18"/>
          <w:color w:val="auto"/>
        </w:rPr>
      </w:pPr>
    </w:p>
    <w:p>
      <w:pPr>
        <w:ind w:left="1420" w:right="200" w:hanging="439"/>
        <w:spacing w:after="0" w:line="266"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clinical trials and preclinical studies, including because of sickness of employees or their families, the desire of employees to avoid contact with large groups of people and increased reliance on working from home or mass transit disruptions;</w:t>
      </w:r>
    </w:p>
    <w:p>
      <w:pPr>
        <w:spacing w:after="0" w:line="81" w:lineRule="exact"/>
        <w:rPr>
          <w:rFonts w:ascii="Times New Roman" w:cs="Times New Roman" w:eastAsia="Times New Roman" w:hAnsi="Times New Roman"/>
          <w:sz w:val="18"/>
          <w:szCs w:val="18"/>
          <w:color w:val="auto"/>
        </w:rPr>
      </w:pPr>
    </w:p>
    <w:p>
      <w:pPr>
        <w:ind w:left="1420" w:right="300" w:hanging="43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disruptions to our business generally, including remote working activities and the implementation of new health and safety requirements for our employees;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or suspension of patent or other intellectual property rights.</w:t>
      </w:r>
    </w:p>
    <w:p>
      <w:pPr>
        <w:spacing w:after="0" w:line="225" w:lineRule="exact"/>
        <w:rPr>
          <w:sz w:val="20"/>
          <w:szCs w:val="20"/>
          <w:color w:val="auto"/>
        </w:rPr>
      </w:pPr>
    </w:p>
    <w:p>
      <w:pPr>
        <w:ind w:right="100" w:firstLine="440"/>
        <w:spacing w:after="0" w:line="277" w:lineRule="auto"/>
        <w:rPr>
          <w:sz w:val="20"/>
          <w:szCs w:val="20"/>
          <w:color w:val="auto"/>
        </w:rPr>
      </w:pPr>
      <w:r>
        <w:rPr>
          <w:rFonts w:ascii="Times New Roman" w:cs="Times New Roman" w:eastAsia="Times New Roman" w:hAnsi="Times New Roman"/>
          <w:sz w:val="17"/>
          <w:szCs w:val="17"/>
          <w:color w:val="auto"/>
        </w:rPr>
        <w:t>These and other factors arising from the COVID-19 pandemic, including risks relating to the resurgence or emergence of new variants of SARS-CoV-2, including variants and sub-variants thereof, the efficacy and availability of vaccines and rates of vaccination (including vaccine booster shots), the pandemic worsening in countries that are already afflicted with COVID-19 or the COVID-19 pandemic continuing to spread to additional countries or returning to countries where the pandemic has been partially contained, could further adversely impact our ability to market our products and conduct clinical trials and other business activities, and could have a material adverse impact on our operations and financial condition and results.</w:t>
      </w:r>
    </w:p>
    <w:p>
      <w:pPr>
        <w:spacing w:after="0" w:line="16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operations and financial results, it may also have the effect of heightening many of the other risks described elsewhere, such as those relating to our clinical development operations, the supply chain for our ongoing and planned clinical trials and our ability to seek and receive regulatory approvals for our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potential future payments related to our products and product candidates.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asset in-licensing transactions typically involve low upfront payments combined with milestone and royalty payments contingent upon the achievement of certain future development and commercial events. These arrangements generally involve a payment or payments upon the achievement of certain regulatory milestones, including regulatory approval, and then royalty payments upon the achievement of specified levels of sales, which can extend for up to the life of a product. Some of these payments may become due before a product is generating revenues, in which case we may not have sufficient funds available to meet our obligations. If this were to occur, we would default on our payment obligations and could face penalties, delays in commercialization or development activities or reputational damage. Even for a product that is commercialized and generating revenue, payments could become due that are so large that the investment is not profitable or is less profitable than anticipated. For example, this could occur if at the time of the initial investment, we overestimated the value of the product and agreed to a payment schedule using these inflated estimates. If we are unable to make milestone and royalty payments related to our product candidates when due, our business and prospects could suffer.</w:t>
      </w:r>
    </w:p>
    <w:p>
      <w:pPr>
        <w:sectPr>
          <w:pgSz w:w="11900" w:h="16838" w:orient="portrait"/>
          <w:cols w:equalWidth="0" w:num="1">
            <w:col w:w="10960"/>
          </w:cols>
          <w:pgMar w:left="440" w:top="297"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investment strategy and future growth relies on a number of assumptions, some or all which may not be realized.</w:t>
      </w:r>
    </w:p>
    <w:p>
      <w:pPr>
        <w:spacing w:after="0" w:line="229"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Our investment strategy and plans for future growth rely on a number of assumptions, including, in the case of our products and product candidates, assumptions related to adoption of a particular therapy, incidence and prevalence of an indication, use of a product or product candidate versus competitor therapies and size of the addressable patient populations. Some or all of these assumptions may be incorrect. We cannot accurately predict whether our products or product candidates will achieve significant market acceptance in line with these assumptions or whether there will be a market for our products or product candidates that reaches the anticipated size. If any of these assumptions are incorrect or overstated, our results and future prospects will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past and future acquisitions, partnerships, alliances or other strategic transactions.</w:t>
      </w:r>
    </w:p>
    <w:p>
      <w:pPr>
        <w:spacing w:after="0" w:line="229" w:lineRule="exact"/>
        <w:rPr>
          <w:sz w:val="20"/>
          <w:szCs w:val="20"/>
          <w:color w:val="auto"/>
        </w:rPr>
      </w:pPr>
    </w:p>
    <w:p>
      <w:pPr>
        <w:ind w:right="620" w:firstLine="440"/>
        <w:spacing w:after="0" w:line="312" w:lineRule="auto"/>
        <w:rPr>
          <w:sz w:val="20"/>
          <w:szCs w:val="20"/>
          <w:color w:val="auto"/>
        </w:rPr>
      </w:pPr>
      <w:r>
        <w:rPr>
          <w:rFonts w:ascii="Times New Roman" w:cs="Times New Roman" w:eastAsia="Times New Roman" w:hAnsi="Times New Roman"/>
          <w:sz w:val="17"/>
          <w:szCs w:val="17"/>
          <w:color w:val="auto"/>
        </w:rPr>
        <w:t>We have historically and may in the future enter into various types of corporate transactions, including acquisitions, strategic partnerships, alliances or collaborations and licensing transactions. These past and future transactions pose certain risks to our business, including:</w:t>
      </w:r>
    </w:p>
    <w:p>
      <w:pPr>
        <w:spacing w:after="0" w:line="45" w:lineRule="exact"/>
        <w:rPr>
          <w:sz w:val="20"/>
          <w:szCs w:val="20"/>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liabilities;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or our subsidiaries’ equity securities which would result in dilution to existing shareholders;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including difficulties associated with integrating new personnel;</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away from operating our business;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uncertainties in our ability to maintain key business relationships;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counterparty to any such transaction;</w:t>
      </w:r>
    </w:p>
    <w:p>
      <w:pPr>
        <w:spacing w:after="0" w:line="130" w:lineRule="exact"/>
        <w:rPr>
          <w:rFonts w:ascii="Times New Roman" w:cs="Times New Roman" w:eastAsia="Times New Roman" w:hAnsi="Times New Roman"/>
          <w:sz w:val="18"/>
          <w:szCs w:val="18"/>
          <w:color w:val="auto"/>
        </w:rPr>
      </w:pPr>
    </w:p>
    <w:p>
      <w:pPr>
        <w:ind w:left="1420" w:right="540" w:hanging="439"/>
        <w:spacing w:after="0" w:line="282"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eventually generate revenue from acquired technology or products or product candidates sufficient to meet our objectives in undertaking the acquisition or even to offset the associated acquisition and maintenance costs;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including claims from terminated employees, customers, former shareholders or other third parties.</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expenses, any of which could have a material adverse effect on our business, prospects, financial condition or results of operations.</w:t>
      </w:r>
    </w:p>
    <w:p>
      <w:pPr>
        <w:spacing w:after="0" w:line="176"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Further, any such transactions may be complex, time-consuming and expensive to execute and may be subject to regulatory requirements that could impact our business. There can be no guarantee that we will be able to successfully consummate such acquisitions or other transactions, which could result in a significant diversion of management and other employee time, as well as substantial out-of-pocket costs.</w:t>
      </w:r>
    </w:p>
    <w:p>
      <w:pPr>
        <w:spacing w:after="0" w:line="176"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If any acquisitions or other transactions are not completed for any reason, we may incur significant costs and the market price of our Common Shares may decline. In addition, even if an acquisition or other transaction is consummated, the integration of the acquired business, product or other assets into our Company may be complex and time-consuming, and we may not achieve the anticipated benefits, cost-savings or growth opportunities we expect. Potential difficulties that may be encountered in the integration process include the following: integrating personnel, operations and systems; coordinating geographically dispersed organizations; distracting management and employees from current operations; maintaining the existing business relationships of the acquired company; and managing inefficiencies associated with integrating the operations of the Company and the acquired business, product or other assets. For biopharmaceutical businesses we have acquired or may acquire in the future, or alliances or joint ventures in the biopharmaceutical industry, we may encounter numerous difficulties in developing, manufacturing and marketing any new products or product candidates related to such businesses, which may delay or prevent us from realizing the expected benefits or enhancing our business. We cannot assure you that, following any such acquisition, alliance or partnership, we will achieve the expected synergies to justify the transaction.</w:t>
      </w:r>
    </w:p>
    <w:p>
      <w:pPr>
        <w:spacing w:after="0" w:line="19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past or future acquisitions, partnerships or strategic alliances could cause us to fail to realize the anticipated benefits of these transactions, incur unanticipated liabilities and harm our business generally. There is also a risk that current or future acquisitions will result in the shareholder litigation, incurrence of debt, contingent liabilities, amortization expenses or incremental operating expenses, any of which could harm our financial condition or results of operations.</w:t>
      </w:r>
    </w:p>
    <w:p>
      <w:pPr>
        <w:sectPr>
          <w:pgSz w:w="11900" w:h="16838" w:orient="portrait"/>
          <w:cols w:equalWidth="0" w:num="1">
            <w:col w:w="11020"/>
          </w:cols>
          <w:pgMar w:left="440" w:top="293" w:right="439" w:bottom="1440" w:gutter="0" w:footer="0" w:header="0"/>
        </w:sectPr>
      </w:pPr>
    </w:p>
    <w:bookmarkStart w:id="53" w:name="page54"/>
    <w:bookmarkEnd w:id="5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we obtain a controlling interest in additional companies in the future, it could adversely affect our operating results and the value of our Common Shares, thereby disrupting our business.</w:t>
      </w:r>
    </w:p>
    <w:p>
      <w:pPr>
        <w:spacing w:after="0" w:line="15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part of our strategy, we expect to form and invest in additional wholly-owned and majority-owned subsidiaries. Investments in our existing and any future subsidiaries involve numerous risks, including, but not necessarily limited to, risks related to:</w:t>
      </w:r>
    </w:p>
    <w:p>
      <w:pPr>
        <w:spacing w:after="0" w:line="67" w:lineRule="exact"/>
        <w:rPr>
          <w:sz w:val="20"/>
          <w:szCs w:val="20"/>
          <w:color w:val="auto"/>
        </w:rPr>
      </w:pPr>
    </w:p>
    <w:p>
      <w:pPr>
        <w:ind w:left="1420" w:right="520" w:hanging="439"/>
        <w:spacing w:after="0" w:line="282"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research and development activities in new therapeutic areas or treatment approaches in which we have little to no experience;</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managerial resources from existing operations;</w:t>
      </w:r>
    </w:p>
    <w:p>
      <w:pPr>
        <w:spacing w:after="0" w:line="130" w:lineRule="exact"/>
        <w:rPr>
          <w:rFonts w:ascii="Times New Roman" w:cs="Times New Roman" w:eastAsia="Times New Roman" w:hAnsi="Times New Roman"/>
          <w:sz w:val="18"/>
          <w:szCs w:val="18"/>
          <w:color w:val="auto"/>
        </w:rPr>
      </w:pPr>
    </w:p>
    <w:p>
      <w:pPr>
        <w:ind w:left="1420" w:right="560" w:hanging="439"/>
        <w:spacing w:after="0" w:line="282"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conflicts among new and existing Vants to the extent they have overlapping or competing areas of focus or pipeline products;</w:t>
      </w:r>
    </w:p>
    <w:p>
      <w:pPr>
        <w:spacing w:after="0" w:line="67"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negotiating a proposed acquisition, in-license or investment in a timely manner and at a price or on terms and conditions favorable to us;</w:t>
      </w:r>
    </w:p>
    <w:p>
      <w:pPr>
        <w:spacing w:after="0" w:line="67" w:lineRule="exact"/>
        <w:rPr>
          <w:rFonts w:ascii="Times New Roman" w:cs="Times New Roman" w:eastAsia="Times New Roman" w:hAnsi="Times New Roman"/>
          <w:sz w:val="18"/>
          <w:szCs w:val="18"/>
          <w:color w:val="auto"/>
        </w:rPr>
      </w:pPr>
    </w:p>
    <w:p>
      <w:pPr>
        <w:ind w:left="1420" w:right="700" w:hanging="439"/>
        <w:spacing w:after="0" w:line="282"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combining and integrating a potential acquisition into our existing business to fully realize the benefits of such acquisition;</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regulatory reviews on a proposed acquisition, in-license or investment;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with respect to the proposed acquisition, in-license or investment.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we fail to properly evaluate potential acquisitions, in-licenses, investments or other transactions associated with the creation of new research and development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suffer reputational harm due to our inability to successfully commercialize VTAMA or other failures of our product candidates, which could have further adverse impacts on our business.</w:t>
      </w:r>
    </w:p>
    <w:p>
      <w:pPr>
        <w:spacing w:after="0" w:line="15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Our inability to successfully commercialize VTAMA or the failure of any of our product candidates in ongoing or future clinical trials or preclinical studies, in addition to having a direct adverse impact on our business and prospects, could also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Development of Our Products and Product Candidates</w:t>
      </w:r>
    </w:p>
    <w:p>
      <w:pPr>
        <w:spacing w:after="0" w:line="117"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spacing w:after="0" w:line="17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Our biopharmaceutical product candidates that are in clinical development or preclinical studies will require, as applicable, extensive clinical testing before a New Drug Application (“NDA”) or other similar application for regulatory approval, such as a Biologics License Application (“BLA”) or an application for marketing authorization in the European Union (“EU”) or United Kingdom (“UK”), may be submitted, or extensive preclinical testing before an Investigational New Drug application (“IND”) or an application for authorization to conduct a clinical trial in the EU or UK may be submitted, a Clinical Trial Application (“CTA”). We cannot provide any assurance that we will submit an IND, NDA, CTA or other similar application for regulatory approval for our product candidates within projected timeframes or whether any such application will be approved by the relevant regulatory authorities.</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Clinical trials and preclinical studies are very expensive, time-consuming and difficult to design and implement, in part because they are subject to rigorous regulatory requirements. For instance, the FDA, an institutional review board (“IRB”), an Ethics Committee (“EC”) or other regulatory authorities may not agree with the proposed analysis plans or trial design for the clinical trials of our product candidates, and during any such review, may identify unexpected efficacy or safety concerns, which may delay the effective date of an IND or approval of an NDA, BLA or similar application. The FDA, the European Medicines Agency (“EMA”) or the European Commission or other relevant regulatory authority may also find that the benefits of any product candidate in any applicable indication do not outweigh its risks in a manner sufficient to grant regulatory approval.</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FDA or other regulatory authorities may also not agree with the scope of our proposed investigational plan. For example, they may find that our proposed development program is not sufficient to support a marketing authorization application, or that the</w:t>
      </w:r>
    </w:p>
    <w:p>
      <w:pPr>
        <w:sectPr>
          <w:pgSz w:w="11900" w:h="16838" w:orient="portrait"/>
          <w:cols w:equalWidth="0" w:num="1">
            <w:col w:w="11000"/>
          </w:cols>
          <w:pgMar w:left="440" w:top="293" w:right="459" w:bottom="1440" w:gutter="0" w:footer="0" w:header="0"/>
        </w:sectPr>
      </w:pPr>
    </w:p>
    <w:bookmarkStart w:id="54" w:name="page55"/>
    <w:bookmarkEnd w:id="5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proposed indication is considered to be too broad. Moreover, the FDA or other regulatory authorities may also refuse or impose certain restrictions on our reliance on data supporting our clinical trial application or marketing authorization application should such data originate from studies outside of the relevant jurisdiction or be affected by regulatory non-compliance, including issues of data integrity. In the EU, data derived from clinical trials that were conducted outside the EU cannot be used to support a CTA unless the clinical trial was registered on a relevant database. In each case, this could delay the clinical development and authorization timeline for a given product candidate.</w:t>
      </w:r>
    </w:p>
    <w:p>
      <w:pPr>
        <w:spacing w:after="0" w:line="18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Failures can occur at any stage of development, including clinical trials or preclinical studies, and we could encounter problems that cause us to abandon or repeat clinical trials or preclinical studies. In addition, results from clinical trials or preclinical studies may require further evaluation, delaying the next stage of development or submission of an IND or an NDA or similar application. Further, product candidates in later stages of clinical trials may fail to show the desired safety and efficacy results despite having successfully progressed through preclinical and earlier stage clinical trials. Such product candidates may exhibit safety signals in later stage clinical trials that they did not exhibit in earlier studies or trials. A number of companies in the biopharmaceutical industry have suffered significant setbacks in, or the discontinuation of, advanced clinical trials with a product candidate due to lack of efficacy or adverse safety findings, despite having promising results in earlier trials or studies. Likewise, the results of early clinical trials or preclinical studies of our product candidates may not be predictive of the results of future development programs. There can also be no assurance that the results of studies conducted by collaborators or other third parties with similar product candidates in similar indications will be viewed favorably or indicative of our own future trial results.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commencement and completion of preclinical studies and clinical trials may be delayed by several factors, including:</w:t>
      </w:r>
    </w:p>
    <w:p>
      <w:pPr>
        <w:spacing w:after="0" w:line="131" w:lineRule="exact"/>
        <w:rPr>
          <w:sz w:val="20"/>
          <w:szCs w:val="20"/>
          <w:color w:val="auto"/>
        </w:rPr>
      </w:pPr>
    </w:p>
    <w:p>
      <w:pPr>
        <w:ind w:left="1420" w:hanging="439"/>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authorization to commence a clinical trial or reaching consensus with regulatory authorities regarding the design or implementation of our studies;</w:t>
      </w:r>
    </w:p>
    <w:p>
      <w:pPr>
        <w:spacing w:after="0" w:line="67" w:lineRule="exact"/>
        <w:rPr>
          <w:rFonts w:ascii="Times New Roman" w:cs="Times New Roman" w:eastAsia="Times New Roman" w:hAnsi="Times New Roman"/>
          <w:sz w:val="18"/>
          <w:szCs w:val="18"/>
          <w:color w:val="auto"/>
        </w:rPr>
      </w:pPr>
    </w:p>
    <w:p>
      <w:pPr>
        <w:ind w:left="1420" w:right="380" w:hanging="439"/>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issues, including the receipt of any inspectional observations on FDA’s Form-483, Warning or Untitled Letters, clinical holds, or complete response letters or similar communications/objections by other regulatory authorities;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subjects experiencing severe or unexpected adverse events;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trials;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any dosing issues, including those raised by the FDA or other regulatory authorities;</w:t>
      </w:r>
    </w:p>
    <w:p>
      <w:pPr>
        <w:spacing w:after="0" w:line="130" w:lineRule="exact"/>
        <w:rPr>
          <w:rFonts w:ascii="Times New Roman" w:cs="Times New Roman" w:eastAsia="Times New Roman" w:hAnsi="Times New Roman"/>
          <w:sz w:val="18"/>
          <w:szCs w:val="18"/>
          <w:color w:val="auto"/>
        </w:rPr>
      </w:pPr>
    </w:p>
    <w:p>
      <w:pPr>
        <w:ind w:left="1420" w:right="100" w:hanging="439"/>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 on acceptable terms with prospective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or failure to recruit suitable patients to participate in a trial;</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add a sufficient number of clinical trial sites;</w:t>
      </w:r>
    </w:p>
    <w:p>
      <w:pPr>
        <w:spacing w:after="0" w:line="130"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impact from changes in or modifications to protocols or clinical trial design, including those that may be required by the FDA or other regulatory authorities;</w:t>
      </w:r>
    </w:p>
    <w:p>
      <w:pPr>
        <w:spacing w:after="0" w:line="67" w:lineRule="exact"/>
        <w:rPr>
          <w:rFonts w:ascii="Times New Roman" w:cs="Times New Roman" w:eastAsia="Times New Roman" w:hAnsi="Times New Roman"/>
          <w:sz w:val="18"/>
          <w:szCs w:val="18"/>
          <w:color w:val="auto"/>
        </w:rPr>
      </w:pPr>
    </w:p>
    <w:p>
      <w:pPr>
        <w:ind w:left="1420" w:right="500" w:hanging="439"/>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clinical investigators or study participants to follow our clinical and other applicable protocols or applicable regulatory requirements;</w:t>
      </w:r>
    </w:p>
    <w:p>
      <w:pPr>
        <w:spacing w:after="0" w:line="67" w:lineRule="exact"/>
        <w:rPr>
          <w:rFonts w:ascii="Times New Roman" w:cs="Times New Roman" w:eastAsia="Times New Roman" w:hAnsi="Times New Roman"/>
          <w:sz w:val="18"/>
          <w:szCs w:val="18"/>
          <w:color w:val="auto"/>
        </w:rPr>
      </w:pPr>
    </w:p>
    <w:p>
      <w:pPr>
        <w:ind w:left="1420" w:right="100" w:hanging="439"/>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IRB or EC refusing to approve, suspending, or terminating the trial at an investigational site, precluding enrollment of additional subjects, or withdrawing their approval of the trial;</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premature discontinuation of study participants from clinical trials or missing data;</w:t>
      </w:r>
    </w:p>
    <w:p>
      <w:pPr>
        <w:spacing w:after="0" w:line="130" w:lineRule="exact"/>
        <w:rPr>
          <w:rFonts w:ascii="Times New Roman" w:cs="Times New Roman" w:eastAsia="Times New Roman" w:hAnsi="Times New Roman"/>
          <w:sz w:val="18"/>
          <w:szCs w:val="18"/>
          <w:color w:val="auto"/>
        </w:rPr>
      </w:pPr>
    </w:p>
    <w:p>
      <w:pPr>
        <w:jc w:val="both"/>
        <w:ind w:left="1420" w:right="300" w:hanging="439"/>
        <w:spacing w:after="0" w:line="312" w:lineRule="auto"/>
        <w:tabs>
          <w:tab w:leader="none" w:pos="14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manufacture or release sufficient quantities of our product candidates or failure to obtain sufficient quantities of active comparator medications for our clinical trials, if applicable, that in each case meet our quality standards, for use in clinical trials;</w:t>
      </w:r>
    </w:p>
    <w:p>
      <w:pPr>
        <w:spacing w:after="0" w:line="45" w:lineRule="exact"/>
        <w:rPr>
          <w:rFonts w:ascii="Times New Roman" w:cs="Times New Roman" w:eastAsia="Times New Roman" w:hAnsi="Times New Roman"/>
          <w:sz w:val="17"/>
          <w:szCs w:val="17"/>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unblinding of trial results.</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planned and ongoing clinical trials. Further, we, the FDA or other regulatory authorities may suspend our clinical trials in an entire country at any time, or an IRB/EC may suspend our clinical trial sites within any country, if it appears that we or our collaborators are failing to conduct a trial in accordance with the protocol, applicable regulatory requirements, including Good Clinical Practice (“GCP”) regulations, that we are exposing participants to unacceptable health risks, or if the FDA or other regulatory authority finds deficiencies in our IND or equivalent applications for other countries or in the manner in which clinical trials are conducted. Therefore, we cannot predict with any certainty the schedule for commencement and completion of future clinical trials.</w:t>
      </w:r>
    </w:p>
    <w:p>
      <w:pPr>
        <w:sectPr>
          <w:pgSz w:w="11900" w:h="16838" w:orient="portrait"/>
          <w:cols w:equalWidth="0" w:num="1">
            <w:col w:w="10980"/>
          </w:cols>
          <w:pgMar w:left="440" w:top="297" w:right="479" w:bottom="1440" w:gutter="0" w:footer="0" w:header="0"/>
        </w:sectPr>
      </w:pPr>
    </w:p>
    <w:bookmarkStart w:id="55" w:name="page56"/>
    <w:bookmarkEnd w:id="55"/>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we experience delays in the commencement or completion of our clinical trials, or if we terminate a clinical trial prior to completion, the commercial prospects of our product candidates could be harmed, and our ability to generate product revenue from any of our product candidates, if approved, may be delayed. In addition, any delays in our clinical trials could increase our costs, cause a decline in our share price, slow down the approval process, and jeopardize our ability to commence product sales and generate revenue. Any of these occurrences may harm our business, financial condition and results of operations. In addition, many of the factors that cause or lead to a termination or suspension of, or delay in the commencement or completion of clinical trials may also ultimately lead to the denial of regulatory approval of our product candidates. We may make formulation or manufacturing changes to our product candidates, in which case we may need to conduct additional preclinical or 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 candidates to market before we do, and the commercial viability of our product candidates could be significantly reduced.</w:t>
      </w:r>
    </w:p>
    <w:p>
      <w:pPr>
        <w:spacing w:after="0" w:line="194"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authorities may therefore question the integrity of the data generated at the applicable clinical trial site and the utility of the clinical trial itself may be jeopardized. This could result in a delay in approval, or rejection, of our marketing and authorization applications by the FDA or other regulatory authorities, as the case may be, and may ultimately lead to the denial of marketing approval of any of our product candidates.</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for our products or product candidates that are in clinical development, prior to our acquisition of the rights to those products or product candidates we had no involvement with or control over the preclinical or clinical development of those products or product candidates. We are therefore dependent on our licensing and other transaction partners having conducted such research and development in accordance with the applicable protocols and legal, regulatory and scientific standards, having accurately reported the results of all clinical trials and other research they conducted prior to our acquisition of the rights to those products or product candidates, having correctly collected and interpreted the data from these trials and other research and having supplied us with complete information, data sets and reports required to adequately demonstrate the results reported through the date of our acquisition of these products or product candidates. Problems associated with the pre-acquisition development of our products or product candidates could result in increased costs and delays in the commercialization of our products or development of our product candidates, which could harm our ability to generate any future revenue from sales of products or, if approved, product candidates.</w:t>
      </w:r>
    </w:p>
    <w:p>
      <w:pPr>
        <w:spacing w:after="0" w:line="1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from our small molecule discovery engine is unproven, which makes it difficult to predict the time, cost of development and likelihood of successfully developing any product candidates from this platform.</w:t>
      </w:r>
    </w:p>
    <w:p>
      <w:pPr>
        <w:spacing w:after="0" w:line="15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Treating diseases using targeted protein degradation, covalency and similar approach is novel and unproven. Our future success depends in part on the successful development of these new therapeutic approaches. Very few small molecule product candidates using targeted protein degradation or covalency have been tested in humans. Only a limited number of product candidates using targeted protein degradation or covalency have been approved in the United States or Europe and the data underlying the feasibility of developing these types of therapeutic products remains both preliminary and limited. If any adverse learnings are made by other developers of protein degraders or covalent inhibitors, development of these product candidates could be materially impacted, which could in turn adversely impact our financial condition and future growth.</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scientific research that forms the basis of our efforts to develop product candidates from our small molecule discovery engine is ongoing and the scientific evidence to support the feasibility of developing these treatments is both preliminary and limited. In addition, we may be unable to replicate the scientific evidence supporting these product candidates observed by our academic collaborators in commercial laboratories.</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Further, certain cancer patients have shown inherent primary resistance to approved drugs that inhibit disease-causing proteins and other patients have developed acquired secondary resistance to these inhibitors. Although we believe our product candidates may have the ability to degrade the specific mutations that confer resistance to currently marketed inhibitors of disease-causing enzymes, any inherent primary or acquired secondary resistance to our product candidates in patients, or if the research proves to be contradicted, would prevent or diminish their clinical benefit.</w:t>
      </w:r>
    </w:p>
    <w:p>
      <w:pPr>
        <w:sectPr>
          <w:pgSz w:w="11900" w:h="16838" w:orient="portrait"/>
          <w:cols w:equalWidth="0" w:num="1">
            <w:col w:w="10980"/>
          </w:cols>
          <w:pgMar w:left="440" w:top="297" w:right="479" w:bottom="1440" w:gutter="0" w:footer="0" w:header="0"/>
        </w:sectPr>
      </w:pPr>
    </w:p>
    <w:bookmarkStart w:id="56" w:name="page57"/>
    <w:bookmarkEnd w:id="56"/>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have not yet completed IND-enabling work for, or initiated a clinical trial of, any product candidate associated with our small molecule discovery engine and we have not yet assessed the safety of any of these product candidates in humans. Although some of our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products or product candidates that we cannot predict at this time.</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Additionally, the regulatory approval process for novel product candidates such as those associated with our small molecule discovery engine is uncertain and can be more expensive and take longer than for other, better-known or extensively studied classes of product candidates. Although other companies are also developing therapeutics based on targeted protein degradation and similar approaches, only a limited number of product candidates of this type have been approved in the United States or Europe. As a result, it is difficult for us to predict the time and cost of developing our product candidates and we cannot predict whether any of our product candidates will receive marketing approval or achieve commercial acceptance. Any development problems we experience in the future related to our small molecule discovery engine or any of our related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and product candidates are novel, complex and difficult to manufacture. We could experience manufacturing problems that result in delays in our development or commercialization programs or otherwise harm our business.</w:t>
      </w:r>
    </w:p>
    <w:p>
      <w:pPr>
        <w:spacing w:after="0" w:line="15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manufacturing processes our CMOs use to produce our products and product candidates are complex, novel and, in the case of our product candidates, have not necessarily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0"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Our biologic product candidates may require processing steps that are more complex than those required for most small molecule drugs. Moreover, unlike small molecules, the physical and chemical properties of biologics generally cannot be fully characterized.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EU or other applicable standards or specifications with consistent and acceptable production yields and costs.</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comparable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18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 Any problems in our CMOs’ manufacturing processes or facilities could result in delays in planned clinical trials and increased costs, and could make us a less attractive collaborator for potential partners, including larger biopharmaceutical companies and academic research institutions, which could limit access to additional attractive development programs. Problems in any of our manufacturing processes could restrict our ability to meet potential future market demand for our products or to conduct clinical trials with our product candidates.</w:t>
      </w:r>
    </w:p>
    <w:p>
      <w:pPr>
        <w:spacing w:after="0" w:line="18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enrolling and retaining patients in clinical trials, and clinical development activities could thereby be delayed or otherwise adversely affected.</w:t>
      </w:r>
    </w:p>
    <w:p>
      <w:pPr>
        <w:spacing w:after="0" w:line="15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may encounter delays or difficulties in enrolling, or be unable to enroll, a sufficient number of patients to complete any of our clinical trials for our products or product candidates on current timelines, or at all, and even once enrolled we may be unable to retain a sufficient number of patients to complete any of our clinical trials for these products or product candidates. Enrollment in our clinical trials may also be slower than we anticipate, or be stopped, leading to delays in the development timelines for our products and product candidates.</w:t>
      </w:r>
    </w:p>
    <w:p>
      <w:pPr>
        <w:sectPr>
          <w:pgSz w:w="11900" w:h="16838" w:orient="portrait"/>
          <w:cols w:equalWidth="0" w:num="1">
            <w:col w:w="11000"/>
          </w:cols>
          <w:pgMar w:left="440" w:top="297" w:right="459" w:bottom="1440" w:gutter="0" w:footer="0" w:header="0"/>
        </w:sectPr>
      </w:pPr>
    </w:p>
    <w:bookmarkStart w:id="57" w:name="page58"/>
    <w:bookmarkEnd w:id="5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Patient enrollment and retention in clinical trials depends on many factors, including the size of the patient population, the nature of the trial protocol, our ability to recruit clinical trial investigators with the appropriate competencies and experience, delays in enrollment due to travel or quarantine policies, or other factors, related to COVID-19,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our ability to successfully complete prerequisite studies before enrolling certain patient populations. For certain of our products and product candidates, including batoclimab, which targets certain rare autoimmune indications, there are limited patient pools from which to draw in order to complete our clinical trials in a timely and cost-effective manner. In addition, for certain of our early-stage development programs, there may be a limited number of sites where it is feasible to run clinical trials, making such programs particularly susceptible to delays caused by issues at those sites.</w:t>
      </w:r>
    </w:p>
    <w:p>
      <w:pPr>
        <w:spacing w:after="0" w:line="18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Furthermore, any negative results or new safety signals we may report in clinical trials of our products or product candidates may make it difficult or impossible to recruit and retain patients in other clinical trials we are conducting or to resume enrolling patients once a paused clinical trial has been resumed. For example, in February 2021, our subsidiary, Immunovant, voluntarily paused dosing in its clinical trials for batoclimab globally due to elevated total cholesterol and low-density lipoprotein (“LDL”) levels observed in some patients treated with batoclimab, resulting in a delay in Immunovant’s development of batoclimab. In current and future trials of batoclimab, it may be more difficult for Immunovant to recruit and retain patients for such clinical trials.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products and product candidates, or could render further development impracticable. In addition, we expect to rely on CROs and clinical trial sites to ensure proper and timely conduct of our future clinical trials, and, while we intend to enter into agreements governing their services, we will be limited in our ability to compel their actual performance. Any such delays in our current or future clinical trials could have a material adverse impact on our operations and financial condition and results.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proposed claims for our products or product candidates, or regulatory approvals on a timely basis or at all, and the results of earlier studies and trials may not be predictive of future trial results.</w:t>
      </w:r>
    </w:p>
    <w:p>
      <w:pPr>
        <w:spacing w:after="0" w:line="159"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Success in preclinical testing and early clinical trials does not ensure that later clinical trials will be successful, and we cannot be sure that the results of later clinical trials will replicate the results of prior preclinical studies and earlier clinical trials. For example, we cannot assure you that the reductions in IgG antibodies that we have observed to date in our clinical trials of batoclimab will be observed in any future clinical trials. Likewise, promising interim results or other preliminary analyses do not ensure that the clinical trial as a whole will be successful and may lack statistical significance, which would further limit the reliability of such interim or preliminary data. A number of companies in the pharmaceutical industry, including biotechnology companies, have suffered significant setbacks in, or the discontinuation of, clinical trials, even after promising results were seen with their product candidates in earlier preclinical studies or clinical trials. These setbacks have been caused by, among other things, preclinical findings made while clinical trials were underway and safety or efficacy observations made in clinical trials, including previously unobserved adverse events.</w:t>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As previously disclosed, our subsidiary, Immunovant, voluntarily paused dosing in its early phase clinical studies to evaluate batoclimab-induced elevations in total cholesterol and LDL levels observed in some trial subjects. In December 2021, Immunovant achieved alignment with the FDA Division of Neurology 1 to move forward with its pivotal study of batoclimab as treatment for myasthenia gravis (“MG”) and initiated its Phase 3 trial in MG in June 2022. Following expected discussions with the FDA Division of Hematology, Immunovant intends to initiate a randomized, placebo-controlled study of batoclimab as treatment for warm autoimmune hemolytic anemia (“WAIHA”). In addition, Immunovant recently achieved alignment with the FDA Division of Ophthalmology to move forward in thyroid eye disease (“TED”). It plans to initiate its pivotal program for batoclimab in TED in calendar year 2022. Immunovant continues to evaluate potential new indications for batoclimab and plans to announce two new indications by August 2022. Immunovant expects one of its three indications beyond MG and TED to be initiated as a pivotal study in calendar year 2022. Failure to successfully complete or replicate clinical trials of batoclimab and to demonstrate the efficacy and safety necessary to obtain regulatory approval to market batoclimab would significantly harm our business.</w:t>
      </w:r>
    </w:p>
    <w:p>
      <w:pPr>
        <w:sectPr>
          <w:pgSz w:w="11900" w:h="16838" w:orient="portrait"/>
          <w:cols w:equalWidth="0" w:num="1">
            <w:col w:w="11000"/>
          </w:cols>
          <w:pgMar w:left="440" w:top="297" w:right="459" w:bottom="1440" w:gutter="0" w:footer="0" w:header="0"/>
        </w:sectPr>
      </w:pPr>
    </w:p>
    <w:bookmarkStart w:id="58" w:name="page59"/>
    <w:bookmarkEnd w:id="58"/>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results of preclinical studies and early clinical trials of our products and product candidates may not be predictive of the results of later-stage clinical trials. Products and product candidates in later stage clinical trials may fail to show the desired safety and efficacy traits despite having progressed through preclinical and initial clinical trials. A future failure of a clinical trial to meet its pre-specified endpoints may cause us to abandon development of the product candidate in question. Any delay in, or termination of, our clinical trials will prevent or delay the submission of an NDA or other similar applications to the FDA or other relevant comparable non-U.S. regulatory authorities and, ultimately, our ability to commercialize our products or, if approved, our product candidates, and generate product revenues. Even if our clinical trials are completed as planned, we cannot be certain that their results will support our claims for differentiation or the effectiveness or safety of our products and product candidates. The FDA has substantial discretion in the review and approval process and may disagree that our data support the differentiated claims we propose. In addition, only a small percentage of product candidates under development result in the submission of an NDA or other similar application to the FDA and other comparable non-U.S. regulatory authorities and even fewer are approved for commercialization.</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and in some countries, in line with the applicable requirements set out in legislation and guidance, we may publicly disclose preliminary or top-line data from our clinical trials, which is based on a preliminary analysis of then-available top-line data. These results and related findings and conclusions are subject to change following a full analysis of all data related to the particular trial. We also make assumptions, estimations, calculations and conclusions as part of our analyses of data, and we may not have received or had the opportunity to fully and carefully evaluate all data. As a result, the preliminary and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top-line data we previously reported. As a result, preliminary and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 Further, disclosure of preliminary or interim data by us or by our competitors could result in increased volatility in the price of our shares.</w:t>
      </w:r>
    </w:p>
    <w:p>
      <w:pPr>
        <w:spacing w:after="0" w:line="19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Further, other parties,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or product candidate and our business in general. In addition, the information we choose or are required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products and product candidates, our business, operating results, prospects or financial condition may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manufacturing or formulation may result in additional costs or delay.</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our products and product candidates proceed through the development process,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products or product candidates to perform differently and affect the results of planned clinical trials or other future clinical trials conducted with the altered materials. Such changes may also require additional testing, FDA notification or FDA approval. Similar requirements apply in other jurisdictions. This could delay the completion, or result in the abandonment, of clinical trials, require the conduct of bridging clinical trials, the repetition of one or more clinical trials, increase clinical trial costs, delay approval of our products and product candidates and jeopardize our ability to commence sales and generate revenues.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our clinical trials, and if those third parties perform in an unsatisfactory manner or fail to comply with applicable requirements, it may harm our business.</w:t>
      </w:r>
    </w:p>
    <w:p>
      <w:pPr>
        <w:spacing w:after="0" w:line="15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and we expect to have limited influence over their actual performance. In addition, we rely upon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contract, protocol, legal, regulatory and scientific standards and that clinical trial sites meet applicable protocol and regulatory requirements. Our reliance on CROs does not relieve us of our regulatory or specified contractual responsibilities.</w:t>
      </w:r>
    </w:p>
    <w:p>
      <w:pPr>
        <w:sectPr>
          <w:pgSz w:w="11900" w:h="16838" w:orient="portrait"/>
          <w:cols w:equalWidth="0" w:num="1">
            <w:col w:w="11000"/>
          </w:cols>
          <w:pgMar w:left="440" w:top="297" w:right="459" w:bottom="1440" w:gutter="0" w:footer="0" w:header="0"/>
        </w:sectPr>
      </w:pPr>
    </w:p>
    <w:bookmarkStart w:id="59" w:name="page60"/>
    <w:bookmarkEnd w:id="59"/>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and our CROs are required to comply with Good Laboratory Practices (“GLPs”) and GCPs, which are regulations and guidelines enforced by the FDA and other comparable non-U.S. regulatory authorities, which also require compliance with the International Council for Harmonization of Technical Requirements for Pharmaceuticals for Human Use (“ICH”) guidelines for any of our products and product candidates that are in preclinical and clinical development. The regulatory authorities enforce GCP regulations through periodic inspections of trial sponsors, principal investigators and clinical trial sites. Although we may rely on CROs to conduct our GLP-compliant nonclinical studies and GCP-compliant clinical trials, we remain responsible for ensuring that each of our GLP nonclinical studies and GCP clinical trials is conducted in accordance with its investigational plan and protocol and applicable laws and regulations. Our expected reliance on the CROs does not relieve us of our regulatory responsibilities. If we or our CROs fail to comply with GCPs, the clinical data generated in our clinical trials may be deemed unreliable and the FDA or comparable non-U.S. regulatory authorities may reject our marketing authorization applications and require us to perform additional clinical trials before approving our marketing applications. Accordingly, if our CROs fail to comply with these regulations or other applicable laws, regulations or standards, or fail to recruit a sufficient number of subjects, we may be required to repeat clinical trials, which would delay the regulatory approval process. Failure by any future CROs to properly execute study protocols in accordance with applicable law could also create product liability and healthcare regulatory risks for us as sponsors of those studies.</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CROs are independent, third-party organizations and we do not control whether they devote sufficient time, attention and resources to our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or product candidate that we develop. As a result, our financial results and the commercial prospects for any product or product candidate that we develop would be harmed, our costs could increase, and our ability to generate revenues could be delayed.</w:t>
      </w:r>
    </w:p>
    <w:p>
      <w:pPr>
        <w:spacing w:after="0" w:line="194"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If our relationships with these CROs terminate, we may not be able to enter into arrangements with alternative CROs or do so on commercially reasonable terms or in a timely manner. Switching or adding additional CROs involves substantial cost and requires management time and focus. In addition, there is a natural transition period when a new CRO commences work. As a result, delays occur, which can adversely impact our ability to meet our desired clinical development timelines. Though we intend to carefully manage our relationships with the CROs, there can be no assurance that we will not encounter challenges or delays in the future or that these delays or challenges will not have an adverse impact on our business, financial condition and prospects.</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our own manufacturing capabilities and rely on third parties to produce clinical and commercial supplies of our products and product candidates.</w:t>
      </w:r>
    </w:p>
    <w:p>
      <w:pPr>
        <w:spacing w:after="0" w:line="15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do not own or operate, and do not expect to own or operate, facilities for product manufacturing, storage and distribution or testing. Accordingly, we rely on third parties to produce commercial and clinical supplies of our products and product candidates. For example, Dermavant and GSK have entered into manufacturing and supply agreements pursuant to which GSK is providing both commercial drug product and drug substance for VTAMA as well as drug product and drug substance for Dermavant’s ongoing Phase III clinical trial of VTAMA in atopic dermatitis. If GSK does not fulfill its obligations under these agreements, Dermavant’s ability to sell VTAMA commercially and conduct its ongoing and future clinical trials with VTAMA may be adversely impacted.</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Third-party vendors may be difficult to identify for our product process and formulation development and manufacturing due to special capabilities required, and they may not be able to meet our quality standards. In addition, certain of our third-party manufacturers and suppliers may encounter delays in providing their services as a result of supply chain constraints. If any third-party manufacturers or third parties in the supply chain for materials used in the production of our products or product candidates are adversely impacted by supply chain constraints, our supply chain may be disrupted, limiting our ability to manufacture our products for commercialization and products or product candidates for our preclinical studies, clinical trials and research and development activities. Any significant delay in the supply of a product or product candidate, or the raw material components thereof, for either commercialization or an ongoing clinical trial, due to the need to replace a third-party manufacturer or otherwise, could considerably delay marketing efforts for the product in question or the completion of clinical trials, product testing and potential regulatory approval of the product candidate in question. If our manufacturers or we are unable to purchase these raw materials after regulatory approval has been obtained for our products or product candidates, the commercial launch of our products or product candidates would be delayed or there would be a shortage in supply, which would impair our ability to generate revenue from the sale of our</w:t>
      </w:r>
    </w:p>
    <w:p>
      <w:pPr>
        <w:sectPr>
          <w:pgSz w:w="11900" w:h="16838" w:orient="portrait"/>
          <w:cols w:equalWidth="0" w:num="1">
            <w:col w:w="11000"/>
          </w:cols>
          <w:pgMar w:left="440" w:top="297" w:right="459" w:bottom="1440" w:gutter="0" w:footer="0" w:header="0"/>
        </w:sectPr>
      </w:pPr>
    </w:p>
    <w:bookmarkStart w:id="60" w:name="page61"/>
    <w:bookmarkEnd w:id="60"/>
    <w:p>
      <w:pPr>
        <w:ind w:right="2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products or product candidates and may require notification to the FDA or other regulatory authorities. Moreover, as a result of projected supply constraints for certain materials used in the production of our products or product candidates, we have in the past and may in the future reserve manufacturing capacity in advance of receiving required efficacy or safety results from our clinical trials, which may involve committing substantial financial resources to current or future products or product candidates that may never be approved or achieve commercialization at scale or at all. In addition, legislative, executive and regulatory proposals are pending to, among other things, prevent drug shortages, improve pandemic preparedness and reduce the dependency of the United States on foreign supply chains and manufacturing. While we are still assessing these developments, they could impact our selection and utilization of CMOs, vendors and other suppliers and could have a material adverse impact on our business, financial condition and results of operations.</w:t>
      </w:r>
    </w:p>
    <w:p>
      <w:pPr>
        <w:spacing w:after="0" w:line="192" w:lineRule="exact"/>
        <w:rPr>
          <w:sz w:val="20"/>
          <w:szCs w:val="20"/>
          <w:color w:val="auto"/>
        </w:rPr>
      </w:pPr>
    </w:p>
    <w:p>
      <w:pPr>
        <w:ind w:right="60" w:firstLine="440"/>
        <w:spacing w:after="0" w:line="270" w:lineRule="auto"/>
        <w:rPr>
          <w:sz w:val="20"/>
          <w:szCs w:val="20"/>
          <w:color w:val="auto"/>
        </w:rPr>
      </w:pPr>
      <w:r>
        <w:rPr>
          <w:rFonts w:ascii="Times New Roman" w:cs="Times New Roman" w:eastAsia="Times New Roman" w:hAnsi="Times New Roman"/>
          <w:sz w:val="17"/>
          <w:szCs w:val="17"/>
          <w:color w:val="auto"/>
        </w:rPr>
        <w:t>The facilities used by our contract manufacturers to manufacture our products and product candidates must be approved by the FDA pursuant to inspections that will be conducted after we submit an NDA or other similar application to the FDA. Such facilities must also register with the FDA. Similar requirements apply in other jurisdictions. We do not control the manufacturing process of, and are completely dependent on, our contract manufacturing partners for compliance with Current Good Manufacturing Practice (“cGMP”) requirements for the manufacture of products and product candidates. If our contract manufacturers cannot successfully manufacture material that conforms to our specifications and the strict regulatory requirements of the FDA or comparable non-U.S. regulatory authorities, we will not be able to secure or maintain regulatory approval for our products or product candidates. In addition, we have limited control over the ability of our contract manufacturers to maintain adequate quality control, quality assurance and qualified personnel. If the FDA or comparable non-U.S. regulatory authorities do not approve these facilities for the manufacture of our products or product candidates or if they withdraw any such approval in the future, we may need to find alternative manufacturing facilities, which would significantly impact our ability to market our products and develop, obtain regulatory approval for or market our product candidates, if approved.</w:t>
      </w:r>
    </w:p>
    <w:p>
      <w:pPr>
        <w:spacing w:after="0" w:line="17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Further, our reliance on third-party manufacturers entails risks to which we would not be subject if we manufactured our products and product candidates ourselves, including:</w:t>
      </w:r>
    </w:p>
    <w:p>
      <w:pPr>
        <w:spacing w:after="0" w:line="67" w:lineRule="exact"/>
        <w:rPr>
          <w:sz w:val="20"/>
          <w:szCs w:val="20"/>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laws, regulations and standards, including cGMP and similar standards;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deficient or improper record-keeping;</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agreements with third parties under commercially reasonable terms;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130"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limited number of sources, and in some cases, single sources for product components, such that if we are unable to secure a sufficient supply of these product components, we will be unable to manufacture and sell our products or product candidates in a timely fashion, in sufficient quantities or under acceptable terms;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qualified backup suppliers for those components that are currently purchased from a sole or single source supplier;</w:t>
      </w:r>
    </w:p>
    <w:p>
      <w:pPr>
        <w:spacing w:after="0" w:line="130" w:lineRule="exact"/>
        <w:rPr>
          <w:rFonts w:ascii="Times New Roman" w:cs="Times New Roman" w:eastAsia="Times New Roman" w:hAnsi="Times New Roman"/>
          <w:sz w:val="18"/>
          <w:szCs w:val="18"/>
          <w:color w:val="auto"/>
        </w:rPr>
      </w:pPr>
    </w:p>
    <w:p>
      <w:pPr>
        <w:ind w:left="1420" w:right="320" w:hanging="439"/>
        <w:spacing w:after="0" w:line="266" w:lineRule="auto"/>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or other regulatory sanctions related to the manufacturer of another company’s product candidates;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products or product candidates under specified storage conditions and in a timely manner.</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Any of these events could lead to clinical trial delays, cost overruns, delay or failure to obtain regulatory approval or impact our ability to successfully commercialize our products and product candidates as well as potential product liability litigation, product recalls or product withdrawals. Some of these events could be the basis for FDA or other regulatory authority action, including injunction, recall, seizure, total or partial suspension of production, or suspension or revocation of manufacturing/import authorizations and GMP certificates.</w:t>
      </w:r>
    </w:p>
    <w:p>
      <w:pPr>
        <w:sectPr>
          <w:pgSz w:w="11900" w:h="16838" w:orient="portrait"/>
          <w:cols w:equalWidth="0" w:num="1">
            <w:col w:w="11000"/>
          </w:cols>
          <w:pgMar w:left="440" w:top="297" w:right="459" w:bottom="1440" w:gutter="0" w:footer="0" w:header="0"/>
        </w:sectPr>
      </w:pPr>
    </w:p>
    <w:bookmarkStart w:id="61" w:name="page62"/>
    <w:bookmarkEnd w:id="61"/>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the contract manufacturing facilities on which we rely do not continue to meet regulatory requirements or are unable to meet our requirements, including providing an adequate supply, our business will be harmed.</w:t>
      </w:r>
    </w:p>
    <w:p>
      <w:pPr>
        <w:spacing w:after="0" w:line="159" w:lineRule="exact"/>
        <w:rPr>
          <w:sz w:val="20"/>
          <w:szCs w:val="20"/>
          <w:color w:val="auto"/>
        </w:rPr>
      </w:pPr>
    </w:p>
    <w:p>
      <w:pPr>
        <w:jc w:val="both"/>
        <w:ind w:right="120" w:firstLine="440"/>
        <w:spacing w:after="0" w:line="272" w:lineRule="auto"/>
        <w:rPr>
          <w:sz w:val="20"/>
          <w:szCs w:val="20"/>
          <w:color w:val="auto"/>
        </w:rPr>
      </w:pPr>
      <w:r>
        <w:rPr>
          <w:rFonts w:ascii="Times New Roman" w:cs="Times New Roman" w:eastAsia="Times New Roman" w:hAnsi="Times New Roman"/>
          <w:sz w:val="17"/>
          <w:szCs w:val="17"/>
          <w:color w:val="auto"/>
        </w:rPr>
        <w:t>All entities involved in the preparation of products and product candidates for clinical trials or commercial sale, including our existing CMOs for all of our products and product candidates, are subject to extensive regulation. Components of a finished therapeutic product approved for commercial sale or used in late-stage clinical trials must be manufactured in accordance with cGMP, or similar regulatory requirements outside the United States.</w:t>
      </w:r>
    </w:p>
    <w:p>
      <w:pPr>
        <w:spacing w:after="0" w:line="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and product candidates. Our failure, or the failure of third-party manufacturers, to comply with applicable regulations could result in the issuance of inspectional observations on FDA’s Form-483, Warning or Untitled Letters, similar communications or objections by other authorities, public safety alerts identifying our company or products and sanctions being imposed on us, including clinical holds, import alerts, fines, injunctions, civil penalties, delays, suspension or withdrawal of approvals, license revocation, suspension of production, seizures or recalls of products or product candidates, operating restrictions and criminal prosecutions, any of which could significantly and adversely affect clinical or commercial supplies of our products and product candidates.</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and/or our CMOs must supply all necessary documentation in support of an NDA or similar regulatory application on a timely basis, and must adhere to regulations enforced by the FDA and other regulatory agencies through their facilities inspection program. Some of our CMOs have never produced a commercially approved pharmaceutical product and therefore have not obtained the requisite regulatory authority approvals to do so. The facilities and quality systems of some or all of our third-party contractors must pass a pre-approval inspection for compliance with the applicable regulations as a condition of regulatory approval of our products and product candidates. In addition, the regulatory authorities may, at any time, audit or inspect a manufacturing facility involved with the preparation of our products and product candidates or the associated quality systems for compliance with the regulations applicable to the activities being conducted. Although we oversee the CMOs, we cannot control the manufacturing process of, and are completely dependent on, our CMO partners for compliance with the regulatory requirements. If these facilities do not pass a pre-approval plant inspection, regulatory approval of the products and product candidates may not be granted or may be substantially delayed until any violations are corrected to the satisfaction of the regulatory authority, if ever.</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a supplemental NDA or similar regulatory filing, which could result in further delay. The regulatory agencies may also require additional studies if a new manufacturer is relied upon for commercial production. In some cases, the technical skills required to manufacture our products and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trials, regulatory submissions, required approvals, or commercialization of our products and product candidates. Furthermore, if our suppliers fail to meet contractual requirements and we are unable to secure one or more replacement suppliers capable of production at a substantially equivalent cost, our clinical trials may be delayed or we could lose potential revenue.</w:t>
      </w:r>
    </w:p>
    <w:p>
      <w:pPr>
        <w:sectPr>
          <w:pgSz w:w="11900" w:h="16838" w:orient="portrait"/>
          <w:cols w:equalWidth="0" w:num="1">
            <w:col w:w="11000"/>
          </w:cols>
          <w:pgMar w:left="440" w:top="293"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Risks Related to Regulatory Approval and Commercialization of Our Products and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approval of a new drug is an extensive, lengthy, expensive and inherently uncertain process, and the FDA or another regulator may delay, limit or deny approval. If we are unable to obtain regulatory approval in one or more jurisdictions for any products or product candidates, our business will be substantially harmed.</w:t>
      </w:r>
    </w:p>
    <w:p>
      <w:pPr>
        <w:spacing w:after="0" w:line="17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cannot commercialize a product until the appropriate regulatory authorities have reviewed and approved the product candidate. Approval by the FDA and comparable non-U.S. regulatory authorities is lengthy and unpredictable, and depends upon numerous factors, including substantial discretion of the regulatory authorities. Approval policies, regulations, or the type and amount of nonclinical or clinical data necessary to gain approval may change during the course of a product candidate’s development and may vary among jurisdictions, which may cause delays in the approval or the decision not to approve an application. While we have obtained regulatory approval in the U.S. for one of our product candidates, VTAMA, it is possible that other current and future product candidates will not be successful in obtaining regulatory approval. In addition, we cannot be certain that any products or product candidates that receive regulatory approval will be successfully commercialized.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Obtaining marketing approval of a new drug is an extensive, lengthy, expensive and inherently uncertain process and the FDA or other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authorities may delay, limit or deny approval of a product candidate for many reasons, including:</w:t>
      </w:r>
    </w:p>
    <w:p>
      <w:pPr>
        <w:spacing w:after="0" w:line="112" w:lineRule="exact"/>
        <w:rPr>
          <w:sz w:val="20"/>
          <w:szCs w:val="20"/>
          <w:color w:val="auto"/>
        </w:rPr>
      </w:pPr>
    </w:p>
    <w:p>
      <w:pPr>
        <w:ind w:left="1420" w:right="20" w:hanging="439"/>
        <w:spacing w:after="0" w:line="266"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is safe and effective as a treatment for the targeted indications, and in the case of our product candidates regulated as biological products, that the product candidate is safe, pure and potent for use in its targeted indication, to the satisfaction of the FDA or other relevant regulatory authorities;</w:t>
      </w:r>
    </w:p>
    <w:p>
      <w:pPr>
        <w:spacing w:after="0" w:line="81"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additional pre-approval studies or clinical trials, which would increase costs and prolong development timelines;</w:t>
      </w:r>
    </w:p>
    <w:p>
      <w:pPr>
        <w:spacing w:after="0" w:line="67" w:lineRule="exact"/>
        <w:rPr>
          <w:rFonts w:ascii="Times New Roman" w:cs="Times New Roman" w:eastAsia="Times New Roman" w:hAnsi="Times New Roman"/>
          <w:sz w:val="18"/>
          <w:szCs w:val="18"/>
          <w:color w:val="auto"/>
        </w:rPr>
      </w:pPr>
    </w:p>
    <w:p>
      <w:pPr>
        <w:ind w:left="1420" w:right="620" w:hanging="43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or clinical significance required by the FDA or other relevant regulatory authorities for marketing approval;</w:t>
      </w:r>
    </w:p>
    <w:p>
      <w:pPr>
        <w:spacing w:after="0" w:line="67" w:lineRule="exact"/>
        <w:rPr>
          <w:rFonts w:ascii="Times New Roman" w:cs="Times New Roman" w:eastAsia="Times New Roman" w:hAnsi="Times New Roman"/>
          <w:sz w:val="18"/>
          <w:szCs w:val="18"/>
          <w:color w:val="auto"/>
        </w:rPr>
      </w:pPr>
    </w:p>
    <w:p>
      <w:pPr>
        <w:ind w:left="1420" w:right="200" w:hanging="43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disagree with the number, design, size, conduct or implementation of clinical trials, including the design of proposed preclinical and early clinical trials of any future product candidates;</w:t>
      </w:r>
    </w:p>
    <w:p>
      <w:pPr>
        <w:spacing w:after="0" w:line="67"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 that we retain to conduct clinical trials may take actions outside of our control, or otherwise commit errors or breaches of protocols, that adversely impact the clinical trials and ability to obtain marketing approvals;</w:t>
      </w:r>
    </w:p>
    <w:p>
      <w:pPr>
        <w:spacing w:after="0" w:line="67"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not find the data from nonclinical, preclinical studies or clinical trials sufficient to demonstrate that the clinical and other benefits of a product candidate outweigh its safety risks;</w:t>
      </w:r>
    </w:p>
    <w:p>
      <w:pPr>
        <w:spacing w:after="0" w:line="67" w:lineRule="exact"/>
        <w:rPr>
          <w:rFonts w:ascii="Times New Roman" w:cs="Times New Roman" w:eastAsia="Times New Roman" w:hAnsi="Times New Roman"/>
          <w:sz w:val="18"/>
          <w:szCs w:val="18"/>
          <w:color w:val="auto"/>
        </w:rPr>
      </w:pPr>
    </w:p>
    <w:p>
      <w:pPr>
        <w:ind w:left="1420" w:right="800" w:hanging="43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disagree with an interpretation of data or significance of results from nonclinical, preclinical studies or clinical trials or may require additional studies;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not accept data generated at clinical trial sites;</w:t>
      </w:r>
    </w:p>
    <w:p>
      <w:pPr>
        <w:spacing w:after="0" w:line="130" w:lineRule="exact"/>
        <w:rPr>
          <w:rFonts w:ascii="Times New Roman" w:cs="Times New Roman" w:eastAsia="Times New Roman" w:hAnsi="Times New Roman"/>
          <w:sz w:val="18"/>
          <w:szCs w:val="18"/>
          <w:color w:val="auto"/>
        </w:rPr>
      </w:pPr>
    </w:p>
    <w:p>
      <w:pPr>
        <w:ind w:left="1420" w:right="20" w:hanging="439"/>
        <w:spacing w:after="0" w:line="258"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NDA, BLA or a similar application is reviewed by an advisory committee, the FDA or other relevant regulatory authority, as the case may be, may have difficulties scheduling an advisory committee meeting in a timely manner or the advisory committee may recommend against approval of our application or may recommend that the FDA or other relevant regulatory authorities, as the case may be, require, as a condition of approval, additional nonclinical, preclinical studies or clinical trials, limitations on approved labeling or distribution and use restrictions;</w:t>
      </w:r>
    </w:p>
    <w:p>
      <w:pPr>
        <w:spacing w:after="0" w:line="88"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development of a risk evaluation and mitigation strategy (“REMS”) or its equivalent, as a condition of approval;</w:t>
      </w:r>
    </w:p>
    <w:p>
      <w:pPr>
        <w:spacing w:after="0" w:line="67" w:lineRule="exact"/>
        <w:rPr>
          <w:rFonts w:ascii="Times New Roman" w:cs="Times New Roman" w:eastAsia="Times New Roman" w:hAnsi="Times New Roman"/>
          <w:sz w:val="18"/>
          <w:szCs w:val="18"/>
          <w:color w:val="auto"/>
        </w:rPr>
      </w:pPr>
    </w:p>
    <w:p>
      <w:pPr>
        <w:ind w:left="1420" w:right="200" w:hanging="43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additional post-marketing studies and/or patient registries for product candidates;</w:t>
      </w:r>
    </w:p>
    <w:p>
      <w:pPr>
        <w:spacing w:after="0" w:line="67"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find the chemistry, manufacturing and controls data insufficient to support the quality of our product candidates;</w:t>
      </w:r>
    </w:p>
    <w:p>
      <w:pPr>
        <w:spacing w:after="0" w:line="67"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identify deficiencies in the manufacturing processes or facilities of third-party manufacturers; 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change their approval policies or adopt new regulations.</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For example, the FDA launched Project Optimus in 2021 as an initiative to reform the dose optimization and dose selection paradigm in oncology drug development, which was driven by the FDA’s concerns that the current paradigm for dose selection may result in doses and schedules of molecularly targeted therapies that are inadequately characterized before initiating pivotal trials. Through collaboration with the biopharmaceutical industry, academia and other stakeholders, the FDA’s goal for this initiative is to advance an oncology dose-finding and dose optimization paradigm that emphasizes dose selections that maximize efficacy as well as</w:t>
      </w:r>
    </w:p>
    <w:p>
      <w:pPr>
        <w:sectPr>
          <w:pgSz w:w="11900" w:h="16838" w:orient="portrait"/>
          <w:cols w:equalWidth="0" w:num="1">
            <w:col w:w="11000"/>
          </w:cols>
          <w:pgMar w:left="440" w:top="293" w:right="459" w:bottom="1440" w:gutter="0" w:footer="0" w:header="0"/>
        </w:sectPr>
      </w:pPr>
    </w:p>
    <w:bookmarkStart w:id="63" w:name="page64"/>
    <w:bookmarkEnd w:id="63"/>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safety and tolerability. In support of this initiative, the FDA may request sponsors of oncology product candidates to conduct dose optimization studies pre- or post-approval. The FDA also continues to develop and finalize guidance documents and implement initiatives regarding the development and clinical research of oncology product candidates.</w:t>
      </w:r>
    </w:p>
    <w:p>
      <w:pPr>
        <w:spacing w:after="0" w:line="176" w:lineRule="exact"/>
        <w:rPr>
          <w:sz w:val="20"/>
          <w:szCs w:val="20"/>
          <w:color w:val="auto"/>
        </w:rPr>
      </w:pPr>
    </w:p>
    <w:p>
      <w:pPr>
        <w:ind w:right="160" w:firstLine="440"/>
        <w:spacing w:after="0" w:line="273" w:lineRule="auto"/>
        <w:rPr>
          <w:sz w:val="20"/>
          <w:szCs w:val="20"/>
          <w:color w:val="auto"/>
        </w:rPr>
      </w:pPr>
      <w:r>
        <w:rPr>
          <w:rFonts w:ascii="Times New Roman" w:cs="Times New Roman" w:eastAsia="Times New Roman" w:hAnsi="Times New Roman"/>
          <w:sz w:val="17"/>
          <w:szCs w:val="17"/>
          <w:color w:val="auto"/>
        </w:rPr>
        <w:t>Our future success depends significantly on our ability to successfully complete clinical trials for our product candidates, obtain regulatory approval and then successfully commercialize those product candidates. Any inability to successfully initiate, conduct or complete clinical trials could result in additional costs to us or impair our ability to generate revenue. In addition, if we make manufacturing or formulation changes to our product candidates, we may be required to or we may elect to conduct additional nonclinical studies or clinical trials to bridge data obtained from our modified product candidates to data obtained from nonclinical and clinical research conducted using earlier versions of these product candidates. Clinical trial delays could also shorten any periods during which our products have patent protection and may allow our competitors to bring products to market before we do, which could impair our ability to successfully commercialize product candidates and may harm our business and results of operations.</w:t>
      </w:r>
    </w:p>
    <w:p>
      <w:pPr>
        <w:spacing w:after="0" w:line="17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Delays in the initiation, conduct or completion of any clinical trial of our product candidates will increase our costs, slow down the product candidate development and approval process and delay or potentially jeopardize our ability to receive regulatory approvals, commence product sales and generate revenue. In addition, many of the factors that cause, or lead to, a delay in the commencement or completion of clinical trials may also ultimately lead to the denial of regulatory approval of our product candidates. Any of these events could have a material adverse effect on our business, prospects, financial condition and results of operations and have a negative impact on the price of our Common Shares.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15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must demonstrate through lengthy, complex and expensive nonclinical studies, preclinical studies and clinical trials that the applicable product candidate is both safe and effective for use in each target indication, and in the case of our product candidates regulated as biological products, that the product candidate is safe, pure, and potent for use in its targeted indication. Each product candidate must demonstrate an adequate risk versus benefit profile in its intended patient population and for its intended use.</w:t>
      </w:r>
    </w:p>
    <w:p>
      <w:pPr>
        <w:spacing w:after="0" w:line="183"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have limited experience in designing clinical trials and may be unable to design and execute a clinical trial to support additional marketing approvals.</w:t>
      </w:r>
    </w:p>
    <w:p>
      <w:pPr>
        <w:spacing w:after="0" w:line="15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comparable non-U.S. regulatory authorities for support of a marketing application, we may be required to expend significant resources, which may not be available to us, to conduct additional trials in support of potential approval of our product candidates. Even when regulatory approval is secured for a product or product candidate, the terms of such approval may limit the scope and use of the specific product candidate, which may also limit its commercial potential.</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spacing w:after="0" w:line="15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Adverse events caused by or associated with our products and product candidates have caused us and could, in the future, cause us, other reviewing entities, clinical trial sites or regulatory authorities to interrupt, delay or halt clinical trials and could result in the denial of regulatory approval. If an unacceptable frequency or severity of adverse events or new safety signals are reported in our clinical trials for our product candidates or any future product candidates, our ability to obtain regulatory approval for such product candidates may be negatively impacted. Treatment-related side effects arising from, or those perceived to arise from, our product candidates or those from other companies targeting similar diseases, could also affect patient recruitment or the ability of enrolled patients to complete their participation in our clinical trials or result in potential product liability claims. In addition, these side effects may not be appropriately recognized or managed by the treating medical staff. For example, as previously disclosed, our subsidiary</w:t>
      </w:r>
    </w:p>
    <w:p>
      <w:pPr>
        <w:sectPr>
          <w:pgSz w:w="11900" w:h="16838" w:orient="portrait"/>
          <w:cols w:equalWidth="0" w:num="1">
            <w:col w:w="11000"/>
          </w:cols>
          <w:pgMar w:left="440" w:top="297" w:right="459" w:bottom="1440" w:gutter="0" w:footer="0" w:header="0"/>
        </w:sectPr>
      </w:pPr>
    </w:p>
    <w:bookmarkStart w:id="64" w:name="page65"/>
    <w:bookmarkEnd w:id="6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Immunovant voluntarily paused dosing in early phase clinical studies for batoclimab globally to evaluate batoclimab-induced elevations in total cholesterol and LDL levels observed in some trial subjects. After evaluation of the available safety data and following discussions with multiple regulatory agencies, Immunovant is continuing its clinical development of batoclimab. While Immunovant does not expect that increases in LDL over a short-term treatment duration would pose a safety concern for patients, the risk-benefit profile of long-term administration of batoclimab will need to incorporate any unfavorable effects on lipid profiles. These occurrences have harmed, and any reoccurrence may continue to harm our business, financial condition and prospects.</w:t>
      </w:r>
    </w:p>
    <w:p>
      <w:pPr>
        <w:spacing w:after="0" w:line="18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Furthermore, if any of our products, or any future product candidates that are approved, cause serious or unexpected side effects, a number of potentially significant negative consequences could result, including:</w:t>
      </w:r>
    </w:p>
    <w:p>
      <w:pPr>
        <w:spacing w:after="0" w:line="67" w:lineRule="exact"/>
        <w:rPr>
          <w:sz w:val="20"/>
          <w:szCs w:val="20"/>
          <w:color w:val="auto"/>
        </w:rPr>
      </w:pPr>
    </w:p>
    <w:p>
      <w:pPr>
        <w:ind w:left="1420" w:right="140" w:hanging="439"/>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vary, or limit their approval of the product or require a REMS (or equivalent outside the United States) to impose restrictions on its distribution or other risk management measures;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recall a product;</w:t>
      </w:r>
    </w:p>
    <w:p>
      <w:pPr>
        <w:spacing w:after="0" w:line="130" w:lineRule="exact"/>
        <w:rPr>
          <w:rFonts w:ascii="Times New Roman" w:cs="Times New Roman" w:eastAsia="Times New Roman" w:hAnsi="Times New Roman"/>
          <w:sz w:val="18"/>
          <w:szCs w:val="18"/>
          <w:color w:val="auto"/>
        </w:rPr>
      </w:pPr>
    </w:p>
    <w:p>
      <w:pPr>
        <w:ind w:left="1420" w:right="160" w:hanging="439"/>
        <w:spacing w:after="0" w:line="266"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being imposed on the distribution, marketing or manufacturing processes of the products or any components thereof, including a “black box” warning or contraindication on product labels or communications containing warnings or other safety information about the product;</w:t>
      </w:r>
    </w:p>
    <w:p>
      <w:pPr>
        <w:spacing w:after="0" w:line="81"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warnings or contraindications, require other labeling changes of a product or require field alerts or other communications to physicians, pharmacies or the public;</w:t>
      </w:r>
    </w:p>
    <w:p>
      <w:pPr>
        <w:spacing w:after="0" w:line="67"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or distributed, conduct additional clinical trials, change the labeling of a product or conduct additional post-marketing studies or surveillance;</w:t>
      </w:r>
    </w:p>
    <w:p>
      <w:pPr>
        <w:spacing w:after="0" w:line="67" w:lineRule="exact"/>
        <w:rPr>
          <w:rFonts w:ascii="Times New Roman" w:cs="Times New Roman" w:eastAsia="Times New Roman" w:hAnsi="Times New Roman"/>
          <w:sz w:val="18"/>
          <w:szCs w:val="18"/>
          <w:color w:val="auto"/>
        </w:rPr>
      </w:pPr>
    </w:p>
    <w:p>
      <w:pPr>
        <w:ind w:left="1420" w:right="60" w:hanging="439"/>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repeat preclinical studies or clinical trials or terminate programs for a product candidate, even if other studies or trials related to the program are ongoing or have been successfully completed;</w:t>
      </w:r>
    </w:p>
    <w:p>
      <w:pPr>
        <w:spacing w:after="0" w:line="67" w:lineRule="exact"/>
        <w:rPr>
          <w:rFonts w:ascii="Times New Roman" w:cs="Times New Roman" w:eastAsia="Times New Roman" w:hAnsi="Times New Roman"/>
          <w:sz w:val="18"/>
          <w:szCs w:val="18"/>
          <w:color w:val="auto"/>
        </w:rPr>
      </w:pPr>
    </w:p>
    <w:p>
      <w:pPr>
        <w:ind w:left="1420" w:right="440" w:hanging="439"/>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sued and held liable for harm caused to patients, or may be subject to fines, restitution or disgorgement of profits or revenues;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may stop prescribing a product;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may not be available for a product;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discontinue the sale of our products;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less competitive;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products or product candidates, substantially increase the costs of commercializing our products or product candidates in the future and have a negative impact on the price of our Common Shares.</w:t>
      </w:r>
    </w:p>
    <w:p>
      <w:pPr>
        <w:spacing w:after="0" w:line="172" w:lineRule="exact"/>
        <w:rPr>
          <w:sz w:val="20"/>
          <w:szCs w:val="20"/>
          <w:color w:val="auto"/>
        </w:rPr>
      </w:pPr>
    </w:p>
    <w:p>
      <w:pPr>
        <w:jc w:val="both"/>
        <w:ind w:righ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non-U.S. regulatory authorities are lengthy, time consuming and inherently unpredictable, and gaining approval for a product candidate in one country or jurisdiction does not guarantee that we will be able to obtain approval for or commercialize it in any other jurisdiction, which would limit our ability to realize our full market potential.</w:t>
      </w:r>
    </w:p>
    <w:p>
      <w:pPr>
        <w:spacing w:after="0" w:line="17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any jurisdiction, we or our collaborators must demonstrate with substantial evidence from well-controlled clinical trials, and to the satisfaction of the FDA or comparable non-U.S. regulatory authorities, that such product candidate is safe and effective and, as applicable, pure and potent for its intended use. Results from nonclinical studies and clinical trials can be interpreted in different ways. Even if we believe the nonclinical or clinical data for a product candidate are promising, such data may not be sufficient to support approval by the FDA and other regulatory authorities.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United States.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Seeking regulatory approval could result in difficulties and costs for us and require additional nonclinical studies or clinical trials, which could be costly and time consuming. Regulatory requirements can vary widely from country to country and could delay or prevent the introduction of our products in those countries. We have one product, VTAMA, which has been approved by the FDA for the treatment of plaque psoriasis in adults in the</w:t>
      </w:r>
    </w:p>
    <w:p>
      <w:pPr>
        <w:sectPr>
          <w:pgSz w:w="11900" w:h="16838" w:orient="portrait"/>
          <w:cols w:equalWidth="0" w:num="1">
            <w:col w:w="10980"/>
          </w:cols>
          <w:pgMar w:left="440" w:top="297" w:right="479" w:bottom="1440" w:gutter="0" w:footer="0" w:header="0"/>
        </w:sectPr>
      </w:pPr>
    </w:p>
    <w:bookmarkStart w:id="65" w:name="page66"/>
    <w:bookmarkEnd w:id="6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U.S., but do not have any other products approved for sale in the U.S. or any other jurisdiction, including in international markets, and we do not have significant experience in obtaining regulatory approval in other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FDA approval for a product candidate in the United States does not guarantee that we will be able to or that we will make efforts to obtain approval for or commercialize our product candidates in any other jurisdiction, which would limit our ability to realize the drug candidate’s full market potential.</w:t>
      </w:r>
    </w:p>
    <w:p>
      <w:pPr>
        <w:spacing w:after="0" w:line="17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have one product, VTAMA, approved by the FDA for the treatment of plaque psoriasis in adults in the U.S. In order to market VTAMA or any of our other products or product candidates outside of the United States, we must establish and comply with numerous and varying regulatory requirements of other countries regarding safety and effectiveness. Clinical trials conducted in one country may not be accepted by regulatory authorities in other countries, and regulatory approval in one country does not mean that regulatory approval will be obtained in any other country. Approval processes vary among countries and can involve additional product testing and validation and additional or different administrative review periods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sold in that jurisdiction. In some cases, the price that we intend to charge for our products is also subject to approval.</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Seeking regulatory approval outside of the United States could result in difficulties and costs and require additional nonclinical studies or clinical trials which could be costly and time-consuming. Regulatory requirements can vary widely from country to country and could delay or prevent the introduction of our product candidates in those countries. The regulatory approval process outside of the United States may include all of the risks associated with obtaining FDA approval. Other than VTAMA, we do not have any products or product candidates approved for sale in any jurisdiction, including international markets, and we do not have significant experience in obtaining regulatory approval in international markets. If we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regulatory approvals for our products and product candidates, we will continue to face extensive ongoing quality and regulatory obligations and continued regulatory review, which may result in significant additional expense, and our products may face future development and quality or regulatory compliance difficulties.</w:t>
      </w:r>
    </w:p>
    <w:p>
      <w:pPr>
        <w:spacing w:after="0" w:line="175"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We have one product, VTAMA, approved by the FDA for the treatment of plaque psoriasis in adults in the U.S. Any product or product candidate for which we obtain marketing approval will be subject to extensive and ongoing regulatory requirements, including for manufacturing processes, post-approval clinical data, labeling, packaging, distribution, adverse event reporting, storage, recordkeeping, traceability, conduct of potential post-marketing studies and post-marketing submission requirements,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of registration and drug listing requirements, continued compliance with cGMP requirements relating to manufacturing, quality control, quality assurance and corresponding maintenance of records and documents, requirements regarding the distribution of drug product samples to physicians, prior notification/review and/or approval of advertising and promotional materials by the competent authorities, record-keeping and GCP requirements for any clinical trials that we conduct post-approval. Even when marketing approval of a product or product candidate is granted, the approval may be subject to limitations on the indicated uses for which the product may be marketed or to the conditions of approval, including any requirement to implement a REMS. When a product or product candidate receives marketing approval, the accompanying label may limit the approved use of the drug or the FDA or other regulatory authorities may require that contraindications, warnings or precautions, including in some cases, a boxed warning, be included in the product labeling, which could limit sales of the product.</w:t>
      </w:r>
    </w:p>
    <w:p>
      <w:pPr>
        <w:spacing w:after="0" w:line="197" w:lineRule="exact"/>
        <w:rPr>
          <w:sz w:val="20"/>
          <w:szCs w:val="20"/>
          <w:color w:val="auto"/>
        </w:rPr>
      </w:pPr>
    </w:p>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t>The FDA and other relevant regulatory authorities may also impose requirements for costly post-marketing studies or clinical trials and surveillance to monitor the safety or efficacy of a product. Failure to complete such post-marketing requirements in accordance with the timelines and conditions set forth by the FDA and other relevant regulatory authorities could significantly increase costs, result in regulatory enforcement, or delay, limit or ultimately restrict the commercialization of such product. The FDA and other relevant regulatory authorities closely regulate the post-approval marketing and promotion of drugs to ensure drugs are marketed only for the approved indications and in accordance with the provisions of the approved labeling and that promotional and advertising materials and communications are truthful and non-misleading. Although the FDA and other regulatory agencies do not regulate a physician’s choice of drug treatment made in the physician’s independent medical judgment, regulatory authorities impose stringent restrictions on manufacturers’ communications and if we do not market our products or product candidates for their approved</w:t>
      </w:r>
    </w:p>
    <w:p>
      <w:pPr>
        <w:sectPr>
          <w:pgSz w:w="11900" w:h="16838" w:orient="portrait"/>
          <w:cols w:equalWidth="0" w:num="1">
            <w:col w:w="11000"/>
          </w:cols>
          <w:pgMar w:left="440" w:top="297" w:right="459" w:bottom="1440" w:gutter="0" w:footer="0" w:header="0"/>
        </w:sectPr>
      </w:pPr>
    </w:p>
    <w:bookmarkStart w:id="66" w:name="page67"/>
    <w:bookmarkEnd w:id="6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indications or in a manner which regulators believe to be truthful and non-misleading, we may be subject to enforcement action. Moreover, in the EU we will be prohibited from promoting prescription-only medicinal products to individuals who are not healthcare professionals. Violations of the Federal Food, Drug, and Cosmetic Act in the United States and other comparable laws and regulations in other jurisdictions relating to the promotion of prescription drugs may lead to enforcement actions and investigations by the FDA, Department of Justice, State Attorneys General and other comparable non-U.S. regulatory agencies alleging violations of United States federal and state health care fraud and abuse laws, as well as state consumer protection laws and comparable laws in other jurisdictions.</w:t>
      </w:r>
    </w:p>
    <w:p>
      <w:pPr>
        <w:spacing w:after="0" w:line="187"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or product candidates, manufacturers or manufacturing processes, or failure to comply with regulatory requirements, may negatively impact our business and the price of our Common Shares and may yield various results, including:</w:t>
      </w:r>
    </w:p>
    <w:p>
      <w:pPr>
        <w:spacing w:after="0" w:line="81" w:lineRule="exact"/>
        <w:rPr>
          <w:sz w:val="20"/>
          <w:szCs w:val="20"/>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manufacture of such products or product candidates;</w:t>
      </w:r>
    </w:p>
    <w:p>
      <w:pPr>
        <w:spacing w:after="0" w:line="130"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such products or product candidates, including a “black box” warning or contraindication on the product label or communications containing warnings or other safety information about the product;</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 or any regulatory holds on our clinical trials;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of a REMS (or equivalent outside the United States);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or similar communications from other relevant regulatory authorities;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or product candidates from the market;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 or product candidates;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variation or withdrawal of marketing approvals;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 or product candidates;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our products or product candidates;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injunctions or the imposition of civil or criminal penalties.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Non-compliance by us or any current or future collaborator with regulatory requirements, including safety monitoring or pharmacovigilance can also result in significant financial penalties.</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or continuously improve our quality management program could have an adverse effect upon our business, subject us to regulatory actions and cause patients to lose confidence in us or our products, among other negative consequences.</w:t>
      </w:r>
    </w:p>
    <w:p>
      <w:pPr>
        <w:spacing w:after="0" w:line="15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Quality management plays an essential role in the manufacturing of drugs or drug products, conducting clinical trials, preventing defects, improving our product candidates and services and assuring the safety and efficacy of our products and product candidates. We seek to maintain a robust quality management program which includes the following broad pillars of quality:</w:t>
      </w:r>
    </w:p>
    <w:p>
      <w:pPr>
        <w:spacing w:after="0" w:line="81" w:lineRule="exact"/>
        <w:rPr>
          <w:sz w:val="20"/>
          <w:szCs w:val="20"/>
          <w:color w:val="auto"/>
        </w:rPr>
      </w:pPr>
    </w:p>
    <w:p>
      <w:pPr>
        <w:ind w:left="1420" w:right="340" w:hanging="439"/>
        <w:spacing w:after="0" w:line="282"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assuring regulatory compliance for clinical trials, manufacturing and testing of good applicable practice (“GxP”) (e.g., GCP, GLP and GMP regulated) products;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providing oversight of all GxP suppliers (e.g., contract development manufacturing organizations and CROs);</w:t>
      </w:r>
    </w:p>
    <w:p>
      <w:pPr>
        <w:spacing w:after="0" w:line="130" w:lineRule="exact"/>
        <w:rPr>
          <w:rFonts w:ascii="Times New Roman" w:cs="Times New Roman" w:eastAsia="Times New Roman" w:hAnsi="Times New Roman"/>
          <w:sz w:val="18"/>
          <w:szCs w:val="18"/>
          <w:color w:val="auto"/>
        </w:rPr>
      </w:pPr>
    </w:p>
    <w:p>
      <w:pPr>
        <w:ind w:left="1420" w:right="660" w:hanging="439"/>
        <w:spacing w:after="0" w:line="282"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an integrated, robust quality management system for clinical, manufacturing, supply chain and distribution operations;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a proactive, preventative quality culture and employee and supplier training to ensure quality.</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Our future success depends on our ability to maintain and continuously improve our quality management program. A quality or safety issue may result in adverse inspection reports, warning letters, monetary sanctions, injunctions to halt manufacture and distribution of drugs or drug products, civil or criminal sanctions, costly litigation, refusal of a government to grant approvals and licenses, restrictions on operations or withdrawal, suspension or variation of existing approvals and licenses. An inability to address a</w:t>
      </w:r>
    </w:p>
    <w:p>
      <w:pPr>
        <w:sectPr>
          <w:pgSz w:w="11900" w:h="16838" w:orient="portrait"/>
          <w:cols w:equalWidth="0" w:num="1">
            <w:col w:w="11000"/>
          </w:cols>
          <w:pgMar w:left="440" w:top="297" w:right="459" w:bottom="1440" w:gutter="0" w:footer="0" w:header="0"/>
        </w:sectPr>
      </w:pPr>
    </w:p>
    <w:bookmarkStart w:id="67" w:name="page68"/>
    <w:bookmarkEnd w:id="67"/>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quality or safety issue in an effective and timely manner may also cause negative publicity, or a loss of patient confidence in us or our products or product candidates, which may result in difficulty in successfully launching products and the loss of potential future sales, which could have an adverse effect on our business, financial condition, and results of operations.</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Fast Track Designation, Regenerative Medicine Advanced Therapy Designation or Orphan Drug Designation by the FDA or other relevant regulatory authorities, even if granted for any product candidate, may not lead to a faster development, regulatory review or approval process, and does not necessarily increase the likelihood that any product candidate will receive marketing approval in the United States or other jurisdictions.</w:t>
      </w:r>
    </w:p>
    <w:p>
      <w:pPr>
        <w:spacing w:after="0" w:line="180"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We have sought, or may in the future seek, Breakthrough Therapy Designation, Fast Track Designation, Regenerative Medicine Advanced Therapy Designation or Orphan Drug Designation for certain of our product candidates.</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on potentially less efficacious control regimens. Therapies designated as breakthrough therapies by the FDA may also be eligible for priority review and accelerated approval. Designation as a breakthrough therapy is within the discretion of the FDA. Accordingly, even if we believe a product candidate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a product candidate qualifies as a breakthrough therapy, the FDA may later decide that such product candidate no longer meets the conditions for qualification or decide that the time period for FDA review or approval will not be shortened.</w:t>
      </w:r>
    </w:p>
    <w:p>
      <w:pPr>
        <w:spacing w:after="0" w:line="19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Recently, there has been heightened scrutiny of the accelerated approval pathway, with some stakeholders advocating for reform. The U.S. Department of Health and Human Services (“HHS”) Office of Inspector General has initiated an assessment of how the FDA implements the accelerated approval pathway. In addition, members of Congress have introduced proposed legislation to revise the statutory accelerated approval pathway, including with respect to FDA’s ability to rapidly withdraw products and indications for which effectiveness is not confirmed in post-marketing studies. At this time, it is not clear what impact, if any, these developments may have on the statutory accelerated approval pathway or our business, financial condition results of operations, or prospects.</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necessarily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7"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Economic Area (the “EEA”),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annually in the United States or for which there is no reasonable expectation that costs of research and development of the drug for the disease or condition can be recovered by sales of the drug in the United States. 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orphan indication for that time period. In the United States, in order for a product to receive orphan drug exclusivity, FDA must not have previously approved a drug considered the same drug for the same orphan indication, or the subsequent drug must be shown to be clinically superior to such a previously approved same drug. The applicable period of marketing exclusivity is seven years in the United States. A similar data exclusivity scheme exists in the EEA. The European Commission, on the basis of a scientific opinion by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In any event, Orphan Drug Designation is granted only if there is no satisfactory method of diagnosis, prevention, or treatment, or, if such a method exists, the medicine must be of significant benefit to</w:t>
      </w:r>
    </w:p>
    <w:p>
      <w:pPr>
        <w:sectPr>
          <w:pgSz w:w="11900" w:h="16838" w:orient="portrait"/>
          <w:cols w:equalWidth="0" w:num="1">
            <w:col w:w="11020"/>
          </w:cols>
          <w:pgMar w:left="440" w:top="297" w:right="439" w:bottom="1440" w:gutter="0" w:footer="0" w:header="0"/>
        </w:sectPr>
      </w:pPr>
    </w:p>
    <w:bookmarkStart w:id="68" w:name="page69"/>
    <w:bookmarkEnd w:id="68"/>
    <w:p>
      <w:pPr>
        <w:ind w:right="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those affected by the condition. Orphan designation in the EU entitles a party to certain benefits, such as scientific assistance (protocol assistance), financial incentives such as reduction of fees or fee waivers and ten years of market exclusivity following drug or biological product approval. This orphan market exclusivity period prevents the European Commission, EMA and the competent authorities of the EU Member States from accepting an application or granting marketing authorization for any similar medicinal product intended for the same orphan indication. The orphan market exclusivity applies in parallel to the “normal” data and market exclusivity in the EEA, whereby no company can make reference to (rely on) the innovator drug company’s preclinical and clinical data in order to obtain a marketing authorization for eight years from the date of the first approval of the innovator drug in the EEA and no generic drug can be marketed for ten years from the first approval of the innovator drug in the EEA; the innovator drug may qualify for an extra year’s protection. This additional one year of marketing exclusivity may be obtained where the innovator company is granted a marketing authorization for a significant new indication for the relevant medicinal product. In such a situation, the generic company can only market their product after 11 years from the first grant of the innovator company’s marketing authorization for the product in the EEA.</w:t>
      </w:r>
    </w:p>
    <w:p>
      <w:pPr>
        <w:spacing w:after="0" w:line="17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or biologic to meet the needs of patients with the rare disease or condition. In the EEA, orphan drug designation, and the related benefits, may be lost if it is established before the market authorization is granted that the designation criteria are no longer met.</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Moreover, the ten year orphan market exclusivity in the EEA may be reduced to six years if the orphan drug designation criteria are no longer met at the end of the fifth year since grant of the approval, including where it is shown that the product is sufficiently profitable not to justify maintenance of market exclusivity.</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we obtain orphan drug exclusivity for a product, that exclusivity may not effectively protect the product from competition because different drugs can be approved for the same condition. Even after an orphan drug is approved, the FDA or the European Commission can subsequently approve the same drug for a different condition or the same condition if the FDA or the EMA concludes that the later drug is clinically superior in that it is shown to be safer, more effective or makes a major contribution to patient care. In the EEA, a marketing authorization may also be granted, for the same therapeutic indication, to a competitor with a similar medicinal product during the exclusivity period if we are unable to supply sufficient quantities of the medicinal product for which we received marketing authorization. Upcoming legislative reforms in the EU may result in a reduction of market exclusivity periods for orphan medicinal products, changes to the concept of unmet medical need and/or imposition of additional requirements for grant of such exclusivity.</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Moreover, a recent Eleventh Circuit decision in Catalyst Pharmaceuticals, Inc. vs. FDA regarding interpretation of the Orphan Drug Act exclusivity provisions as applied to drugs approved for orphan indications narrower than the drug’s orphan designation has the potential to significantly broaden the scope of orphan drug exclusivity for such products. Depending on how broadly FDA applies the Catalyst decision, it could fundamentally change how companies rely on, or seek to work around, orphan drug exclusivity. Legislation has been introduced that may reverse the Catalyst decision, and may be enacted as part of the reauthorization of user fees later this year.</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Receipt of marketing approval for our products and product candidates does not guarantee that they will achieve market acceptance by physicians, patients, third-party payors or others in the medical community necessary for commercial success.</w:t>
      </w:r>
    </w:p>
    <w:p>
      <w:pPr>
        <w:spacing w:after="0" w:line="15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commercial success of our products and product candidates will depend upon their degree of market acceptance by physicians, patients, third-party payors and others in the medical community. Receipt of marketing approval for our products and product candidates does not guarantee that they will gain sufficient market acceptance by physicians, patients, healthcare payors and others in the medical community. The degree of market acceptance for any product or product candidates we may develop, if approved for commercial sale, will depend on a number of factors, including:</w:t>
      </w:r>
    </w:p>
    <w:p>
      <w:pPr>
        <w:spacing w:after="0" w:line="85" w:lineRule="exact"/>
        <w:rPr>
          <w:sz w:val="20"/>
          <w:szCs w:val="20"/>
          <w:color w:val="auto"/>
        </w:rPr>
      </w:pPr>
    </w:p>
    <w:p>
      <w:pPr>
        <w:ind w:left="1420" w:right="440" w:hanging="439"/>
        <w:spacing w:after="0" w:line="282"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products and product candidates as demonstrated in pivotal clinical trials and published in peer-reviewed journals;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compared to alternative treatments, including any similar generic treatments;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these products for sale at competitive prices;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appropriate patient financial assistance programs, such as commercial insurance co-pay assistance;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dosing and administration compared to alternative treatments;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or product candidate is approved by FDA or comparable non-U.S. regulatory agencies;</w:t>
      </w:r>
    </w:p>
    <w:p>
      <w:pPr>
        <w:sectPr>
          <w:pgSz w:w="11900" w:h="16838" w:orient="portrait"/>
          <w:cols w:equalWidth="0" w:num="1">
            <w:col w:w="10980"/>
          </w:cols>
          <w:pgMar w:left="440" w:top="297" w:right="479" w:bottom="1440" w:gutter="0" w:footer="0" w:header="0"/>
        </w:sectPr>
      </w:pPr>
    </w:p>
    <w:bookmarkStart w:id="69" w:name="page70"/>
    <w:bookmarkEnd w:id="69"/>
    <w:p>
      <w:pPr>
        <w:ind w:left="1420" w:right="500" w:hanging="439"/>
        <w:spacing w:after="0" w:line="282"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product labeling or product insert requirements of the FDA or other comparable non-U.S. regulatory authorities, including any limitations, contraindications or warnings contained in a product’s approved labeling;</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how the product is dispensed or distributed;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these products or competing products and treatments;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third-party coverage and sufficient reimbursement;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or adverse events.</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such products.</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regulated as biologics may face competition from biosimilars approved through an abbreviated regulatory pathway.</w:t>
      </w:r>
    </w:p>
    <w:p>
      <w:pPr>
        <w:spacing w:after="0" w:line="159"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(the “Affordable Care Act” or “ACA”), includes a subtitle called the Biologics Price Competition and Innovation Act of 2009 (the “BPCIA”), which created an abbreviated approval pathway under section 351(k) of the Public Health Service Act (“PHSA”) for biological products that are biosimilar to or interchangeable with an FDA-licensed reference biological product. Under the BPCIA, a section 351(k)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submitted under section 351(a) of the PHSA containing the competing sponsor’s own preclinical data and data from adequate and well-controlled clinical trials to demonstrate the safety, purity, and potency of the other company’s product. The law is complex and is still being interpreted and implemented by the FDA and the FDA only approved the first interchangeable biosimilar in July 2021. As a result, its ultimate impact, implementation, and meaning are subject to uncertainty. In addition, the Further Consolidated Appropriations Act, 2020, which incorporated the framework from the Creating and Restoring Equal Access To Equivalent Samples legislation, purports to promote competition in the market for drugs and biological products by facilitating the timely entry of lower-cost generic and biosimilar versions of those drugs and biological products, including by allowing generic drug, 505(b)(2) NDA or biosimilar developers to obtain access to branded drug and biological product samples. While the full impact of these provisions is unclear at this time, its provisions do have the potential to facilitate the development and future approval of biosimilar versions of our products, introducing biosimilar competition that could have a material adverse impact on our business, financial condition and results of operations.</w:t>
      </w:r>
    </w:p>
    <w:p>
      <w:pPr>
        <w:spacing w:after="0" w:line="19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Whether approval of a biological product qualifies for reference product exclusivity turns on whether FDA consider the approval a “first licensure.” Not every licensure of a biological product is considered a “first licensure” that gives rise to its own exclusivity period. We believe that our product candidates approved as a biological product under a BLA should qualify for the 12-year period of exclusivity. However, there is a risk that this exclusivity could be shortened due to congressional action or otherwise.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products, our products may become subject to competition from such biosimilars, with the attendant competitive pressure and consequences.</w:t>
      </w:r>
    </w:p>
    <w:p>
      <w:pPr>
        <w:spacing w:after="0" w:line="18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expand our sales, marketing and distribution capabilities or enter into agreements with third parties to sell, market and distribute our products and product candidates, we may not be successful in commercializing those products and, if approved, product candidates.</w:t>
      </w:r>
    </w:p>
    <w:p>
      <w:pPr>
        <w:spacing w:after="0" w:line="17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are currently in the process of establishing an infrastructure for the sales, marketing and distribution of VTAMA, which was approved by the FDA in May 2022 for the treatment of plaque psoriasis in adults in the U.S. The costs of establishing and maintaining this infrastructure may exceed the cost-effectiveness of doing so. In order to effectively market our products and, if approved, product candidates, we must continue to expand our sales, distribution, marketing, compliance, managerial and other non-technical capabilities</w:t>
      </w:r>
    </w:p>
    <w:p>
      <w:pPr>
        <w:sectPr>
          <w:pgSz w:w="11900" w:h="16838" w:orient="portrait"/>
          <w:cols w:equalWidth="0" w:num="1">
            <w:col w:w="11020"/>
          </w:cols>
          <w:pgMar w:left="440" w:top="297" w:right="439" w:bottom="1440" w:gutter="0" w:footer="0" w:header="0"/>
        </w:sectPr>
      </w:pPr>
    </w:p>
    <w:bookmarkStart w:id="70" w:name="page71"/>
    <w:bookmarkEnd w:id="7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or make arrangements with third parties to perform these services. To achieve commercial success for our products and, if approved, product candidates, we will need an effective sales and marketing organization or to outsource these functions to third parties. To the extent we seek to do so, there is no guarantee that we will be able to enter into collaborations or strategic partnerships with third parties to engage in commercialization activities with respect to our products or product candidates.</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or, if approved,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Factors that may inhibit our efforts to commercialize a product or, if approved, product candidate on our own include:</w:t>
      </w:r>
    </w:p>
    <w:p>
      <w:pPr>
        <w:spacing w:after="0" w:line="131" w:lineRule="exact"/>
        <w:rPr>
          <w:sz w:val="20"/>
          <w:szCs w:val="20"/>
          <w:color w:val="auto"/>
        </w:rPr>
      </w:pPr>
    </w:p>
    <w:p>
      <w:pPr>
        <w:ind w:left="1420" w:right="180" w:hanging="439"/>
        <w:spacing w:after="0" w:line="282" w:lineRule="auto"/>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and retain adequate numbers of effective sales, marketing, reimbursement, customer service, medical affairs, and other support personnel;</w:t>
      </w:r>
    </w:p>
    <w:p>
      <w:pPr>
        <w:spacing w:after="0" w:line="67" w:lineRule="exact"/>
        <w:rPr>
          <w:rFonts w:ascii="Times New Roman" w:cs="Times New Roman" w:eastAsia="Times New Roman" w:hAnsi="Times New Roman"/>
          <w:sz w:val="18"/>
          <w:szCs w:val="18"/>
          <w:color w:val="auto"/>
        </w:rPr>
      </w:pPr>
    </w:p>
    <w:p>
      <w:pPr>
        <w:ind w:left="1420" w:right="340" w:hanging="439"/>
        <w:spacing w:after="0" w:line="282" w:lineRule="auto"/>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approved products;</w:t>
      </w:r>
    </w:p>
    <w:p>
      <w:pPr>
        <w:spacing w:after="0" w:line="67"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products at a sufficient price point to ensure an adequate and attractive level of profitability;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30" w:lineRule="exact"/>
        <w:rPr>
          <w:rFonts w:ascii="Times New Roman" w:cs="Times New Roman" w:eastAsia="Times New Roman" w:hAnsi="Times New Roman"/>
          <w:sz w:val="18"/>
          <w:szCs w:val="18"/>
          <w:color w:val="auto"/>
        </w:rPr>
      </w:pPr>
    </w:p>
    <w:p>
      <w:pPr>
        <w:ind w:left="1420" w:right="380" w:hanging="439"/>
        <w:spacing w:after="0" w:line="282" w:lineRule="auto"/>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If we are unable to build our own sales force or negotiate a collaborative relationship for the commercialization of a product or, if approved, product candidate, we may be forced to delay commercialization or reduce the scope of our sales or marketing activities. If we elect to increase our expenditures to fund commercialization activities ourselves, we will need to obtain additional capital, which may not be available to us on acceptable terms, or at all. If we do not have sufficient funds, we will not be able to bring a product or, if approved, product candidate to market or generate product revenue. We could enter into arrangements with collaborative partners at an earlier stage than otherwise would be ideal and we may be required to relinquish certain rights to our products or product candidate or otherwise agree to terms unfavorable to us, any of which may have an adverse effect on our business, operating results and prospects.</w:t>
      </w:r>
    </w:p>
    <w:p>
      <w:pPr>
        <w:spacing w:after="0" w:line="18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internally.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or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our products or, if approved, product candidates.</w:t>
      </w:r>
    </w:p>
    <w:p>
      <w:pPr>
        <w:spacing w:after="0" w:line="188" w:lineRule="exact"/>
        <w:rPr>
          <w:sz w:val="20"/>
          <w:szCs w:val="20"/>
          <w:color w:val="auto"/>
        </w:rPr>
      </w:pPr>
    </w:p>
    <w:p>
      <w:pPr>
        <w:jc w:val="both"/>
        <w:ind w:right="5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and future relationships with investigators, health care professionals, consultants, third-party payors, patient support, charitable organizations, customers, and others are subject to applicable healthcare regulatory laws, which could expose us to penalties and other risks.</w:t>
      </w:r>
    </w:p>
    <w:p>
      <w:pPr>
        <w:spacing w:after="0" w:line="13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Our business operations and current and potential future arrangements with investigators, healthcare professionals, consultants, third-party payors, patient support, charitable organizations, customers, and others, expose us to broadly applicable fraud and abuse and other healthcare laws and regulations. These laws regulate the business or financial arrangements and relationships through which</w:t>
      </w:r>
    </w:p>
    <w:p>
      <w:pPr>
        <w:sectPr>
          <w:pgSz w:w="11900" w:h="16838" w:orient="portrait"/>
          <w:cols w:equalWidth="0" w:num="1">
            <w:col w:w="11020"/>
          </w:cols>
          <w:pgMar w:left="440" w:top="297" w:right="439" w:bottom="1440" w:gutter="0" w:footer="0" w:header="0"/>
        </w:sectPr>
      </w:pPr>
    </w:p>
    <w:bookmarkStart w:id="71" w:name="page72"/>
    <w:bookmarkEnd w:id="71"/>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conduct our operations, including how we research, market, sell and distribute our products and, if approved, product candidates. Such laws include, without limitation:</w:t>
      </w:r>
    </w:p>
    <w:p>
      <w:pPr>
        <w:spacing w:after="0" w:line="67" w:lineRule="exact"/>
        <w:rPr>
          <w:sz w:val="20"/>
          <w:szCs w:val="20"/>
          <w:color w:val="auto"/>
        </w:rPr>
      </w:pPr>
    </w:p>
    <w:p>
      <w:pPr>
        <w:ind w:left="1420" w:right="60" w:hanging="439"/>
        <w:spacing w:after="0" w:line="252"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is a criminal law that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by the federal government to include anything of value. Although there are a number of statutory exceptions and regulatory safe harbors protecting certain activities from prosecution, the exceptions and safe harbors are drawn narrowly, and arrangements may be subject to scrutiny or penalty if they do not fully satisfy all elements of an available exception or safe harbor.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100" w:lineRule="exact"/>
        <w:rPr>
          <w:rFonts w:ascii="Times New Roman" w:cs="Times New Roman" w:eastAsia="Times New Roman" w:hAnsi="Times New Roman"/>
          <w:sz w:val="18"/>
          <w:szCs w:val="18"/>
          <w:color w:val="auto"/>
        </w:rPr>
      </w:pPr>
    </w:p>
    <w:p>
      <w:pPr>
        <w:ind w:left="1420" w:right="20" w:hanging="439"/>
        <w:spacing w:after="0" w:line="254"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False Claims Act, which imposes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When an entity is determined to have violated the federal civil False Claims Act, the government may impose civil fines and penalties currently ranging from $11,803 to $23,607 for each false claim or statement for penalties assessed after December 13, 2021, plus treble damages, and exclude the entity from participation in Medicare, Medicaid and other federal healthcare programs;</w:t>
      </w:r>
    </w:p>
    <w:p>
      <w:pPr>
        <w:spacing w:after="0" w:line="97" w:lineRule="exact"/>
        <w:rPr>
          <w:rFonts w:ascii="Times New Roman" w:cs="Times New Roman" w:eastAsia="Times New Roman" w:hAnsi="Times New Roman"/>
          <w:sz w:val="18"/>
          <w:szCs w:val="18"/>
          <w:color w:val="auto"/>
        </w:rPr>
      </w:pPr>
    </w:p>
    <w:p>
      <w:pPr>
        <w:ind w:left="1420" w:hanging="439"/>
        <w:spacing w:after="0" w:line="258"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care fraud statute (established by Health Insurance Portability and Accountability Act of 1996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88" w:lineRule="exact"/>
        <w:rPr>
          <w:rFonts w:ascii="Times New Roman" w:cs="Times New Roman" w:eastAsia="Times New Roman" w:hAnsi="Times New Roman"/>
          <w:sz w:val="18"/>
          <w:szCs w:val="18"/>
          <w:color w:val="auto"/>
        </w:rPr>
      </w:pPr>
    </w:p>
    <w:p>
      <w:pPr>
        <w:ind w:left="1420" w:right="100" w:hanging="439"/>
        <w:spacing w:after="0" w:line="256"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Simplification provisions of HIPAA, as amended by the Health Information Technology for Economic and Clinical Health Act (“HITECH”), and their implementing regulations, which impose obligations, including mandatory contractual terms, with respect to safeguarding the privacy, security, and transmission of individually identifiable health information on health plans, health care clearing houses and most healthcare providers (collectively, “covered entities”), and such covered entities’ “business associates,” defined as independent contractors or agents of covered entities that create, receive or obtain protected health information in connection with providing a service for or on behalf of the covered entity;</w:t>
      </w:r>
    </w:p>
    <w:p>
      <w:pPr>
        <w:spacing w:after="0" w:line="92" w:lineRule="exact"/>
        <w:rPr>
          <w:rFonts w:ascii="Times New Roman" w:cs="Times New Roman" w:eastAsia="Times New Roman" w:hAnsi="Times New Roman"/>
          <w:sz w:val="18"/>
          <w:szCs w:val="18"/>
          <w:color w:val="auto"/>
        </w:rPr>
      </w:pPr>
    </w:p>
    <w:p>
      <w:pPr>
        <w:ind w:left="1420" w:right="420" w:hanging="439"/>
        <w:spacing w:after="0" w:line="266"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privacy, cybersecurity and data protection laws, rules and regulations at the international, federal, state and local level impose obligations with respect to safeguarding the privacy, security, and cross-border transmission of personal data and health information;</w:t>
      </w:r>
    </w:p>
    <w:p>
      <w:pPr>
        <w:spacing w:after="0" w:line="81" w:lineRule="exact"/>
        <w:rPr>
          <w:rFonts w:ascii="Times New Roman" w:cs="Times New Roman" w:eastAsia="Times New Roman" w:hAnsi="Times New Roman"/>
          <w:sz w:val="18"/>
          <w:szCs w:val="18"/>
          <w:color w:val="auto"/>
        </w:rPr>
      </w:pPr>
    </w:p>
    <w:p>
      <w:pPr>
        <w:ind w:left="1420" w:right="80" w:hanging="439"/>
        <w:spacing w:after="0" w:line="258"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88" w:lineRule="exact"/>
        <w:rPr>
          <w:rFonts w:ascii="Times New Roman" w:cs="Times New Roman" w:eastAsia="Times New Roman" w:hAnsi="Times New Roman"/>
          <w:sz w:val="18"/>
          <w:szCs w:val="18"/>
          <w:color w:val="auto"/>
        </w:rPr>
      </w:pPr>
    </w:p>
    <w:p>
      <w:pPr>
        <w:ind w:left="1420" w:right="40" w:hanging="439"/>
        <w:spacing w:after="0" w:line="255"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certain other healthcare providers,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(covered manufacturers are required to submit reports to the government by the 90th day of each calendar year); and</w:t>
      </w:r>
    </w:p>
    <w:p>
      <w:pPr>
        <w:sectPr>
          <w:pgSz w:w="11900" w:h="16838" w:orient="portrait"/>
          <w:cols w:equalWidth="0" w:num="1">
            <w:col w:w="11000"/>
          </w:cols>
          <w:pgMar w:left="440" w:top="297" w:right="459" w:bottom="1440" w:gutter="0" w:footer="0" w:header="0"/>
        </w:sectPr>
      </w:pPr>
    </w:p>
    <w:bookmarkStart w:id="72" w:name="page73"/>
    <w:bookmarkEnd w:id="72"/>
    <w:p>
      <w:pPr>
        <w:ind w:left="1424" w:hanging="439"/>
        <w:spacing w:after="0" w:line="252" w:lineRule="auto"/>
        <w:tabs>
          <w:tab w:leader="none" w:pos="1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analogous state and EU and foreign national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or marketing expenditures; and several recently passed state laws that require disclosures related to state agencies and/or commercial purchasers with respect to certain price increases that exceed a certain level as identified in the relevant statutes, some of which contain ambiguous requirements that government officials have not yet clarified; and EU and foreign national laws prohibiting promotion of prescription-only medicinal products to individuals other than healthcare professionals, governing strictly all aspects of interactions with healthcare professionals and healthcare organizations, including prior notification, review and/or approval of agreements with healthcare professionals, and requiring public disclosure of transfers of value made to a broad range of stakeholders, including healthcare professionals, healthcare organizations, medical students, physicians associations, patient organizations and editors of specialized press.</w:t>
      </w:r>
    </w:p>
    <w:p>
      <w:pPr>
        <w:spacing w:after="0" w:line="19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applicable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and curtailment or restructuring of our operations, any of which could adversely affect our ability to operate our business and our results of operations. Even the mere issuance of a subpoena, civil investigative demand or the fact of an investigation alone, regardless of the merit, may result in negative publicity, a drop in our share price and other harm to our business, financial condition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229"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The United States and many other jurisdictions have enacted or proposed legislative and regulatory changes affecting the healthcare system that could restrict or regulate post-approval activities for our products and affect our ability to profitably sell our products, and prevent or delay marketing approval of our current and any future product candidates. Changes in regulations, statutes or the interpretation of existing regulations could impact our business in the future by requiring, for example: (i) changes to our manufacturing arrangements; (ii) additions or modifications to product labeling;</w:t>
      </w:r>
    </w:p>
    <w:p>
      <w:pPr>
        <w:spacing w:after="0" w:line="3" w:lineRule="exact"/>
        <w:rPr>
          <w:sz w:val="20"/>
          <w:szCs w:val="20"/>
          <w:color w:val="auto"/>
        </w:rPr>
      </w:pPr>
    </w:p>
    <w:p>
      <w:pPr>
        <w:ind w:left="4" w:right="300" w:hanging="4"/>
        <w:spacing w:after="0" w:line="260" w:lineRule="auto"/>
        <w:tabs>
          <w:tab w:leader="none" w:pos="31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recall or discontinuation of our products; or (iv) additional record-keeping requirements. If any such changes were to be imposed, they could adversely affect the operation of our business.</w:t>
      </w:r>
    </w:p>
    <w:p>
      <w:pPr>
        <w:spacing w:after="0" w:line="18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including costs for pharmaceuticals. For example, in March 2010,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88"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and we expect there will be additional challenges and amendments to the ACA in the future, with unpredictable and uncertain results. Congress has introduced several pieces of legislation aimed at significantly revising or repealing the ACA. The law appears likely to continue the downward pressure on pharmaceutical pricing, especially under the Medicare program, and may also increase our regulatory burdens and operating costs.</w:t>
      </w:r>
    </w:p>
    <w:p>
      <w:pPr>
        <w:sectPr>
          <w:pgSz w:w="11900" w:h="16838" w:orient="portrait"/>
          <w:cols w:equalWidth="0" w:num="1">
            <w:col w:w="11004"/>
          </w:cols>
          <w:pgMar w:left="436" w:top="297" w:right="459" w:bottom="1440" w:gutter="0" w:footer="0" w:header="0"/>
        </w:sectPr>
      </w:pPr>
    </w:p>
    <w:bookmarkStart w:id="73" w:name="page74"/>
    <w:bookmarkEnd w:id="73"/>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will after a pause in early 2022 remain in effect through 2031 unless additional Congressional action is taken. Pursuant to the CARES Act and subsequent legislation, these reductions were suspended from May 1, 2020 through March 31, 2022 due to the COVID-19 pandemic. Under current legislation the actual reduction in Medicare payments will vary from 1% in 2022 to up to 3% in the final fiscal year of the sequester.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194"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and reform government program reimbursement methodologies for drugs. Current Congressional proposals include direct price negotiation by Medicare in Medicare Parts B and D, international reference pricing for certain Medicare drugs, and inflationary rebates on Part B and Part D drugs whose prices increase above a certain amount, and Part D drug benefit redesign. At the federal level, the former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implemented several of these provisions to date. In May 2019, Centers for Medicare and Medicaid Services (the “CMS”), issued a final rule to allow Medicare Advantage Plans the option of using step therapy, a type of prior authorization, for Part B drugs beginning January 1, 2020. Additionally, on November 20, 2020, HHS finalized a regulation removing safe harbor protection for price reductions from pharmaceutical manufacturers to plan sponsors under Part D, either directly or through pharmacy benefit managers, unless the price reduction is required by law. This rulemaking also created a new safe harbor for price reductions reflected at the point-of-sale, as well as a safe harbor for certain fixed fee arrangements between pharmacy benefit managers and manufacturers. However, Congress adopted a six-year moratorium on implementation or enforcement of the rule as a part of the Infrastructure Investment and Jobs Act. In July 2021, President Biden issued an executive order pertaining to drug pricing, which expressed support for legislation allowing direct negotiation in Medicare Part D and inflationary rebates, and directed various executive branch agencies to take actions to lower drug prices and promote generic competition. Moreover, on November 19, 2021, the House passed the Build Back Better Act, which among other provisions, would permit the Secretary of HHS to negotiate certain high-expenditure Part D drugs, impose inflationary rebates for Part D drugs, and redesign the Part D benefit. The Senate Finance Committee introduced a modified version of the legislation on December 11, 2021, but negotiations have since stalled. Although the House and Senate versions of this legislation would grant certain exceptions for “small biotech drugs” and “specified small manufacturers,” if passed, we cannot predict how these exceptions would be implemented and their impact on Roivant.</w:t>
      </w:r>
    </w:p>
    <w:p>
      <w:pPr>
        <w:spacing w:after="0" w:line="188"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Moreover, upcoming legislative and policy changes in the EU, some of which may materialize as early as 2022, are aimed at increasing accessibility and affordability of medicinal products, as well as at increased cooperation between the EU Member States. Such initiatives may further impact the price and reimbursement status of our products in the future.</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national and state levels in jurisdictions around the world directed at containing or lowering the cost of healthcare, including prescription drugs. The implementation of cost containment measures or other healthcare reforms may prevent us from being able to generate revenue, attain profitability, or commercialize our products and, if approved, our product candidates. Such reforms could have an adverse effect on anticipated revenue from our products and, if approved, product candidates and may affect our overall financial condition and ability to develop future product candidates and obtain marketing approval for those product candidates.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4" w:lineRule="exact"/>
        <w:rPr>
          <w:sz w:val="20"/>
          <w:szCs w:val="20"/>
          <w:color w:val="auto"/>
        </w:rPr>
      </w:pPr>
    </w:p>
    <w:p>
      <w:pPr>
        <w:ind w:left="1420" w:hanging="439"/>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if approved, product candidates;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products;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taxes that we are required to pay;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ectPr>
          <w:pgSz w:w="11900" w:h="16838" w:orient="portrait"/>
          <w:cols w:equalWidth="0" w:num="1">
            <w:col w:w="11000"/>
          </w:cols>
          <w:pgMar w:left="440" w:top="297" w:right="459" w:bottom="1440" w:gutter="0" w:footer="0" w:header="0"/>
        </w:sectPr>
      </w:pPr>
    </w:p>
    <w:bookmarkStart w:id="74" w:name="page75"/>
    <w:bookmarkEnd w:id="74"/>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expect that healthcare reform measures that may be adopted in the future, may result in additional reductions in Medicare and other healthcare funding, more rigorous coverage criteria, lower reimbursement and new payment methodologies. This could lower the price that we receive for our products and, if approved, product candidates. Any denial in coverage or reduction in reimbursement from Medicare or other government-funded programs may result in a similar denial or reduction in payments from private payors, which may prevent us from being able to generate sufficient revenue, attain profitability or successfully commercialize our products and, if approved, product candidates.</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products and, if approved, product candidates, which could make it difficult for us to profitably sell our products and, if approved, product candidates.</w:t>
      </w:r>
    </w:p>
    <w:p>
      <w:pPr>
        <w:spacing w:after="0" w:line="159"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Market acceptance and sales of our products and, if approved, product candidates will depend in part on the extent to which coverage and adequate reimbursement for these products and product candidates and related treatments will be available from third-party payors, including government health administration authorities and private health insurers. The pricing and reimbursement of our products and, if approved, product candidates, must be adequate to support commercial infrastructure. If we are unable to obtain adequate levels of reimbursement, our ability to successfully market and sell our products and, if approved, product candidates, will be adversely affected. The manner and level at which reimbursement is provided for services related to our products and product candidates (e.g., for administration of our products to patients) is also important. Inadequate reimbursement for such services may lead to physician resistance and adversely affect our ability to market or sell our products and, if approved, product candidates. There is no assurance that our products or, if approved, product candidates, would achieve adequate coverage and reimbursement levels.</w:t>
      </w:r>
    </w:p>
    <w:p>
      <w:pPr>
        <w:spacing w:after="0" w:line="17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exists among third-party payors. Third-party payors decide which drugs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or, if approved, product candidate will be made on a plan-by-plan basis. One payor’s determination to provide coverage for a product does not assure that other payors will also provide coverage, and adequate reimbursement, for the product. Additionally, a third-party payor’s decision to provide coverage for a drug does not imply that an adequate reimbursement rate will be approved. Each plan determines whether or not it will provide coverage for a drug, what amount it will pay the manufacturer for the drug, on what tier of its formulary the drug will be placed and whether to require step therapy. The position of a drug on a formulary generally determines the co-payment that a patient will need to make to obtain the drug and can strongly influence the adoption of a drug by patients and physicians. Patients who are prescribed treatments for their conditions and providers prescribing such services generally rely on third-party payors to reimburse all or part of the associated healthcare costs. Patients are unlikely to use our product or, if approved, product candidates, unless coverage is provided and reimbursement is adequate to cover a significant portion of the cost of the product or product candidate. Further, from time to time, typically on an annual basis, payment rates are updated and revised by third-party payors. Such updates could impact the demand for our products or, if approved, product candidates, to the extent that patients who are prescribed our products or, if approved, product candidates, are not separately reimbursed for the cost of the product.</w:t>
      </w:r>
    </w:p>
    <w:p>
      <w:pPr>
        <w:spacing w:after="0" w:line="19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process for determining whether a third-party payor will provide coverage for a product may be separate from the process for setting the price of a product or for establishing the reimbursement rate that such a payor will pay for the product. Even if we obtain adequate levels of reimbursement, third-party payors, such as government or private healthcare insurers,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 prices for products. We may also be required to conduct expensive pharmacoeconomic studies to justify the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or, if approved, product candidate. If coverage and adequate reimbursement are not available, or are available only to limited levels, we may not be able to successfully commercialize any product or, if approved, product candidate that we develop.</w:t>
      </w:r>
    </w:p>
    <w:p>
      <w:pPr>
        <w:spacing w:after="0" w:line="194"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Additionally, there have been a number of legislative and regulatory proposals to change the healthcare system in the United States and in some other jurisdictions that could affect our ability to profitably sell any product or, if approved, product candidate. These legislative and regulatory changes may negatively impact the reimbursement for any product or, if approved, product candidate. There can be no assurance that our products or, if approved, product candidates, will be considered medically reasonable and necessary, that they will be considered cost-effective by third-party payors, that coverage or an adequate level of reimbursement will be available, or that reimbursement policies and practices in the United States and in other countries where our products and, if approved, product candidates, are sold will not harm our ability to profitably sell our products and, if approved, product candidates.</w:t>
      </w:r>
    </w:p>
    <w:p>
      <w:pPr>
        <w:spacing w:after="0" w:line="18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products or, if approved, product candidates. In addition to continuing pressure on prices and cost containment measures, legislative developments in the EU or the EU Member States may harm our ability to profitably sell our products and, if approved, product</w:t>
      </w:r>
    </w:p>
    <w:p>
      <w:pPr>
        <w:sectPr>
          <w:pgSz w:w="11900" w:h="16838" w:orient="portrait"/>
          <w:cols w:equalWidth="0" w:num="1">
            <w:col w:w="11000"/>
          </w:cols>
          <w:pgMar w:left="440" w:top="297" w:right="459" w:bottom="1440" w:gutter="0" w:footer="0" w:header="0"/>
        </w:sectPr>
      </w:pPr>
    </w:p>
    <w:bookmarkStart w:id="75" w:name="page76"/>
    <w:bookmarkEnd w:id="7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candidates. The delivery of healthcare in the EU, including the establishment and operation of health services and the pricing and reimbursement of medicines, is almost exclusively a matter for national EU Member States law. National governments and health service providers have different priorities and approaches to the delivery of health care and the pricing and reimbursement of products in that context. The healthcare budgetary constraints in most countries have resulted in restrictions on the pricing and reimbursement of medicines. In markets outside of the United States and EU, reimbursement and healthcare payment systems vary significantly by country, and many countries have instituted price ceilings on specific products and therapies. All of this could affect our ability to commercialize our products and, if approved, product candidates.</w:t>
      </w:r>
    </w:p>
    <w:p>
      <w:pPr>
        <w:spacing w:after="0" w:line="18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federal legislation and actions by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175"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We may face competition in the United States for our products and, if approved, product candidates, from therapies sourced from foreign countries that have placed price controls on pharmaceutical products. In the United States, the Medicare Modernization Act (“MMA”) contains provisions that may change U.S. importation laws and expand pharmacists’ and wholesalers’ ability to import cheaper versions of an approved drug and competing products from Canada, where there are government price controls.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HHS made such certification to Congress, and on October 1, 2020, the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on November 23, 2020, several industry groups filed federal lawsuits in the U.S. District Court for the District of Columbia, requesting injunctive relief to prevent implementation of the rule. Further,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(“NDC”), for an FDA-approved drug that was originally intended to be marketed in a foreign country and that was authorized for sale in that foreign country. In addition, the July 2021 executive order pertaining to drug pricing directs the FDA to support and work with States and Indian Tribes to develop importation plans to import prescription drugs from Canada under the MMA and final rule. If implemented, importation of drugs from Canada may materially and adversely affect the price we receive for our products and, if approved, product candidates. The regulatory and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our products and, if approved, product candidates and adversely affect our future revenues and prospects for profitability.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 Related to Our Business and Industry</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knowledge and skills of our senior leaders and may not be able to manage our business effectively if we are unable to attract and retain key personnel.</w:t>
      </w:r>
    </w:p>
    <w:p>
      <w:pPr>
        <w:spacing w:after="0" w:line="15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We have benefited substantially from the leadership, performance and vision of our senior leaders, in particular, our founder and Chairman, Vivek Ramaswamy, our Principal Executive Officer, Matthew Gline, and other senior executives at Roivant and the Vants. We rely greatly on the investment experience and medical and scientific expertise of our senior leadership team to identify product candidates and guide future investments and opportunities, as well as the drug development expertise of our and the Vants’ senior leadership to guide the preclinical and clinical development of our product candidates. Our success will depend on our ability to retain our current management team. In addition, while we expect to engage in an orderly transition process as we integrate newly appointed officers and managers, we face a variety of risks and uncertainties related to management transition, including diversion of management attention from business concerns, failure to retain other key personnel or loss of institutional knowledge. Competition for senior leadership in the healthcare investment industry is intense, and we cannot guarantee that we will be able to retain our key personnel or that of our Vants.</w:t>
      </w:r>
    </w:p>
    <w:p>
      <w:pPr>
        <w:spacing w:after="0" w:line="188"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Our senior leaders and key employees may terminate their positions with us at any time. Due to the small number of employees at some of the Vants, the loss of a key employee may have a larger impact on our business. In particular, we rely on a limited number of employees in certain key jurisdictions, including the United Kingdom (the “U.K.”), Switzerland and Bermuda. If we lose one or more members of our or the Vants’ senior leadership teams or other key employees, our ability to successfully implement our business strategies could be adversely impacted. Replacing these individuals may be difficult, cause disruption and may take an extended period of time due to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motivate additional key personnel. We do not maintain “key person” insurance for any members of our senior leadership team or other employees.</w:t>
      </w:r>
    </w:p>
    <w:p>
      <w:pPr>
        <w:sectPr>
          <w:pgSz w:w="11900" w:h="16838" w:orient="portrait"/>
          <w:cols w:equalWidth="0" w:num="1">
            <w:col w:w="11000"/>
          </w:cols>
          <w:pgMar w:left="440" w:top="297" w:right="459" w:bottom="1440" w:gutter="0" w:footer="0" w:header="0"/>
        </w:sectPr>
      </w:pPr>
    </w:p>
    <w:bookmarkStart w:id="76" w:name="page77"/>
    <w:bookmarkEnd w:id="76"/>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To encourage valuable employees to remain at our company, in addition to salary and cash incentives, we have provided certain equity awards that vest over time. The value to employees of equity awards that vest over time may be significantly affected by movements in our share price that are beyond our control and may at any time be insufficient to counteract more lucrative offers from other companies. Despite our efforts to retain invaluable employees, members of our management, scientific and development teams may terminate their employment with us at any time. Although we have employment agreements with our key employees, certain of these employment agreements provide for at-will employment, which means that any of our employees could leave our employment at any time. Our success also depends on our ability to continue to attract, retain and motivate highly skilled junior, mid-level and senior managers as well as junior, mid-level and senior scientific and medical personnel.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our organization and may experience difficulties in managing this growth, which could disrupt operations.</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our continued growth, we expect to hire, either directly or through our current or future affiliates, additional employees for our managerial, finance and accounting, clinical, scientific and engineering, regulatory, operational, manufacturing, sales and marketing teams. We may have difficulties in connection with identifying, hiring, integrating and retaining new personnel. Future growth would impose significant additional responsibilities on management, including the need to identify, recruit, maintain, motivate and integrate additional employees, consultants and contractors. Also, management may need to divert a disproportionate amount of its attention away from our day-to-day activities and devote a substantial amount of time to managing these growth activities. We may not be able to effectively manage the expansion of operations across our entities, which may result in weaknesses in infrastructure, give rise to operational mistakes, loss of business opportunities, loss of employees and reduced productivity among remaining employees. Our future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ability to commercialize product candidates and new technologies and compete effectively will partly depend on our ability to effectively manage any future growth.</w:t>
      </w:r>
    </w:p>
    <w:p>
      <w:pPr>
        <w:spacing w:after="0" w:line="19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Many of the other pharmaceutical and healthcare technology companies that we compete against for qualified personnel and consultants have greater financial and other resources, different risk profiles and a longer operating history in the industry than us. They also may provide more diverse opportunities and better chances for career advancement. Some of these opportunities may be more appealing to high-quality candidates and consultants than what we have to offer. If we are unable to continue to attract and retain high-quality personnel and consultants, the rate and success at which we can discover and develop our products and product candidates will be harmed, which could negatively impact our financial condition, results of operations and cash flows.</w:t>
      </w:r>
    </w:p>
    <w:p>
      <w:pPr>
        <w:spacing w:after="0" w:line="18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expose us to business, legal, regulatory, political, operational, financial and economic risks associated with conducting business globally.</w:t>
      </w:r>
    </w:p>
    <w:p>
      <w:pPr>
        <w:spacing w:after="0" w:line="159"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Part of our business strategy involves potential expansion internationally with third-party collaborators to seek regulatory approval for our products and product candidates globally. Doing business internationally involves a number of risks, including but not limited to:</w:t>
      </w:r>
    </w:p>
    <w:p>
      <w:pPr>
        <w:spacing w:after="0" w:line="67" w:lineRule="exact"/>
        <w:rPr>
          <w:sz w:val="20"/>
          <w:szCs w:val="20"/>
          <w:color w:val="auto"/>
        </w:rPr>
      </w:pPr>
    </w:p>
    <w:p>
      <w:pPr>
        <w:ind w:left="1420" w:right="420" w:hanging="439"/>
        <w:spacing w:after="0" w:line="282"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employment laws, anti-bribery and anti-corruption laws, regulatory requirements and other governmental approvals, permits and licenses;</w:t>
      </w:r>
    </w:p>
    <w:p>
      <w:pPr>
        <w:spacing w:after="0" w:line="67" w:lineRule="exact"/>
        <w:rPr>
          <w:rFonts w:ascii="Times New Roman" w:cs="Times New Roman" w:eastAsia="Times New Roman" w:hAnsi="Times New Roman"/>
          <w:sz w:val="18"/>
          <w:szCs w:val="18"/>
          <w:color w:val="auto"/>
        </w:rPr>
      </w:pPr>
    </w:p>
    <w:p>
      <w:pPr>
        <w:ind w:left="1420" w:right="480" w:hanging="439"/>
        <w:spacing w:after="0" w:line="282"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collaborators to obtain appropriate licenses or regulatory approvals for the sale or use of our products or, if approved, product candidates, in various countries;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operations in different jurisdictions;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payor-reimbursement regimes or self-pay systems;</w:t>
      </w:r>
    </w:p>
    <w:p>
      <w:pPr>
        <w:spacing w:after="0" w:line="130" w:lineRule="exact"/>
        <w:rPr>
          <w:rFonts w:ascii="Times New Roman" w:cs="Times New Roman" w:eastAsia="Times New Roman" w:hAnsi="Times New Roman"/>
          <w:sz w:val="18"/>
          <w:szCs w:val="18"/>
          <w:color w:val="auto"/>
        </w:rPr>
      </w:pPr>
    </w:p>
    <w:p>
      <w:pPr>
        <w:ind w:left="1420" w:right="400" w:hanging="439"/>
        <w:spacing w:after="0" w:line="282"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enforcing contracts and collecting accounts receivable and exposure to currency exchange rate fluctuations;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protection for intellectual property rights;</w:t>
      </w:r>
    </w:p>
    <w:p>
      <w:pPr>
        <w:spacing w:after="0" w:line="130" w:lineRule="exact"/>
        <w:rPr>
          <w:rFonts w:ascii="Times New Roman" w:cs="Times New Roman" w:eastAsia="Times New Roman" w:hAnsi="Times New Roman"/>
          <w:sz w:val="18"/>
          <w:szCs w:val="18"/>
          <w:color w:val="auto"/>
        </w:rPr>
      </w:pPr>
    </w:p>
    <w:p>
      <w:pPr>
        <w:ind w:left="1420" w:right="380" w:hanging="439"/>
        <w:spacing w:after="0" w:line="282"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boycotts, curtailment of trade and other business restrictions; and</w:t>
      </w:r>
    </w:p>
    <w:p>
      <w:pPr>
        <w:spacing w:after="0" w:line="67" w:lineRule="exact"/>
        <w:rPr>
          <w:rFonts w:ascii="Times New Roman" w:cs="Times New Roman" w:eastAsia="Times New Roman" w:hAnsi="Times New Roman"/>
          <w:sz w:val="18"/>
          <w:szCs w:val="18"/>
          <w:color w:val="auto"/>
        </w:rPr>
      </w:pPr>
    </w:p>
    <w:p>
      <w:pPr>
        <w:ind w:left="1420" w:right="40" w:hanging="439"/>
        <w:spacing w:after="0" w:line="261"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United States Foreign Corrupt Practices Act (the “FCPA”), including its books and records provisions and its anti-bribery provisions, the United Kingdom Bribery Act 2010 (the “U.K. Bribery Act”), and similar anti-bribery and anti-corruption laws in other jurisdictions, for example by failing to maintain accurate information and control over sales or distributors’ activities.</w:t>
      </w:r>
    </w:p>
    <w:p>
      <w:pPr>
        <w:sectPr>
          <w:pgSz w:w="11900" w:h="16838" w:orient="portrait"/>
          <w:cols w:equalWidth="0" w:num="1">
            <w:col w:w="11000"/>
          </w:cols>
          <w:pgMar w:left="440" w:top="297" w:right="459" w:bottom="1440" w:gutter="0" w:footer="0" w:header="0"/>
        </w:sectPr>
      </w:pPr>
    </w:p>
    <w:bookmarkStart w:id="77" w:name="page78"/>
    <w:bookmarkEnd w:id="7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Any of these risks, if encountered, could significantly harm our future international expansion and operations and, consequently, negatively impact our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and other factors beyond our control, such as the rate of unemployment, the number of uninsured persons in the United States, political influences and inflationary pressures. For example, an overall decrease in or loss of insurance coverage among individuals in the United States as a result of unemployment, underemployment or the repeal of certain provisions of the ACA may decrease the demand for healthcare services and pharmaceuticals. If fewer patients are seeking medical care because they do not have insurance coverage, we may experience difficulties in commercializing our products and, if approved, product candidates and our business, results of operations, financial condition and cash flows could be adversely affected.</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could result in a variety of risks to our business, including a reduced ability to raise additional capital when needed on acceptable terms, if at all, and weakened demand for our products and, if approved, product candidates.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and scientific change, and there is a possibility that our competitors may achieve certain regulatory approvals before us or develop therapies that are safer, more advanced or more effective than ours, which may negatively impact our ability to successfully market or commercialize our products and, if approved, product candidates and ultimately harm our financial condition.</w:t>
      </w:r>
    </w:p>
    <w:p>
      <w:pPr>
        <w:spacing w:after="0" w:line="180"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The development and commercialization of new drug products is highly competitive. Now and in the future we may face competition from major pharmaceutical companies, specialty pharmaceutical companies and biotechnology companies worldwide with respect to our products and product candidates.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are currently pursuing the development and commercialization of products and product candidates for the treatment of the indications that we are also pursuing. Examples of such competing products include, but are not limited to:</w:t>
      </w:r>
    </w:p>
    <w:p>
      <w:pPr>
        <w:spacing w:after="0" w:line="81" w:lineRule="exact"/>
        <w:rPr>
          <w:sz w:val="20"/>
          <w:szCs w:val="20"/>
          <w:color w:val="auto"/>
        </w:rPr>
      </w:pPr>
    </w:p>
    <w:p>
      <w:pPr>
        <w:ind w:left="1420" w:right="20" w:hanging="439"/>
        <w:spacing w:after="0" w:line="266"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Roflumilast, a PDE4 inhibitor, a potential competitor to VTAMA, which in May 2022 was approved by the FDA for the treatment of plaque psoriasis in adults in the U.S. under the brand name VTAMA cream and which is also in development by Dermavant for the topical treatment of atopic dermatitis;</w:t>
      </w:r>
    </w:p>
    <w:p>
      <w:pPr>
        <w:spacing w:after="0" w:line="81" w:lineRule="exact"/>
        <w:rPr>
          <w:rFonts w:ascii="Times New Roman" w:cs="Times New Roman" w:eastAsia="Times New Roman" w:hAnsi="Times New Roman"/>
          <w:sz w:val="18"/>
          <w:szCs w:val="18"/>
          <w:color w:val="auto"/>
        </w:rPr>
      </w:pPr>
    </w:p>
    <w:p>
      <w:pPr>
        <w:ind w:left="1420" w:right="580" w:hanging="439"/>
        <w:spacing w:after="0" w:line="282"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Ruxolitinib, a topical Janus kinase inhibitor, a potential competitor to VTAMA, in development by Dermavant for the topical treatment of atopic dermatitis;</w:t>
      </w:r>
    </w:p>
    <w:p>
      <w:pPr>
        <w:spacing w:after="0" w:line="67"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Teprotumumab, an insulin-like growth factor-1 receptor inhibitor, which in January 2020 was approved by the FDA for the treatment of TED, a potential competitor to batoclimab, in development by Immunovant for the treatment of TED and other autoimmune diseases;</w:t>
      </w:r>
    </w:p>
    <w:p>
      <w:pPr>
        <w:spacing w:after="0" w:line="81" w:lineRule="exact"/>
        <w:rPr>
          <w:rFonts w:ascii="Times New Roman" w:cs="Times New Roman" w:eastAsia="Times New Roman" w:hAnsi="Times New Roman"/>
          <w:sz w:val="18"/>
          <w:szCs w:val="18"/>
          <w:color w:val="auto"/>
        </w:rPr>
      </w:pPr>
    </w:p>
    <w:p>
      <w:pPr>
        <w:ind w:left="1420" w:right="220" w:hanging="439"/>
        <w:spacing w:after="0" w:line="239"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VYVGART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(efgartigimod alfa-fcab), a neonatal Fc receptor blocker, which in December 2021 was approved by the FDA for the treatment of MG in adults who test positive for the anti-acetylcholine receptor antibody, a potential competitor to batoclimab, in development by Immunovant for the treatment of MG and other autoimmune diseases;</w:t>
      </w:r>
    </w:p>
    <w:p>
      <w:pPr>
        <w:spacing w:after="0" w:line="105" w:lineRule="exact"/>
        <w:rPr>
          <w:rFonts w:ascii="Times New Roman" w:cs="Times New Roman" w:eastAsia="Times New Roman" w:hAnsi="Times New Roman"/>
          <w:sz w:val="18"/>
          <w:szCs w:val="18"/>
          <w:color w:val="auto"/>
        </w:rPr>
      </w:pPr>
    </w:p>
    <w:p>
      <w:pPr>
        <w:ind w:left="1420" w:right="480" w:hanging="439"/>
        <w:spacing w:after="0" w:line="266"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Efgartigimod, an anti-FcRn antibody fragment, nipocalimab, an anti-FcRn antibody, Zilucoplan, a peptide inhibitor of C5, and inebilizumab, a CD19-targeted humanized monoclonal antibody, all potential competitors to batoclimab, in development by Immunovant for the treatment of MG and other autoimmune diseases;</w:t>
      </w:r>
    </w:p>
    <w:p>
      <w:pPr>
        <w:sectPr>
          <w:pgSz w:w="11900" w:h="16838" w:orient="portrait"/>
          <w:cols w:equalWidth="0" w:num="1">
            <w:col w:w="11000"/>
          </w:cols>
          <w:pgMar w:left="440" w:top="297" w:right="459" w:bottom="1440" w:gutter="0" w:footer="0" w:header="0"/>
        </w:sectPr>
      </w:pPr>
    </w:p>
    <w:bookmarkStart w:id="78" w:name="page79"/>
    <w:bookmarkEnd w:id="78"/>
    <w:p>
      <w:pPr>
        <w:ind w:left="1420" w:right="680" w:hanging="439"/>
        <w:spacing w:after="0" w:line="266"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Ultomiris (Ravulizumab-cwvz), a complement inhibitor, which in April 2022 was approved by the FDA for the treatment of generalized MG in adults who are anti-acetylcholine receptor antibody-positive, a potential competitor to batoclimab, in development by Immunovant for the treatment of MG and other autoimmune diseases;</w:t>
      </w:r>
    </w:p>
    <w:p>
      <w:pPr>
        <w:spacing w:after="0" w:line="81"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Rituximab, a monoclonal antibody, a potential competitor to batoclimab, in development by Immunovant for the treatment of TED, WAIHA and other autoimmune diseases;</w:t>
      </w:r>
    </w:p>
    <w:p>
      <w:pPr>
        <w:spacing w:after="0" w:line="67"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Fostamatinib, a syk inhibitor, ibrutinib, a BTK inhibitor, and ANX005, an antibody inhibitor, all potential competitors to batoclimab, in development by Immunovant for the treatment of WAIHA and other autoimmune diseases; and</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any of these or other competitors, including competitors for our other product candidates, receive FDA approval before we do, our products or product candidates would not be the first treatment on the market, and our market share may be limited.</w:t>
      </w:r>
    </w:p>
    <w:p>
      <w:pPr>
        <w:spacing w:after="0" w:line="162"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our products and product candidates. Furthermore, currently approved products could be discovered to have application for treatment of our targeted disease indications or similar indications, which could give such products significant regulatory and market timing advantages over our products and product candidates. Our competitors also may obtain FDA or other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products or product candidates uneconomical or obsolete and we may not be successful in marketing our products or, if approved, any product candidates we may develop against competitors.</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we could face litigation or other proceedings with respect to the scope, ownership, validity and/or enforceability of our patents relating to our competitors’ products and our competitors may allege that our products or product candidates infringe, misappropriate or otherwise violate their intellectual property. The availability of our competitors’ products could limit the demand, and the price we are able to charge, for our products and, if approved, any product candidates we may develop.</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our healthcare technology Vants participate are competitive, and if we do not compete effectively, our business and operating results could be adversely affected.</w:t>
      </w:r>
    </w:p>
    <w:p>
      <w:pPr>
        <w:spacing w:after="0" w:line="159"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The overall market for healthcare technologies and software is global, rapidly evolving, competitive and subject to changing technology and shifting customer focus. Our healthcare technology Vants, including Lokavant, a clinical trial technology company, face competition from well-established providers of similar solutions, certain of which may have long-standing relationships with many of our current and potential customers, including large biopharmaceutical companies. We also face competition from solutions that biopharmaceutical companies develop internally and from smaller companies that offer products and services directed at more specific markets than we target, enabling these smaller competitors to focus a greater proportion of their efforts and resources on these markets, as well as a large number of companies that have been founded with the goal of applying machine learning technologies to drug discovery.</w:t>
      </w:r>
    </w:p>
    <w:p>
      <w:pPr>
        <w:spacing w:after="0" w:line="18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Many of our competitors are able to devote greater resources to the development, promotion, and sale of their software solutions and services. Third parties with greater available resources and the ability to initiate or withstand substantial price competition could acquire our current or potential competitors. Our competitors may also establish cooperative relationships among themselves or with third parties that may further enhance their product offerings or resources. If our competitors’ products, services or technologies become more accepted than our solutions, if our competitors are successful in bringing their products or services to market earlier than ours, if our competitors are able to respond more quickly and effectively to new or changing opportunities, technologies, or customer requirements, or if their products or services are more technologically capable than ours, then the business and prospects of these Vants could be adversely affected.</w:t>
      </w:r>
    </w:p>
    <w:p>
      <w:pPr>
        <w:sectPr>
          <w:pgSz w:w="11900" w:h="16838" w:orient="portrait"/>
          <w:cols w:equalWidth="0" w:num="1">
            <w:col w:w="11020"/>
          </w:cols>
          <w:pgMar w:left="440" w:top="297" w:right="439" w:bottom="1440" w:gutter="0" w:footer="0" w:header="0"/>
        </w:sectPr>
      </w:pPr>
    </w:p>
    <w:bookmarkStart w:id="79" w:name="page80"/>
    <w:bookmarkEnd w:id="7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and our subsidiaries are subject to litigation and investigation risks which could adversely affect our business, results of operations and financial condition and could cause the market value of our Common Shares to decline. Insurance coverage may not be available for, or adequate to cover, all potential exposure for litigation and other business risks.</w:t>
      </w:r>
    </w:p>
    <w:p>
      <w:pPr>
        <w:spacing w:after="0" w:line="175" w:lineRule="exact"/>
        <w:rPr>
          <w:sz w:val="20"/>
          <w:szCs w:val="20"/>
          <w:color w:val="auto"/>
        </w:rPr>
      </w:pPr>
    </w:p>
    <w:p>
      <w:pPr>
        <w:ind w:right="100" w:firstLine="440"/>
        <w:spacing w:after="0" w:line="272" w:lineRule="auto"/>
        <w:rPr>
          <w:sz w:val="20"/>
          <w:szCs w:val="20"/>
          <w:color w:val="auto"/>
        </w:rPr>
      </w:pPr>
      <w:r>
        <w:rPr>
          <w:rFonts w:ascii="Times New Roman" w:cs="Times New Roman" w:eastAsia="Times New Roman" w:hAnsi="Times New Roman"/>
          <w:sz w:val="17"/>
          <w:szCs w:val="17"/>
          <w:color w:val="auto"/>
        </w:rPr>
        <w:t>We and our subsidiaries are from time to time subject to various litigation matters and claims, including regulatory proceedings, administrative proceedings, securities litigation and other lawsuits, and governmental investigations. In addition, we and our subsidiaries may receive requests for information from governmental agencies in connection with their regulatory or investigatory authority or from private third parties pursuant to subpoena. These proceedings may be complex and prolonged, and may occupy the resources of our and our subsidiaries’ management and employees. These proceedings are also costly to prosecute and defend and may involve substantial awards or damages payable by us or our subsidiaries if not favorably resolved. We and our subsidiaries may be required to pay substantial amounts or grant certain rights on unfavorable terms in order to settle such proceedings. We also face risks relating to litigation arising from judgments made by us and the Vants as to the materiality of any developments in our businesses, including with respect to preclinical and clinical data, and the resulting disclosure (or lack thereof) may give rise to securities litigation.</w:t>
      </w:r>
    </w:p>
    <w:p>
      <w:pPr>
        <w:spacing w:after="0" w:line="17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We maintain insurance policies for certain litigation and various business risks, but such policies may not be adequate to compensate us for any or all potential losses. In addition, such insurance may not be available to us in the future on economically reasonable terms, or at all. Further, our insurance, if available, may not cover all claims made against us and defending a suit, regardless of its merit, could be costly and divert management’s attention. Because of the uncertain nature of litigation, investigations and insurance coverage decisions, it is not possible to predict the outcome of these matters as they arise from time to time, and they could have a material adverse effect on our and our subsidiaries’ business, results of operations, and financial condition, could impact our ability to consummate a transaction that is challenged or otherwise subject to such litigation and could cause the market value of our Common Shares to decline.</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hold a controlling stake in certain of our subsidiaries and thus may not be able to direct our business or the development of our product candidates.</w:t>
      </w:r>
    </w:p>
    <w:p>
      <w:pPr>
        <w:spacing w:after="0" w:line="15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certain of the Vants, including Arbutus and Sio Gene Therapies, we hold less than a majority ownership interest or are otherwise limited in our ability to direct or control the business and the development of the product candidates or technologies at the Vant. In addition, for certain other Vants, including Immunovant, we may in the future come to hold less than a majority ownership interest in the Vant. Furthermore, even if we own a majority ownership interest in a Vant, we may not necessarily be able to control the outcome of certain corporate actions. If the business or development of a product candidate at one of these Vants were to face challenges, we would be adversely affected as a result and would be limited in our ability to cause or influence the Vant in question to take appropriate remediative 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cyber-attacks or a deficiency in our cyber-security.</w:t>
      </w:r>
    </w:p>
    <w:p>
      <w:pPr>
        <w:spacing w:after="0" w:line="22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Our computer systems, as well as those of various third parties on which we presently rely, or may rely on in the future, including our CROs and other contractors, consultants and law and accounting firms, may sustain damage from or otherwise be subject to computer viruses, unauthorized access, data breaches, phishing attacks, cybercriminals, natural disasters (including hurricanes and earthquakes), terrorism, war and telecommunication and electrical failures. Such information technology systems are additionally vulnerable to security breaches from inadvertent or intentional actions by our employees, third-party vendors, contractors, consultants, business partners, and/or other third parties. Any of the foregoing may compromise our system infrastructure, or that of our third-party vendors and other contractors and consultants, or lead to data leakage. The risks of a security breach or disruption, particularly through cyber-attacks or cyber intrusion, including by traditional computer “hackers,” threat actors, personnel (such as through theft or misuse), sophisticated nation-state and nation-state-supported actors, sovereign governments and cyber terrorists, have generally increased over time, including for geopolitical reasons and in conjunction with military conflicts and defense activities, along with the number, intensity and sophistication of attempted attacks and intrusions from around the world.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products and product candidates. In addition, there may be an increased risk of cybersecurity attacks due to the onset of hostilities by Russia towards Ukraine, including cybersecurity attacks perpetrated by Russia or others at its direction in response to economic sanctions and other actions taken against Russia as a result of its invasion of Ukraine. Any increase in such attacks on us or our third-party vendors or other systems could adversely affect our network systems or other operations.</w:t>
      </w:r>
    </w:p>
    <w:p>
      <w:pPr>
        <w:spacing w:after="0" w:line="19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We generally require our third-party providers to implement effective security measures and to identify and correct for any such failures, deficiencies or breaches. Although we seek to supervise such third parties’ security measures, our ability to do so is limited.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ectPr>
          <w:pgSz w:w="11900" w:h="16838" w:orient="portrait"/>
          <w:cols w:equalWidth="0" w:num="1">
            <w:col w:w="11000"/>
          </w:cols>
          <w:pgMar w:left="440" w:top="293" w:right="459" w:bottom="1440" w:gutter="0" w:footer="0" w:header="0"/>
        </w:sectPr>
      </w:pPr>
    </w:p>
    <w:bookmarkStart w:id="80" w:name="page81"/>
    <w:bookmarkEnd w:id="80"/>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cannot anticipate all possible types of security threats and we cannot guarantee that our data protection efforts and our investments in information technology will prevent significant breakdowns, data leakages, security breaches in our systems, or those of our third-party vendors and other contractors and consultants, or other cyber incidents that could have a material adverse effect upon our reputation, business, operations, or financial condition. If any of the aforementioned security events were to occur, it could result in a material disruption of our commercialization efforts, drug development programs and other business operations. For example, the loss of nonclinical or clinical trial data from completed, ongoing or planned trials could result in delays in our regulatory approval efforts and significantly increase our costs to recover or reproduce the data. In addition, we rely on third parties to supply components for and to manufacture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personal, confidential or proprietary information, we could incur liability and reputational damage and the commercialization efforts for our products and further development of any product candidate could be delayed. The costs related to significant security breaches or disruptions could be material and exceed the limits of the cybersecurity insurance we maintain against such risks.</w:t>
      </w:r>
    </w:p>
    <w:p>
      <w:pPr>
        <w:spacing w:after="0" w:line="18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data protection and information security laws, regulations, policies and contractual obligations related to data privacy and security and changes in such laws, regulations, policies and contractual obligations could adversely affect our business.</w:t>
      </w:r>
    </w:p>
    <w:p>
      <w:pPr>
        <w:spacing w:after="0" w:line="15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Failure to comply with applicable privacy and data security laws and regulations could result in enforcement actions against us, including possible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8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data protection and security of personal information. At the federal level, regulations promulgated pursuant to HIPAA establish privacy and security standards for “covered entities” (group health plans and most healthcare providers) that limit the use and disclosure of individually identifiable health information those entities receive or create (“protected health information”), and require the implementation of administrative, physical and technological safeguards to protect the security, confidentiality, integrity and availability of electronic protected health information. While we generally are not subject to HIPAA in our business, we do business with various entities that are subject to HIPAA and we have to expend resources to understand their obligations, adjust contractual relationships in light of those obligations, or otherwise modify our business practices. Congress has considered expanding the scope of the HIPAA privacy and security regulations and we may in the future become subject to them or parallel regulations ourselves, which would require us to make additional expenditures and create additional risks.</w:t>
      </w:r>
    </w:p>
    <w:p>
      <w:pPr>
        <w:spacing w:after="0" w:line="188"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In addition, many U.S. states in which we operate have laws that protect the privacy and security of personal information. Certain state laws may be more stringent or broader in scope, or offer greater individual rights, with respect to personal information than federal, international or other state laws, and such laws may differ from each other, which may complicate compliance efforts. For example, the California Confidentiality of Medical Information Act (the “CMIA”), a statute similar to HIPAA that expressly applies to pharmaceutical companies as well as companies that provide certain technologies for processing personal health information, imposes stringent data privacy and security requirements and obligations with respect to the personal health information of California residents. Among other things, the CMIA requires that a pharmaceutical company obtain a signed, written authorization from a patient or company employee in order to disclose his or her personal health information, with limited exceptions, and requires security measures to protect such information. The CMIA authorizes administrative fines and civil penalties of up to $25,000 for willful violations and up to $250,000 if the violation is for purposes of financial gain, as well as criminal fines. In addition, another more recently enacted California law, the California Consumer Privacy Act of 2018 (the “CCPA”), requires us to provide notice to California residents regarding the personal information we collect, use and share and to honor such residents’ privacy rights, including the right to opt-out of the sale of their personal information. The CCPA provides for civil penalties for violations, as well as a private right of action for data security breaches that result in the compromise of highly sensitive personal information, which may increase the likelihood of, and risks associated with, data breach litigation. As of January 1, 2023, the CCPA regime will become more complex and enforcement may increase, pursuant to amendments adopted pursuant to the California Privacy Rights Act (the “CPRA”), a ballot initiative that passed in November 2020. The CPRA, among other things, created a new state agency, the California Privacy Protection Agency, to implement and enforce the CCPA and the CPRA. The CPRA also gave California residents new rights to limit uses and disclosures of “sensitive personal information,” including personal health information, and the right to opt out of the sharing of personal information for targeted online advertising. California’s aggressive steps to protect consumer privacy have been followed by similar actions in other states, including Virginia, Colorado, Utah and Connecticut, all of which have enacted CCPA/CPRA-like laws to provide their respective residents with similar rights. New legislation anticipated to be enacted in various other states will continue to shape the data privacy environment nationally. Certain state laws may be more stringent or broader in</w:t>
      </w:r>
    </w:p>
    <w:p>
      <w:pPr>
        <w:sectPr>
          <w:pgSz w:w="11900" w:h="16838" w:orient="portrait"/>
          <w:cols w:equalWidth="0" w:num="1">
            <w:col w:w="11000"/>
          </w:cols>
          <w:pgMar w:left="440" w:top="297" w:right="459" w:bottom="1440" w:gutter="0" w:footer="0" w:header="0"/>
        </w:sectPr>
      </w:pPr>
    </w:p>
    <w:bookmarkStart w:id="81" w:name="page82"/>
    <w:bookmarkEnd w:id="81"/>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scope, or offer greater individual rights, with respect to confidential, sensitive and personal information than federal, international or other state laws, and such laws may differ from each other, which may complicate compliance efforts. The effects on our business of this growing body of privacy and data protection laws are potentially significant, and may require us to modify our data processing practices and policies and to incur substantial costs and expenses in an effort to comply.</w:t>
      </w:r>
    </w:p>
    <w:p>
      <w:pPr>
        <w:spacing w:after="0" w:line="180" w:lineRule="exact"/>
        <w:rPr>
          <w:sz w:val="20"/>
          <w:szCs w:val="20"/>
          <w:color w:val="auto"/>
        </w:rPr>
      </w:pPr>
    </w:p>
    <w:p>
      <w:pPr>
        <w:ind w:left="4" w:right="2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Outside of the United States, laws, regulations and standards in many jurisdictions apply broadly to the collection, use, retention, security, disclosure, transfer and other processing of personal information. For example, in EEA, the collection and use of personal data is governed by the provisions of the General Data Protection Regulation (the “GDPR”). The GDPR came into effect in May 2018, superseding the European Union Data Protection Directive, and imposing more stringent data privacy and security requirements on companies in relation to the processing of personal data. The GDPR, together with national legislation, regulations and guidelines of the EU member states governing the processing of personal data, impose strict obligations on controllers, including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(i) accountability and transparency requirements, and enhanced requirements for obtaining valid consent; (ii) obligations to consider data protection as any new products or services are developed and to limit the amount of personal data processed;</w:t>
      </w:r>
    </w:p>
    <w:p>
      <w:pPr>
        <w:spacing w:after="0" w:line="2" w:lineRule="exact"/>
        <w:rPr>
          <w:sz w:val="20"/>
          <w:szCs w:val="20"/>
          <w:color w:val="auto"/>
        </w:rPr>
      </w:pPr>
    </w:p>
    <w:p>
      <w:pPr>
        <w:ind w:left="4" w:right="60" w:hanging="4"/>
        <w:spacing w:after="0" w:line="253" w:lineRule="auto"/>
        <w:tabs>
          <w:tab w:leader="none" w:pos="3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comply with data protection rights of data subjects; and (iv) reporting of certain personal data breaches to the supervisory authority without undue delay (and no later than 72 hours where feasible). The GDPR also prohibits the transfer of personal data from the EEA to countries outside of the EEA unless made to a country deemed to have adequate data privacy laws by the European Commission or a data transfer mechanism has been put in place. The EU-US Privacy Shield, but the Privacy Shield was invalidated for international transfers of personal data in July 2020 by the Court of Justice of the European Union (“CJEU”).</w:t>
      </w:r>
    </w:p>
    <w:p>
      <w:pPr>
        <w:spacing w:after="0" w:line="187" w:lineRule="exact"/>
        <w:rPr>
          <w:sz w:val="20"/>
          <w:szCs w:val="20"/>
          <w:color w:val="auto"/>
        </w:rPr>
      </w:pPr>
    </w:p>
    <w:p>
      <w:pPr>
        <w:ind w:left="4" w:right="60" w:firstLine="440"/>
        <w:spacing w:after="0" w:line="252" w:lineRule="auto"/>
        <w:rPr>
          <w:sz w:val="20"/>
          <w:szCs w:val="20"/>
          <w:color w:val="auto"/>
        </w:rPr>
      </w:pPr>
      <w:r>
        <w:rPr>
          <w:rFonts w:ascii="Times New Roman" w:cs="Times New Roman" w:eastAsia="Times New Roman" w:hAnsi="Times New Roman"/>
          <w:sz w:val="18"/>
          <w:szCs w:val="18"/>
          <w:color w:val="auto"/>
        </w:rPr>
        <w:t>The CJEU upheld the validity of standard contractual clauses (“SCCs”) as a legal mechanism to transfer personal data but companies relying on SCCs will, subject to additional guidance from regulators in the EEA and the U.K., need to evaluate and implement supplementary measures that provide privacy protections additional to those provided under SCCs. Due to potential legal challenges, it remains to be seen whether SCCs will remain a valid legal mechanism and whether additional means for lawful data transfers will become available. In June 2021, the European Commission adopted new SCCs that are designed to be a mechanism by which entities can transfer personal information out of the EEA to jurisdictions that the European Commission has not found to provide an adequate level of protection. Currently, the SCCs are a valid mechanism to transfer personal information outside of the EEA. The SCCs, however, require parties that rely upon that legal mechanism to comply with additional obligations, such as conducting transfer impact assessments to determine whether additional security measures are necessary to protect the transferred personal information. The new SCCs may increase the legal risks and liabilities under European privacy, data protection, and information security laws. Given that, at present, there are few, if any, viable alternatives to the SCCs, any transfers by us or our vendors of personal information from Europe may not comply with European data protection law, which may increase our exposure to the GDPR’s heightened sanctions for violations of its cross-border data transfer restrictions and may prohibit our transfer of E.U. personal information outside of the E.U. (including clinical trial data), and may adversely impact our operations, product development and ability to provide our products. Moreover, the competent authorities and courts in a number of EU Member States increasingly scrutinize and question the GDPR compliance of processing of personal data by US-based entities or entities with links to US-based entities, independently of whether personal data is actually transferred outside the EEA. The GDPR authorizes fines for certain violations of up to 4% of global annual revenue or €20 million, whichever is greater. Such fines are in addition to any civil litigation claims by customers and data subjects. European data protection authorities may interpret the GDPR and national laws differently and impose additional requirements, which contributes to the complexity of processing personal data in or from the EEA.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such company does not have an establishment in the EU member state in question and the competent authority bringing the claim is not the lead supervisory authority.</w:t>
      </w:r>
    </w:p>
    <w:p>
      <w:pPr>
        <w:spacing w:after="0" w:line="186" w:lineRule="exact"/>
        <w:rPr>
          <w:sz w:val="20"/>
          <w:szCs w:val="20"/>
          <w:color w:val="auto"/>
        </w:rPr>
      </w:pPr>
    </w:p>
    <w:p>
      <w:pPr>
        <w:ind w:left="4" w:right="60" w:firstLine="440"/>
        <w:spacing w:after="0" w:line="271" w:lineRule="auto"/>
        <w:rPr>
          <w:sz w:val="20"/>
          <w:szCs w:val="20"/>
          <w:color w:val="auto"/>
        </w:rPr>
      </w:pPr>
      <w:r>
        <w:rPr>
          <w:rFonts w:ascii="Times New Roman" w:cs="Times New Roman" w:eastAsia="Times New Roman" w:hAnsi="Times New Roman"/>
          <w:sz w:val="17"/>
          <w:szCs w:val="17"/>
          <w:color w:val="auto"/>
        </w:rPr>
        <w:t>Further, as of January 1, 2021, and the expiry of transitional arrangements agreed to between the United Kingdom and EU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following the United Kingdom’s exit from the EU—otherwise known as Brexit),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With respect to transfers of personal data from the EEA to the United Kingdom,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Moreover, other countries have also passed or are considering passing laws requiring local data residency or restricting the international transfer of data.</w:t>
      </w:r>
    </w:p>
    <w:p>
      <w:pPr>
        <w:spacing w:after="0" w:line="17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If we or our third-party service providers are unable to properly protect the privacy and security of personal information, or other sensitive data we process in our business, we could be found to have breached our contracts. Further, if we fail to comply with applicable privacy laws, we could face civil and criminal penalties. Enforcement activity from state Attorneys General and agencies such as the California Privacy Protection Agency, the Federal Trade Commission, EU Data Protection Authorities and other</w:t>
      </w:r>
    </w:p>
    <w:p>
      <w:pPr>
        <w:sectPr>
          <w:pgSz w:w="11900" w:h="16838" w:orient="portrait"/>
          <w:cols w:equalWidth="0" w:num="1">
            <w:col w:w="11024"/>
          </w:cols>
          <w:pgMar w:left="436" w:top="297" w:right="439" w:bottom="1440" w:gutter="0" w:footer="0" w:header="0"/>
        </w:sectPr>
      </w:pPr>
    </w:p>
    <w:bookmarkStart w:id="82" w:name="page83"/>
    <w:bookmarkEnd w:id="82"/>
    <w:p>
      <w:pPr>
        <w:ind w:right="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regulatory authorities in relation to privacy and cybersecurity matters can result in financial liability and reputational harm, and responses to such enforcement activity can consume significant internal resources. In the United States, the threat of class action lawsuits based on data security breaches or alleged unfair practices adds a further layer of risk. We cannot be sure how these privacy laws and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6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laws and regulations being adopted and coming into effect. It is possible that these laws may be interpreted and applied in a manner that is inconsistent with our practices. Significant resources are needed to understand and comply with this changing landscape. Failure to comply with federal, state and international laws regarding privacy and security of personal information could expose us to penalties under such laws. Any such failure to comply with data protection and privacy laws could result in government-imposed fines or orders requiring that we change our practices or unwind certain lines of business, claims for damages or other liabilities, regulatory investigations and enforcement action, litigation and significant costs for remediation, any of which could adversely affect our business. Even absent any findings that we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affiliates’ employees, independent contractors, principal investigators, consultants, commercial collaborators, service providers and other vendors or potential collaborators may engage in misconduct or other improper activities, including noncompliance with regulatory standards and requirements, which could harm our results of operations.</w:t>
      </w:r>
    </w:p>
    <w:p>
      <w:pPr>
        <w:spacing w:after="0" w:line="175"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or our affiliates’ employees and contractors, including principal investigators, CROs, CMOs, consultants, commercial collaborators, service providers and other vendors may engage in misconduct or other illegal activity. Misconduct by these parties could include intentional, reckless or negligent conduct or other unauthorized activities that violate the laws and regulations of the FDA and other similar regulatory bodies, including those laws that require the reporting of true, complete and accurate information to such regulatory bodies; manufacturing and the FDA’s GCP, GLP and GMP standards; federal, state and foreign healthcare fraud and abuse laws and data privacy; or laws that require the true, complete and accurate reporting of financial information or data. In particular, sales, marketing and other business arrangements in the healthcare industry are subject to extensive laws intended to prevent fraud, kickbacks, self-dealing, bribery, corruption, antitrust violations and other abusive practices. These laws may restrict or prohibit a wide range of business activities, including research, manufacturing, distribution, pricing, discounting, marketing and promotion, sales commission, customer incentive programs and other business arrangements. Activities subject to these laws also involve the improper use or misrepresentation of information obtained in the course of clinical trials, creating fraudulent data in our nonclinical studies or clinical trials or illegal misappropriation of drug product, which could result in regulatory sanctions and serious harm to our reputation. It is not always possible to identify and deter employee or third-party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19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Additionally, we are subject to the risk that a person, including any person who may have engaged in any fraud or misconduct, or government agency could allege such fraud or other misconduct, even if none occurred. Furthermore, we rely on our CROs and clinical trial sites to adequately report data from our ongoing clinical trials. Moreover, in some instances, our licensing partners conduct clinical trials with respect to product candidates in different territories and we rely on any such partners to share data from their ongoing clinical trials as required under our agreements with such partners. For example, any failure by such parties to adequately report safety signals to us in a timely manner from any such trials may also affect the approvability of our product candidates or cause delays and disruptions for the approval of our product candidates, if at all. If our or our affiliates’ employees, independent contractors, principal investigators, consultants, commercial collaborators, service providers or other vendors are alleged or found to be in violation of any such regulatory standards or requirements, or become subject to a corporate integrity agreement or similar agreement and curtailment of our operations, it could have a significant impact on our business and financial results, including the imposition of significant civil, criminal and administrative penalties, damages, monetary fines, suspension or delay in our clinical trials, possible exclusion from participation in Medicare, Medicaid and other federal healthcare programs, FDA debarment, contractual damages, reputational harm, diminished profits and future earnings, and additional reporting requirements and oversight, any of which could harm our ability to operate our business and our results of operations.</w:t>
      </w:r>
    </w:p>
    <w:p>
      <w:pPr>
        <w:spacing w:after="0" w:line="18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product liability lawsuits against us could cause us to incur substantial liabilities and limit commercialization of our products and, if approved, product candidates.</w:t>
      </w:r>
    </w:p>
    <w:p>
      <w:pPr>
        <w:spacing w:after="0" w:line="15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sale of our products, including VTAMA, which was approved by the FDA in May 2022 for the treatment of plaque psoriasis in adults in the U.S. and the use of our existing product candidates in clinical trials expose us to the risk of product liability claims. Product liability claims might be brought against us by consumers, health care providers, other pharmaceutical companies or others taking or otherwise coming into contact with our products or product candidates. On occasion, large judgments have been</w:t>
      </w:r>
    </w:p>
    <w:p>
      <w:pPr>
        <w:sectPr>
          <w:pgSz w:w="11900" w:h="16838" w:orient="portrait"/>
          <w:cols w:equalWidth="0" w:num="1">
            <w:col w:w="11000"/>
          </w:cols>
          <w:pgMar w:left="440" w:top="297" w:right="459" w:bottom="1440" w:gutter="0" w:footer="0" w:header="0"/>
        </w:sectPr>
      </w:pPr>
    </w:p>
    <w:bookmarkStart w:id="83" w:name="page84"/>
    <w:bookmarkEnd w:id="8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awarded in class action lawsuits where drugs have had unanticipated harmful effects. If we cannot successfully defend ourselves against product liability claims, we could incur substantial liability and costs. In addition, regardless of merit or eventual outcome, product liability claims may result in:</w:t>
      </w:r>
    </w:p>
    <w:p>
      <w:pPr>
        <w:spacing w:after="0" w:line="67" w:lineRule="exact"/>
        <w:rPr>
          <w:sz w:val="20"/>
          <w:szCs w:val="20"/>
          <w:color w:val="auto"/>
        </w:rPr>
      </w:pPr>
    </w:p>
    <w:p>
      <w:pPr>
        <w:ind w:left="1420" w:hanging="43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an inability to commercialize VTAMA, and any future products for which we obtain marketing approval;</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termination of clinical trials, or withdrawal of participants from our clinical trials;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existing product candidates or any future product candidate, if approved;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product liability insurance we currently carry, and 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have acquired insurance coverage which extends to liabilities arising from the sale of our products; however, there is no assurance that we will be able to maintain this insurance coverage on commercially reasonable terms or in adequate amounts or that this coverage will be sufficient to cover any losses arising from any claims related to our products or, if approved, product candidates. A successful product liability claim or series of claims brought against us could adversely affect our results of operations and business, including preventing or limiting the commercialization of our products and, if approved, product candidates.</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Certain of our operations may involve the use of hazardous and flammable materials, including chemicals and biological materials, and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jc w:val="both"/>
        <w:ind w:right="620" w:firstLine="440"/>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outbreak of disease or other natural disasters and our business continuity and disaster recovery plans may not adequately protect us from a serious disaster.</w:t>
      </w:r>
    </w:p>
    <w:p>
      <w:pPr>
        <w:spacing w:after="0" w:line="15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offices,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limited earthquake and flood insurance coverage, could have a material adverse effect on our business.</w:t>
      </w:r>
    </w:p>
    <w:p>
      <w:pPr>
        <w:sectPr>
          <w:pgSz w:w="11900" w:h="16838" w:orient="portrait"/>
          <w:cols w:equalWidth="0" w:num="1">
            <w:col w:w="11000"/>
          </w:cols>
          <w:pgMar w:left="440" w:top="297"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increasing use of social media platforms presents new risks and challenges.</w:t>
      </w:r>
    </w:p>
    <w:p>
      <w:pPr>
        <w:spacing w:after="0" w:line="229"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research, products, product candidates, investigational medicines and the diseases our products,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When such disclosures occur, there is a risk that we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development candidates and investigational medicines.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The use of social media also creates additional risks in the EEA and the UK where promotion of prescription-only medicines to patients and the general public is strictly prohibited. Social media content that is generated, shared or liked by our company or our directors, employees, staff or other representatives may potentially be perceived or construed as constituting prohibited promotion of prescription-only medicinal products and trigger enforcement and penalties. This is an area of increased scrutiny in both the EEA and the UK.</w:t>
      </w:r>
    </w:p>
    <w:p>
      <w:pPr>
        <w:spacing w:after="0" w:line="19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adversely impact our ability to obtain regulatory approvals of our products and product candidates in the European Union and may require us to incur additional expenses in order to develop, manufacture and commercialize our products and product candidates in the European Union.</w:t>
      </w:r>
    </w:p>
    <w:p>
      <w:pPr>
        <w:spacing w:after="0" w:line="17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We are centrally managed and controlled in the United Kingdom. The United Kingdom formally exited the EU, commonly referred to as Brexit, on January 31, 2020. Under the terms of its departure, the United Kingdom entered a transition period (the “Transition Period”), during which it continued to follow all EU rules. The Transition Period ended on December 31, 2020. A trade and cooperation agreement which outlines the trading relationship between the U.K. and E.U. now that the transition period has concluded, applied provisionally from January 1, 2021 and formally entered into force on May 1, 2021.</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There is considerable uncertainty resulting from a lack of precedent and the complexity of the United Kingdom and the EU’s intertwined legal regimes as to how Brexit (following the Transition Period) will impact the life sciences industry in the UK and Europe, including our company, including with respect to ongoing or future clinical trials. The impact will largely depend on the model and means by which the United Kingdom’s relationship with the EU is governed post-Brexit and the extent to which the United Kingdom chooses to further diverge from the EU regulatory framework. For example, following the Transition Period, Great Britain is no longer covered by the centralized procedures for obtaining EU-wide marketing authorizations and our products will therefore require a separate marketing authorization to allow us to market such products in Great Britain. By way of additional example, the EU Clinical Trials Regulations which govern the conduct of clinical trials in the E.U. entered into application in January 2022 and consequently do not apply in the U.K. It is unclear as to whether the relevant authorities in the EU and the United Kingdom are adequately prepared for the additional administrative burden caused by Brexit. Any delay in obtaining, or an inability to obtain, any marketing approvals, as a result of Brexit or otherwise, would prevent us from or delay us commercializing our products and, if approved, product candidates in the United Kingdom and/or the EEA and restrict our ability to generate revenue and achieve and sustain profitability. In the short term, following the expiry of the Transition Period there have been disrupted import and export processes due to a lack of administrative processing capacity by the respective United Kingdom and EU customs agencies that, if continued, may delay time-sensitive shipments and may negatively impact our product supply chain. Further, under current plans, orphan designation in the United Kingdom (or Great Britain, depending on whether there is a prior centralized marketing authorization in the EEA) following Brexit is to be based on the prevalence of the condition in Great Britain as opposed to the current position where prevalence in the EU is the determinant. It is therefore possible that conditions that are currently designated as orphan conditions in the United Kingdom will no longer be and that conditions are not currently designated as orphan conditions in the European Union will be designated as such in the United Kingdom.</w:t>
      </w:r>
    </w:p>
    <w:p>
      <w:pPr>
        <w:spacing w:after="0" w:line="19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If any of these outcomes occur, we may be forced to restrict or delay efforts to seek regulatory approval in the United Kingdom and/or EEA for our products and product candidates, which could significantly and materially harm our business. There is a degree of uncertainty regarding the overall impact that Brexit will have on (i) the marketing of pharmaceutical products, (ii) the process to obtain regulatory approval in the United Kingdom for product candidates or (iii) the award of exclusivities that are normally part of the EU legal framework (for instance Supplementary Protection Certificates, Pediatric Extensions or Orphan exclusivity).</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Brexit may also result in a reduction of funding to the EMA once the United Kingdom no longer makes financial contributions to European institutions, such as the EMA. If funding to the EMA is so reduced, it could create delays in the EMA issuing regulatory approvals for our products and product candidates and, accordingly, have a material adverse effect on our business, financial condition, results of operations or prospects.</w:t>
      </w:r>
    </w:p>
    <w:p>
      <w:pPr>
        <w:sectPr>
          <w:pgSz w:w="11900" w:h="16838" w:orient="portrait"/>
          <w:cols w:equalWidth="0" w:num="1">
            <w:col w:w="11000"/>
          </w:cols>
          <w:pgMar w:left="440" w:top="293" w:right="459" w:bottom="1440" w:gutter="0" w:footer="0" w:header="0"/>
        </w:sectPr>
      </w:pPr>
    </w:p>
    <w:bookmarkStart w:id="85" w:name="page86"/>
    <w:bookmarkEnd w:id="85"/>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addition, we may be required to pay taxes or duties or be subjected to other hurdles in connection with the importation of our products or product candidates into the EU, or we may incur expenses in establishing a manufacturing facility in the EU in order to circumvent such hurdles. If any of these outcomes occur, we may be forced to restrict or delay efforts to seek regulatory approval in the United Kingdom or the EU for our products and product candidates, or incur significant additional expenses to operate our business, which could significantly and materially harm or delay our ability to generate revenues or achieve profitability of our business.</w:t>
      </w:r>
    </w:p>
    <w:p>
      <w:pPr>
        <w:spacing w:after="0" w:line="183"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As a result of Brexit, other EU Member States may seek to conduct referenda with respect to their continuing membership with the EU. Given these possibilities and others we may not anticipate, as well as the absence of comparable precedent, it is unclear what financial, regulatory and legal implications the withdrawal of the United Kingdom from the EU will have and how such withdrawal will affect us, and the full extent to which our business could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products and product candidates, or if the scope of the intellectual property protection obtained is not sufficiently broad, we may not be able to compete effectively in our markets.</w:t>
      </w:r>
    </w:p>
    <w:p>
      <w:pPr>
        <w:spacing w:after="0" w:line="15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rely, and will continue to rely, upon a combination of patents, trademarks, trade secret protection and confidentiality agreements with employees, consultants, collaborators, advisors and other third parties to protect the intellectual property related to our brand, current and future drug development programs, products and product candidates. Our success depends in large part on our ability to obtain and maintain patent protection in the United States and other countries with respect to our current and future products and product candidates. We seek to protect our proprietary position by in-licensing or acquiring intellectual property and filing patent applications in the United States and abroad related to our current and future development programs, products and product candidates, defending our intellectual property rights against third-party challenges and enforcing our intellectual property rights to prevent third-party infringement. The patent prosecution process is expensive and time-consuming, and we may not be able to file and prosecute all necessary or desirable patent applications at a reasonable cost or in a timely manner. Furthermore, there is always a risk that our licensed or owned issued patents and any pending and future patent applications may not protect our products or product candidates, in whole or in part, and may not effectively prevent others from commercializing competitive products or product candidates, or that an alteration to our products or product candidates or processes may provide sufficient basis for a competitor to avoid infringing our patent claims. The risks associated with patent rights generally apply to patent rights that we in-license now or in the future, as well as patent rights that we may own now or in the future.</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their research and development output, such as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obtain patent protection. In addition, while we have pre-publication review procedures in effect, premature or inadvertent publication of potentially patentable subject matter could preclude our ability to obtain patent protection. We may choose not to seek patent protection for certain innovations, products or product candidates and may choose not to pursue patent protection in certain jurisdictions, and under the laws of certain jurisdictions, patents or other intellectual property rights may be unavailable or limited in scope and, in any event, any patent protection we obtain may be limited. As a result, our products and, if approved, product candidates may not be protected by patents in all jurisdictions. We generally apply for patents in those countries where we intend to make, have made, use, offer for sale, or sell products and product candidates and where we assess the risk of infringement to justify the cost of seeking patent protection. However, we do not seek protection in all countries where we intend to sell products and, if approved, product candidates and we may not accurately predict all the countries where patent protection would ultimately be desirable. If we fail to timely file a patent application in any such country or major market, we may be precluded from doing so at a later date. The patent applications that we own or in-license may fail to result in issued patents with claims that cover products or product candidates in the United States or in other countries. We may also inadvertently make statements to regulatory agencies during the regulatory approval process that may be inconsistent with positions that have been taken during prosecution of our patents, which may result in such patents being narrowed, invalidated or held unenforceable in enforcement and other adversarial proceedings.</w:t>
      </w:r>
    </w:p>
    <w:p>
      <w:pPr>
        <w:spacing w:after="0" w:line="193"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patent applications that we own or in-license may fail to result in issued patents with claims that cover our current and future products or product candidates in the United States or in other countries. Our pending patent applications at the Patent Cooperation Treaty (the “PCT”) are not eligible to become issued patents until, among other things, we file a national stage patent application within 30 months in the countries in which we seek patent protection. If we do not timely file any national stage patent</w:t>
      </w:r>
    </w:p>
    <w:p>
      <w:pPr>
        <w:sectPr>
          <w:pgSz w:w="11900" w:h="16838" w:orient="portrait"/>
          <w:cols w:equalWidth="0" w:num="1">
            <w:col w:w="11000"/>
          </w:cols>
          <w:pgMar w:left="440" w:top="297" w:right="459" w:bottom="1440" w:gutter="0" w:footer="0" w:header="0"/>
        </w:sectPr>
      </w:pPr>
    </w:p>
    <w:bookmarkStart w:id="86" w:name="page87"/>
    <w:bookmarkEnd w:id="86"/>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applications, we may lose our priority date with respect to our PCT patent applications and any patent protection on the inventions disclosed in such PCT patent applications. We cannot guarantee any current or future patents will provide us with any meaningful protection or competitive advantage. For example, any issued patents might not cover the pharmaceutical composition of the product or product candidate that is ultimately commercialized. There is no assurance that all of the potentially relevant prior art relating to our patents and patent applications has been found, which can prevent a patent from issuing from a pending patent application or be used to invalidate an issued patent. The examination process may require us to narrow our claims, which may limit the scope of patent protection that we may ultimately obtain. Even if patents do successfully issue and even if such patents cover our current and future products and product candidates, third parties may challenge their validity, enforceability or scope, which may result in such patents being narrowly construed, invalidated, or held unenforceable, any of which could limit our ability to prevent competitors and other third parties from developing and marketing similar products or product candidates or limit the length of terms of patent protection we may have for our products, product candidates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products or product candidates, or practicing our own patented technology, or impose a substantial royalty burden to do so. Any successful opposition to these patents or any other patents owned by or licensed to us could deprive us of rights necessary for the successful commercialization of any products or, if approved, product candidates. Further, if we encounter delays in regulatory approvals, the period of time during which we could market a product or product candidate under patent protection could be reduced. If any of our patents are challenged, invalidated, circumvented by third parties or otherwise limited or expire prior to the commercialization of our products or, if approved, product candidates, and if we do not own or have exclusive rights to other enforceable patents protecting our products, product candidates or other technologies, competitors and other third parties could market products or product candidates and use processes that are substantially similar to, or superior to, ours and our business would suffer.</w:t>
      </w:r>
    </w:p>
    <w:p>
      <w:pPr>
        <w:spacing w:after="0" w:line="3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patent applications we hold or have in-licensed with respect to our products or product candidates fail to issue, if their breadth or strength of protection is threatened, or if they fail to provide meaningful exclusivity for our current and future products or product candidates, it could dissuade companies from collaborating with us to develop product candidates, and threaten our ability to commercialize our products. Any such outcome could have a materially adverse effect on our business. Our pending patent applications cannot be enforced against third parties practicing the technology claimed in such applications unless and until a patent issues from such applications.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standards that the U.S. Patent and Trademark Office (the “USPTO”) and its counterparts in other countries use to grant patents are not always applied predictably or uniformly. In addition, the laws of countries other than the United States may not protect our rights to the same extent as the laws of the United States, and many companies have encountered significant problems in protecting and defending such rights in such jurisdictions. For example, European patent law restricts the patentability of methods of treatment of the human body more than United States law does.</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technologies and such parties may have filed or may file patent applications, or may have received or may receive patents, claiming inventions that may overlap or conflict with those claimed in our own or licensed patent applications or issued patents. Furthermore,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products or product candidates, in whole or in part, or which effectively prevent others from commercializing competitive technologies, products and product candidates. Changes in either the patent laws or interpretation of the patent laws in the United States and other countries may diminish the value of our patents or narrow the scope of our patent protection.</w:t>
      </w:r>
    </w:p>
    <w:p>
      <w:pPr>
        <w:spacing w:after="0" w:line="19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Patent reform legislation in the United States, including the Leahy-Smith America Invents Act (“the Leahy-Smith Act”), could increase those uncertainties and costs surrounding the prosecution of our patent applications and the enforcement or defense of our issued patents. The Leahy-Smith Act was signed into law on September 16, 2011 and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After March 15,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The Leahy-Smith Act and its implementation could increase the uncertainties and costs surrounding the prosecution of our patent applications, our ability to obtain future patents, and the enforcement or defense of our issued patents, all of which could harm our business, financial condition, results of operations and prospects.</w:t>
      </w:r>
    </w:p>
    <w:p>
      <w:pPr>
        <w:sectPr>
          <w:pgSz w:w="11900" w:h="16838" w:orient="portrait"/>
          <w:cols w:equalWidth="0" w:num="1">
            <w:col w:w="11020"/>
          </w:cols>
          <w:pgMar w:left="440" w:top="297" w:right="439" w:bottom="1440" w:gutter="0" w:footer="0" w:header="0"/>
        </w:sectPr>
      </w:pPr>
    </w:p>
    <w:bookmarkStart w:id="87" w:name="page88"/>
    <w:bookmarkEnd w:id="87"/>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The issuance of a patent is not conclusive as to its inventorship, scope, validity or enforceability, and our owned and licensed patents may be challenged in the courts or patent offices in the United States and abroad. We are currently and may in the future be subject to third-party pre-issuance submissions of prior art to the USPTO or its equivalents and we or our licensors have in the past, and may in the future,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in the U.S. or in other jurisdictions challenging our patent rights or the patent rights of others. A third-party may also claim that our owned or licensed patent rights are invalid or unenforceable in a litigation. For example, three U.S. patents (U.S. Patent Nos. 8,058,069, 9,364,435 and 9,404,127) relating to lipid nanoparticle molar ratios and the aggregation of lipid nanoparticles that Genevant Sciences GmbH, as assignee of Genevant Sciences Ltd. (“Genevant”), exclusively licensed from Arbutus Biopharma Corp. (“Arbutus”) were the subject of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brought by Moderna Therapeutics, Inc. (“Moderna”) before the Patent Trial and Appeal Board of the USPTO (“PTAB”). The PTAB upheld all claims of U.S. Patent No. 8,058,069, invalidated some of the claims of U.S. Patent No. 9,364,435 and invalidated all claims of U.S. Patent No. 9,404,127. The United States Court of Appeals for the Federal Circuit (the “Federal Circuit”) heard oral arguments with respect to U.S. Patent Nos. 8,058,069 and 9,364,435 in October 2021. On December 1, 2021, the Federal Circuit issued decisions in both proceedings. The Federal Circuit affirmed the PTAB’s decision that upheld all claims of U.S. Patent 8,058,069. The Federal Circuit affirmed the PTAB’s decision invalidating certain claims of U.S. Patent 9,364,435 but dismissed Moderna’s appeal with respect to those claims that the PTAB upheld for lack of standing. The Federal Circuit vacated and remanded the PTAB’s decision on U.S. Patent No. 9,494,127. The PTAB’s decision with respect to U.S. Patent No. 9,494,127 had been held in administrative abeyance pending a review following a recent Supreme Court ruling in an unrelated case. The matter is now pending before the Federal Circuit and briefing is complete. We expect that the Federal Circuit will schedule oral arguments to take place later this calendar year. Additionally, one European patent (EU patent no. EP2279254) relating to lipid nanoparticle molar ratios that Genevant exclusively licensed from Arbutus is the subject of an opposition proceeding brought by Merck Sharp &amp; Dohme Corporation and Moderna at the European Patent Office Opposition Division. Genevant may commence litigation at any time to enforce its patent rights against infringers.</w:t>
      </w:r>
    </w:p>
    <w:p>
      <w:pPr>
        <w:spacing w:after="0" w:line="19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An adverse determination in any such submission, proceeding or litigation could reduce the scope of, or invalidate, our patent rights, allow third parties to commercialize our technology, products or product candidates and compete directly with us, without payment to us, result in our inability to manufacture or commercialize products and, if approved, product candidates without infringing third-party patent rights or result in our breach of agreements pursuant to which we license such rights to our collaborators or licensees. In addition, if the breadth or strength of protection provided by our patents and patent applications is threatened, it could dissuade companies from collaborating with us to license, develop or commercialize current or future products or product candidates. Such challenges may result in loss of exclusivity or freedom to operate or in patent claims being narrowed, invalidated or held unenforceable, in whole or in part, which could limit our ability to stop others from using or commercializing similar or identical technology, products and product candidates, or limit the duration of the patent protection of our technology, products and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9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owned and licensed patents and pending patent applications, if issued, may not provide us with any meaningful protection or prevent competitors from designing around our patent claims to circumvent our owned or licensed patents by developing similar or alternative technologies or therapeutics in a non-infringing manner. For example, a third-party may develop a competitive product that provides benefits similar to one or more of our products or product candidates but that falls outside the scope of our patent protection. Moreover, patents have a limited lifespan. In the United States, the natural expiration of a patent is generally 20 years after it is filed. Various extensions may be available; however the life of a patent, and the protection it affords, are limited. Without patent protection for our current or future products and product candidates, it may be open to competition from generic versions of such products or product candidates.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 candidates similar or identical to our own and, which could have a material adverse effect on our business, financial condition, results of operations and prospects.</w:t>
      </w:r>
    </w:p>
    <w:p>
      <w:pPr>
        <w:spacing w:after="0" w:line="1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and their scope may be inadequate to protect our competitive position on current and future products and product candidates for an adequate amount of time.</w:t>
      </w:r>
    </w:p>
    <w:p>
      <w:pPr>
        <w:spacing w:after="0" w:line="15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In certain instances, the patent term may be adjusted to add additional days to compensate for delays incurred by the USPTO in issuing the patent. Also, the patent term may be extended for a period of time to compensate for at least a portion of the time a product or product candidate was undergoing FDA regulatory review.</w:t>
      </w:r>
    </w:p>
    <w:p>
      <w:pPr>
        <w:sectPr>
          <w:pgSz w:w="11900" w:h="16838" w:orient="portrait"/>
          <w:cols w:equalWidth="0" w:num="1">
            <w:col w:w="11020"/>
          </w:cols>
          <w:pgMar w:left="440" w:top="297" w:right="439" w:bottom="1440" w:gutter="0" w:footer="0" w:header="0"/>
        </w:sectPr>
      </w:pPr>
    </w:p>
    <w:bookmarkStart w:id="88" w:name="page89"/>
    <w:bookmarkEnd w:id="88"/>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However, the life of a patent, and the protection it affords, are limited. Even if patents covering products or product candidates are obtained, once the patent life has expired, we may be open to competition from other products or product candidates, including generics or biosimilars. Given the amount of time required for the development, testing and regulatory review of new products and product candidates, patents protecting such candidates might expire before or shortly after such candidates are commercialized. For example, the patent covering the use of VTAMA as an active ingredient to treat psoriasis and atopic dermatitis, but not limited to any formulation, expired in December 2020. As a result, our owned and licensed patent portfolio may not provide us with sufficient rights to exclude others from commercializing product candidates similar or identical to our products and product candidates.</w:t>
      </w:r>
    </w:p>
    <w:p>
      <w:pPr>
        <w:spacing w:after="0" w:line="18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and may not in the future own or license any issued composition of matter patents covering certain of our products or product candidates, including VTAMA, and we cannot be certain that any of our other issued patents will provide adequate protection for such products or product candidates.</w:t>
      </w:r>
    </w:p>
    <w:p>
      <w:pPr>
        <w:spacing w:after="0" w:line="17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Composition-of-matter patents on the active pharmaceutical ingredient (“API”) in prescription drug products are generally considered to be the strongest form of intellectual property protection for drug products because those types of patents provide protection without regard to any particular method of use or manufacture or formulation of the API used. While we generally seek composition of matter patents for our products and product candidates, such patents may not be available for all of our products and product candidates. For example, we do not own or have a license to any issued composition of matter patents in the United States or any other jurisdiction with respect to VTAMA. Instead, we rely on an issued U.S. patent claiming topical formulations of VTAMA, including the formulation studied in Phase 3 trials and approved by the FDA, and an issued U.S. patent covering methods of using the patented topical formulations to treat inflammatory diseases, including psoriasis and atopic dermatitis. The formulation and method-of-use patents have natural expiration dates in 2036. We additionally rely on a drug substance (“DS”) patent covering the high purity commercial crystal form of the DS, the commercial DS synthesis and several novel intermediates that are formed in the synthesis, which has a natural expiration date in 2038.</w:t>
      </w:r>
    </w:p>
    <w:p>
      <w:pPr>
        <w:spacing w:after="0" w:line="19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Method-of-use patents protect the use of a product for the specified method and formulation patents cover formulations of the API. These types of patents do not prevent a competitor or other third-party from developing or marketing an identical product for an indication that is outside the scope of the patented method or from developing a different formulation that is outside the scope of the patented formulation.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this type of infringement is difficult to prevent or prosecute.</w:t>
      </w:r>
    </w:p>
    <w:p>
      <w:pPr>
        <w:spacing w:after="0" w:line="18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Our owned and licensed patents and pending patent applications, if issued, may not adequately protect our intellectual property or prevent competitors or others from designing around our patent claims to circumvent our owned or licensed patents by developing similar or alternative technologies or therapeutics in a non-infringing manner. If the breadth or strength of protection provided by the patents and patent applications we own or license with respect to our products and product candidates is not sufficient to impede such competition or is otherwise threatened, it could dissuade companies from collaborating with us to develop, and threaten our ability to commercialize, our products and, if approved, product candidates.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by extending the patent term, our business may be harmed.</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commercial success will largely depend on our ability to obtain and maintain patent and other intellectual property in the United States and other countries with respect to our proprietary technology, products, product candidates and our target indications. Given the amount of time required for the development, testing and regulatory review of products and product candidates, patents protecting our products and product candidates might expire before or shortly after such candidate begins to be commercialized. We expect to seek extensions of patent terms in the United States and, if available, in other countries where we are prosecuting patents.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product candidates, one or more of our U.S. patents may be eligible for a limited patent term extension (“PTE”)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cannot extend the remaining term of a patent beyond a total of 14 years from the date of product approval and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w:t>
      </w:r>
    </w:p>
    <w:p>
      <w:pPr>
        <w:sectPr>
          <w:pgSz w:w="11900" w:h="16838" w:orient="portrait"/>
          <w:cols w:equalWidth="0" w:num="1">
            <w:col w:w="11000"/>
          </w:cols>
          <w:pgMar w:left="440" w:top="297" w:right="459" w:bottom="1440" w:gutter="0" w:footer="0" w:header="0"/>
        </w:sectPr>
      </w:pPr>
    </w:p>
    <w:bookmarkStart w:id="89" w:name="page90"/>
    <w:bookmarkEnd w:id="89"/>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for a given product or product candidate.</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 candidates following our patent expiration and launch their product earlier than might otherwise be the case.</w:t>
      </w:r>
    </w:p>
    <w:p>
      <w:pPr>
        <w:spacing w:after="0" w:line="172"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as a result of non-compliance with these requirements.</w:t>
      </w:r>
    </w:p>
    <w:p>
      <w:pPr>
        <w:spacing w:after="0" w:line="17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other patent agencies in other jurisdictions in several stages over the lifetime of the patent. The USPTO and various national or international patent agencies require compliance with a number of procedural, documentary, fee payment and other similar provisions during the patent application process. In certain circumstances, we rely on our licensing partners to pay these fees due to U.S. and non-U.S. patent agencies and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applications, failure to respond to official actions within prescribed time limits, non-payment of fees and failure to properly legalize and submit formal documents. If we or our licensors fail to maintain the patents and patent applications covering our current and future products and product candidates, our competitors might be able to enter the market earlier than anticipated, which would have an adverse effect on our business.</w:t>
      </w:r>
    </w:p>
    <w:p>
      <w:pPr>
        <w:spacing w:after="0" w:line="18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in-licensed patents and other intellectual property rights in connection with our development of certain products and product candidates and, if we fail to comply with our obligations under our existing and any future intellectual property licenses with third parties, we could lose license rights that are important to our business.</w:t>
      </w:r>
    </w:p>
    <w:p>
      <w:pPr>
        <w:spacing w:after="0" w:line="17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Our ability to commercialize products and develop and eventually, if approved, commercialize product candidates is dependent on licenses to patent rights and other intellectual property granted to it by third parties. Further, development and commercialization of our current and future products and product candidates may require us to enter into additional license or collaboration agreements.</w:t>
      </w:r>
    </w:p>
    <w:p>
      <w:pPr>
        <w:spacing w:after="0" w:line="176"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Our current license agreements impose, and future agreements may impose, various development, diligence, commercialization and other obligations on us and require us to meet development timelines, or to exercise commercially reasonable efforts to develop and commercialize licensed products, in order to maintain the licenses. If we fail to comply with our obligations under these licenses, our licensors may have the right to terminate these license agreements, in which event we may not be able to market our products and product candidates. Termination of any of our license agreements or reduction or elimination of our licensed rights may also result in our having to negotiate new or reinstated licenses with less favorable terms. Additionally,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harm our business, financial condition, results of operations and prospects. For example, disputes may arise with respect to our current or future licensing agreement include disputes relating to:</w:t>
      </w:r>
    </w:p>
    <w:p>
      <w:pPr>
        <w:spacing w:after="0" w:line="94" w:lineRule="exact"/>
        <w:rPr>
          <w:sz w:val="20"/>
          <w:szCs w:val="20"/>
          <w:color w:val="auto"/>
        </w:rPr>
      </w:pPr>
    </w:p>
    <w:p>
      <w:pPr>
        <w:ind w:left="1420" w:hanging="43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30"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products or product candidates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agreements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ectPr>
          <w:pgSz w:w="11900" w:h="16838" w:orient="portrait"/>
          <w:cols w:equalWidth="0" w:num="1">
            <w:col w:w="10960"/>
          </w:cols>
          <w:pgMar w:left="440" w:top="297" w:right="499" w:bottom="1440" w:gutter="0" w:footer="0" w:header="0"/>
        </w:sectPr>
      </w:pPr>
    </w:p>
    <w:bookmarkStart w:id="90" w:name="page91"/>
    <w:bookmarkEnd w:id="90"/>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disputes over intellectual property that we have licensed prevent or impair our ability to maintain our current licensing arrangements on acceptable terms, we may be unable to successfully develop and commercialize our products and product candidates. If our licenses are terminated, we may lose our rights to develop and market our technology, products and product candidates, lose patent protection for our products, product candidates and technology, experience significant delays in the development and commercialization of our products and product candidates, or incur liability for damages. In addition, we may need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and product candidates.</w:t>
      </w:r>
    </w:p>
    <w:p>
      <w:pPr>
        <w:spacing w:after="0" w:line="19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products and product candidates. Moreover, if disputes over intellectual property that we license prevent or impair our ability to maintain other licensing arrangements on commercially acceptable terms, we may be unable to successfully develop and commercialize the affected products or product candidates. In addition, certain of these license agreements, may not be assignable by us without the consent of the respective licensor, which may have an adverse effect on our ability to engage in certain transactions. Any of the foregoing could have a material adverse effect on our business, financial condition, results of operations and prospects.</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in some circumstances, we may not have the right to control the preparation, filing and prosecution of patent applications, or to maintain or enforce the patents, covering technology that it licenses from third parties. Therefore, we cannot be certain that these or other patents will be prosecuted, maintained and enforced in a manner consistent with the best interests of our business. Additionally, we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 If our current or future licensors or collaboration partners fail to obtain, maintain, defend, protect or enforce any patents or patent applications licensed to us, our rights to such patents and patent applications may be reduced or eliminated and our right to develop and commercialize products and product candidates that are the subject of such licensed rights could be adversely affected.</w:t>
      </w:r>
    </w:p>
    <w:p>
      <w:pPr>
        <w:spacing w:after="0" w:line="19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Furthermore, certain of our current and future licenses may not provide us with exclusive rights to use the licensed intellectual property and technology, or may not provide us with rights to use such intellectual property and technology in all relevant fields of use and in all territories in which we may wish to develop or commercialize our technology, products and product candidates in the future. The intellectual property portfolio licensed to us by our licensors at least in some respects, may therefore be used by such licensors or licensed to third parties, and such third parties may have certain enforcement rights with respect to such intellectual property. For example, Immunovant does not have rights to develop, manufacture, use or commercialize batoclimab or file or enforce patents relating to these assets in territories other than the United States, Canada, Mexico, the EU, the U.K., Switzerland, the Middle East, North Africa and Latin America, as such rights in other jurisdictions have been retained by HanAll Biopharma Co., Ltd. (“HanAll”) or licensed by HanAll to third parties. Additionally, Dermavant does not have the right to develop, manufacture, use or commercialize VTAMA in China, including Hong Kong, Macau or Taiwan, as such rights were retained by Welichem Biotech Inc. or licensed to third parties.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or litigation alleging infringement, misappropriation or other violations of third-party patents or other proprietary rights or seeking to invalidate our patents or other proprietary rights, may delay or prevent the development and commercialization of our current and future products and product candidates.</w:t>
      </w:r>
    </w:p>
    <w:p>
      <w:pPr>
        <w:spacing w:after="0" w:line="17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avoidance of infringement, misappropriation and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Our competitors or other third parties may assert infringement claims against us, alleging that our products or product candidates are covered by their patents. We cannot be certain that we do not infringe existing patents or that we will not infringe patents that may be granted in the future.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before the USPTO, as well as oppositions and similar processes in other jurisdictions. Numerous U.S. and non-U.S.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the risk increases that our</w:t>
      </w:r>
    </w:p>
    <w:p>
      <w:pPr>
        <w:sectPr>
          <w:pgSz w:w="11900" w:h="16838" w:orient="portrait"/>
          <w:cols w:equalWidth="0" w:num="1">
            <w:col w:w="11000"/>
          </w:cols>
          <w:pgMar w:left="440" w:top="297" w:right="459" w:bottom="1440" w:gutter="0" w:footer="0" w:header="0"/>
        </w:sectPr>
      </w:pPr>
    </w:p>
    <w:bookmarkStart w:id="91" w:name="page92"/>
    <w:bookmarkEnd w:id="91"/>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products, product candidates or other business activities may be subject to claims of infringement of the patent and other proprietary rights of third parties. Third parties may assert that we are infringing their patents or employing their proprietary technology without authorization. There may be third-party patents or patent applications with claims to materials, formulations, methods of manufacture or methods for treatment related to the use or manufacture of our products or product candidates. We could also be required to pay damages, which could be significant, including treble damages and attorneys’ fees if we are found to have willfully infringed such patents.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Additionally, because patent applications can take many years to issue, there may be currently pending patent applications which may later result in issued patents that our products or product candidates may infringe. In addition, third parties may obtain patents in the future and claim that use of our technologies infringes upon these patents. If any third-party patents were held by a court of competent jurisdiction to cover any of our products or product candidates, the holders of any such patents may be able to block our ability to commercialize such products or, if approved, product candidates,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product or, if approved, product candidate, unless we obtained a license or until such patent expires. In either case, such a license may not be available on commercially reasonable terms or at all. Claims that we have misappropriated the confidential information or trade secrets of third parties could have a similar negative impact on our business.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which could be time-consuming and divert the attention of senior management.</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products or, if approved, product candidates. Defense of these claims, regardless of their merit, would involve substantial litigation expense and would be a substantial diversion of employee resources from our business. In the event of a successful infringement or other intellectual property claim against it, we may have to pay substantial damages, including treble damages and attorneys’ fees for willful infringement, obtain one or more licenses from third parties, pay royalties or redesign our affected products or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products or, if approved, product candidates, and we have done so from time to time. We may fail to obtain any of these licenses at a reasonable cost or on reasonable terms, if at all. In that event, we would be unable to further develop and commercialize one or more of our products or, if approved, product candidates, which could harm our 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and/or other forms of compensation to third parties.</w:t>
      </w:r>
    </w:p>
    <w:p>
      <w:pPr>
        <w:spacing w:after="0" w:line="19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intellectual property litigation more effectively than we can because the competitors have substantially greater financial and other resources. In addition, intellectual property litigation, regardless of its outcome, may cause negative publicity, adversely impact prospective customers, cause product shipment delays or prohibit us from manufacturing, marketing or otherwise commercializing our products or, if approved, product candidates. Any uncertainties resulting from the initiation and continuation of any litigation could adversely impact our ability to raise additional funds or otherwise harm our business, results of operation, financial condition or cash flows.</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harm our ability to develop and market our products and product candidates.</w:t>
      </w:r>
    </w:p>
    <w:p>
      <w:pPr>
        <w:spacing w:after="0" w:line="159"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or may be relevant to or necessary for the commercialization of products or product candidates in any jurisdiction. Patent applications in the United States and elsewhere are not published until approximately 18 months after the earliest filing for which priority is claimed, with such earliest filing date being commonly referred to as the priority date. In addition, U.S. patent applications filed before November 29, 2000 and certain U.S. patent applications filed after that date that will not be filed outside the United States remain confidential until patents</w:t>
      </w:r>
    </w:p>
    <w:p>
      <w:pPr>
        <w:sectPr>
          <w:pgSz w:w="11900" w:h="16838" w:orient="portrait"/>
          <w:cols w:equalWidth="0" w:num="1">
            <w:col w:w="11000"/>
          </w:cols>
          <w:pgMar w:left="440" w:top="297" w:right="459" w:bottom="1440" w:gutter="0" w:footer="0" w:header="0"/>
        </w:sectPr>
      </w:pPr>
    </w:p>
    <w:bookmarkStart w:id="92" w:name="page93"/>
    <w:bookmarkEnd w:id="9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issue. Therefore, patent applications covering our products and product candidates could have been filed by others without our knowledge. Additionally, pending patent applications that have been published can, subject to certain limitations, be later amended in a manner that could cover our current and future products and product candidates, or the use thereof, provided such pending patent applications result in issued patents. Our ability to develop and market our current and future products and product candidate can be adversely affected in jurisdictions where such patents are issued.</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if approved, product candidates. We may incorrectly determine that our products or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and we may incorrectly conclude that a third-party patent is invalid or unenforceable. Our failure to identify and correctly interpret relevant patents may negatively impact our ability to develop and market our current and future products and, if approved, product candidates.</w:t>
      </w:r>
    </w:p>
    <w:p>
      <w:pPr>
        <w:spacing w:after="0" w:line="189" w:lineRule="exact"/>
        <w:rPr>
          <w:sz w:val="20"/>
          <w:szCs w:val="20"/>
          <w:color w:val="auto"/>
        </w:rPr>
      </w:pPr>
    </w:p>
    <w:p>
      <w:pPr>
        <w:jc w:val="both"/>
        <w:ind w:right="140" w:firstLine="440"/>
        <w:spacing w:after="0" w:line="272" w:lineRule="auto"/>
        <w:rPr>
          <w:sz w:val="20"/>
          <w:szCs w:val="20"/>
          <w:color w:val="auto"/>
        </w:rPr>
      </w:pPr>
      <w:r>
        <w:rPr>
          <w:rFonts w:ascii="Times New Roman" w:cs="Times New Roman" w:eastAsia="Times New Roman" w:hAnsi="Times New Roman"/>
          <w:sz w:val="17"/>
          <w:szCs w:val="17"/>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or, if approved, product candidates, that are held to be infringing.</w:t>
      </w:r>
    </w:p>
    <w:p>
      <w:pPr>
        <w:spacing w:after="0" w:line="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might, if possible, also be forced to redesign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the patents of our licensors or our other intellectual property rights, which could be expensive, time consuming and unsuccessful.</w:t>
      </w:r>
    </w:p>
    <w:p>
      <w:pPr>
        <w:spacing w:after="0" w:line="15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Competitors may infringe, misappropriate or otherwise violate our patents, the patents of our licensors or our other intellectual property rights. To counter infringement or unauthorized use, we may be required to file and prosecute legal claims against one or more third parties, which can be expensive and time-consuming, even if ultimately successful. For example, in February 2022, Roivant’s subsidiary, Genevant Sciences, and Arbutus Biopharma Corporation filed a lawsuit in the U.S. District Court for the District of Delaware against Moderna, Inc. and an affiliate seeking damages for infringement of U.S. Patent Nos. 8,058,069, 8,492,359, 8,822,668, 9,364,435, 9,504,651, and 11,141,378 in the manufacture and sale of MRNA-1273, Moderna’s vaccine for COVID-19 (the “Moderna Action”). In addition, in March 2022, Acuitas Therapeutics Inc. filed a lawsuit in the United States District Court for the Southern District of New York against Genevant Sciences and Arbutus Biopharma Corporation seeking a declaratory judgment that U.S. Patents 8,058,069, 8,492,359, 8,822,668, 9,006,417, 9,364,435, 9,404,127, 9,504,651, 9,518,272, and 11,141,378 are not infringed by the manufacture, use, offer for sale, sale or importation into the United States of COMIRNATY, Pfizer’s and BioNTech’s vaccine for COVID-19 and are otherwise invalid (the “Acuitas Action”).</w:t>
      </w:r>
    </w:p>
    <w:p>
      <w:pPr>
        <w:spacing w:after="0" w:line="19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an infringement proceeding, a court may decide that a patent of ours or our licensors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suits, including the Moderna Action and the Acuitas Action, will ultimately be resolved successfully.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or could put our patent applications at risk of not issuing. The initiation of a claim against a third-party may also cause the third-party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w:t>
      </w:r>
    </w:p>
    <w:p>
      <w:pPr>
        <w:sectPr>
          <w:pgSz w:w="11900" w:h="16838" w:orient="portrait"/>
          <w:cols w:equalWidth="0" w:num="1">
            <w:col w:w="11000"/>
          </w:cols>
          <w:pgMar w:left="440" w:top="297" w:right="459" w:bottom="1440" w:gutter="0" w:footer="0" w:header="0"/>
        </w:sectPr>
      </w:pPr>
    </w:p>
    <w:bookmarkStart w:id="93" w:name="page94"/>
    <w:bookmarkEnd w:id="93"/>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third-party. If a defendant were to prevail on a legal assertion of invalidity or unenforceability, we would lose at least part, and perhaps all, of any future patent protection on our current or future products or product candidates. Such a loss of patent protection could harm our business. Additionally, any adverse outcome could allow third parties to commercialize our products and compete directly with us, without payment to us, or result in our inability to manufacture or commercialize products without infringing third-party patent rights.</w:t>
      </w:r>
    </w:p>
    <w:p>
      <w:pPr>
        <w:spacing w:after="0" w:line="180"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Even if we establish infringement, we may not seek, or the court may decide not to grant, an injunction against further infringing activity and instead award only monetary damages, which may or may not be an adequate remedy. We may not be able to detect or prevent, alone or with our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the Moderna Action, the Acuitas Action or any other such litigation or proceedings. Some of our competitors or other third parties may be able to sustain the costs of such litigation or proceedings more effectively than we can because of their greater financial resources. 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18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many of the patents we own or have licensed are owned or licensed by our subsidiaries, and in certain cases by subsidiaries that are not or will not be directly commercializing products, we may not be in a position to obtain a permanent injunction against a third-party that is found to infringe our patents.</w:t>
      </w:r>
    </w:p>
    <w:p>
      <w:pPr>
        <w:spacing w:after="0" w:line="17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Many patents that we own or have licensed are assigned to or licensed by our direct or indirect subsidiaries. For example, any patents that Immunovant has licensed are assigned to its wholly-owned subsidiary Immunovant Sciences GmbH and any patents that Dermavant owns or has licensed are assigned to its wholly-owned subsidiary Dermavant Sciences GmbH. If a third-party is found to be infringing such patents, we and our direct subsidiaries may not be able to permanently enjoin the third-party from making, using, offering for sale or selling the infringing product or activity for the remaining life of such patent in the United States or other jurisdictions when the patent is assigned to a subsidiary, which is not the entity that is or would be commercializing a potentially competitive product or service. In such a circumstance, such third-party may be able to compete with us or our subsidiaries, which could have a material adverse effect on our competitive position, business, financial condition, results of operations and prospects.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products and product candidates.</w:t>
      </w:r>
    </w:p>
    <w:p>
      <w:pPr>
        <w:spacing w:after="0" w:line="15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Obtaining and enforcing patents in the biopharmaceutical industry involves both technological and legal complexity and is therefore costly, time consuming and inherently uncertain. Changes in either the patent laws or interpretation of the patent laws in the United States or USPTO rules and regulations could increase the uncertainties and costs.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United States has recently enacted and implemented wide-ranging patent reform legislation. In addition, patent reform legislation may pass in the future that could lead to additional uncertainties and increased costs surrounding the prosecution, enforcement and defense of our patents and pending patent applications.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For example, the Biden administration has indicated its support for a proposal at the World Trade Organization to waive patent rights with respect to COVID-19 vaccines. Any waiver of our patent or other intellectual property protection by the U.S. and other foreign governments, including with respect to Genevant’s licensed lipid nanoparticle (“LNP”) delivery technology as used in connection with messenger RNA vaccine delivery, could have a material adverse effect on our competitive position, business, financial condition, results of operations and prospects.</w:t>
      </w:r>
    </w:p>
    <w:p>
      <w:pPr>
        <w:sectPr>
          <w:pgSz w:w="11900" w:h="16838" w:orient="portrait"/>
          <w:cols w:equalWidth="0" w:num="1">
            <w:col w:w="11000"/>
          </w:cols>
          <w:pgMar w:left="440" w:top="297" w:right="459" w:bottom="1440" w:gutter="0" w:footer="0" w:header="0"/>
        </w:sectPr>
      </w:pPr>
    </w:p>
    <w:bookmarkStart w:id="94" w:name="page95"/>
    <w:bookmarkEnd w:id="94"/>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non-U.S. legislative bodies. Those changes may materially affect our patents or patent applications and our ability to obtain additional patent protection in the future.</w:t>
      </w:r>
    </w:p>
    <w:p>
      <w:pPr>
        <w:spacing w:after="0" w:line="18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In addition, 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For example, the research resulting in certain of our acquired or in-licensed patent rights and technology for certain products or product candidates was funded in part by the U.S. federal government. As a result, the federal government may have certain rights to such patent rights and technology, which include march-in rights. If the federal government decides to exercise these rights, it is not required to engage us as its contractor in connection with doing so. The federal government’s rights may also permit it to disclose our confidential information to third parties and to exercise march-in rights to use or allow third parties to use our licensed technology. The federal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Further, the recipient of U.S. government funding is required to comply with certain other requirements, including timely disclosing the inventions claimed in such patent rights to the U.S. government and timely electing title to such inventions. The U.S. government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our rights in such inventions may be subject to certain requirements to manufacture products or product candidates embodying such inventions in the United States. We cannot be certain that our current or future licensors will comply with the disclosure or reporting requirements of the Bayh-Dole Act at all times or be able to rectify any lapse in compliance with these requirements. Any exercise by the government of any of the foregoing rights or by any third-party of its reserved rights could have a material adverse effect on our competitive position, business, financial condition, results of operations and prospects.</w:t>
      </w:r>
    </w:p>
    <w:p>
      <w:pPr>
        <w:spacing w:after="0" w:line="185"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scope and enforceability of any patents listed in the Orange Book that cover our products or product candidates, or patents that cover our biologic product candidates, can be challenged by third parties.</w:t>
      </w:r>
    </w:p>
    <w:p>
      <w:pPr>
        <w:spacing w:after="0" w:line="159"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7"/>
          <w:szCs w:val="17"/>
          <w:color w:val="auto"/>
        </w:rPr>
        <w:t>If a third-party files an application under Section 505(b)(2) or an abbreviated new drug application (“ANDA”) under Section 505(j) with respect to any of our products or, if approved, product candidates, for a generic product containing any of our products or product candidates, including VTAMA (which, following the natural expiration of our method of use patent family, will be protected only by our formulation patent), and relies in whole or in part on studies conducted by or for us, the third-party will be required to certify to the FDA that either: (1) there is no patent information listed in the Orange Book with respect to our NDA for the applicable product or, if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under 21 CFR</w:t>
      </w:r>
    </w:p>
    <w:p>
      <w:pPr>
        <w:spacing w:after="0" w:line="2" w:lineRule="exact"/>
        <w:rPr>
          <w:sz w:val="20"/>
          <w:szCs w:val="20"/>
          <w:color w:val="auto"/>
        </w:rPr>
      </w:pPr>
    </w:p>
    <w:p>
      <w:pPr>
        <w:ind w:left="4" w:right="140" w:hanging="4"/>
        <w:spacing w:after="0" w:line="252" w:lineRule="auto"/>
        <w:tabs>
          <w:tab w:leader="none" w:pos="13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314.94(a)(12)(i)(A)(4) that the new product will not infringe the Orange Book-listed patents for the applicable product or, if approved, product candidate, or that such patents are invalid, is called a 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45-day period, the third-party’s ANDA will not be subject to the 30-month stay of FDA approval.</w:t>
      </w:r>
    </w:p>
    <w:p>
      <w:pPr>
        <w:spacing w:after="0" w:line="188"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Moreover, a third-party may challenge the current patents, or patents that may issue in the future, within our portfolio, which could result in the invalidation of some or all of the patents that might otherwise be eligible for listing in the Orange Book for one of our products. If a third-party successfully challenges all of the patents that might otherwise be eligible for listing in the Orange Book for one of our products before an ANDA or 505(b)(2) NDA is filed we will be unable to obtain a 30-month stay of FDA approval of a 505(b)(2) or ANDA.</w:t>
      </w:r>
    </w:p>
    <w:p>
      <w:pPr>
        <w:sectPr>
          <w:pgSz w:w="11900" w:h="16838" w:orient="portrait"/>
          <w:cols w:equalWidth="0" w:num="1">
            <w:col w:w="11004"/>
          </w:cols>
          <w:pgMar w:left="436" w:top="297" w:right="459" w:bottom="1440" w:gutter="0" w:footer="0" w:header="0"/>
        </w:sectPr>
      </w:pPr>
    </w:p>
    <w:bookmarkStart w:id="95" w:name="page96"/>
    <w:bookmarkEnd w:id="95"/>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example, our three issued U.S. patents covering VTAMA may not provide adequate protection from competitive products developed by 505(b)(1) NDA, 505(b)(2) NDA or 505(j) ANDA applicants containing paragraph IV certifications if such applicants are able to design around the three patents. One or more competitors may circumvent these patents by filing a marketing application with the FDA under Sections 505(b)(2) or 505(j) of the Federal Food, Drug and Cosmetic Act containing a paragraph IV certification for a competitive product containing the active moiety in VTAMA and successfully challenging the validity of the three patents or successfully designing around the three patents. Any successful challenge against the three patents and/or designing around one or more of the patents could result in a generic version of VTAMA being commercialized before the expiration of the three patents. If the three patents are successfully challenged or designed around, our business, results of operations, financial condition and prospects would be harmed.</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For biologics, the BPCIA provides a mechanism for one or more third parties to seek FDA approval to manufacture or sell a biosimilar or interchangeable versions of brand name biological product candidates. Due to the large size and complexity of biological product candidates, as compared to small molecules, a biosimilar must be “highly similar” to the reference product with “no clinically meaningful differences between the two.” The BPCIA does not require reference product sponsors to list patents in the FDA’s Orange Book and does not include an automatic 30-month stay of FDA approval upon the timely filing of a lawsuit. The BPCIA, however, does require a formal pre-litigation process which includes the exchange of information between a biosimilar applicant and a reference biologic sponsor that includes the identification of relevant patents and each parties’ basis for infringement and invalidity. After the exchange of this information, we may then initiate a lawsuit within 30 days to defend the patents identified in the exchange. If the biosimilar applicant successfully challenges the asserted patent claims, it could result in the invalidation of, or render unenforceable, some or all of the relevant patent claims or result in a finding of non-infringement.</w:t>
      </w:r>
    </w:p>
    <w:p>
      <w:pPr>
        <w:spacing w:after="0" w:line="188"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If we are unsuccessful in enforcing our patents against generics or biosimilars, our products could face competition prior to the expiration of the patents which cover such products, which could have a material adverse effect on our business, financial condition, results of operations and prospects. Furthermore, any such litigation or other proceedings to enforce or defend intellectual property rights are often very complex in nature, may be very expensive and time-consuming, may divert management’s attention from our core business, and may result in unfavorable results that could limit our ability to prevent third parties from competing with our products and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Filing, prosecuting and defending patents on products and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developing countries, and the breadth of patent claims allowed can be inconsistent. In addition, the laws of some countries do not protect intellectual property rights to the same extent as laws of the United States.</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Consequently, we may not be able to prevent third parties from practicing our inventions in all countries outside the United States, or from selling or importing product candidates made using our inventions in and into the United States or other jurisdictions. Competitors may use our technologies in jurisdictions where we have not obtained patent protection to develop their own products and product candidates and may also export infringing products and product candidates to territories where we have patent protection, but enforcement is not as strong as that in the United States. These product candidates may compete with our products or product candidates and our patents or other intellectual property rights may not be effective or sufficient to prevent them from competing.</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do not have patent rights in all countries in which a market may exist. Moreover, in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other countries products and product candidates and services that are the same as or similar to our products and product candidates, and our competitive position would be harmed.</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other jurisdictions. The legal systems of certain countries, particularly certain developing countries, do not favor the enforcement of patents, trade secrets, and other intellectual property protection, particularly those relating to biotechnology products and product candidates, which could make it difficult for us to stop the infringement of our patents or marketing of competing products or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ectPr>
          <w:pgSz w:w="11900" w:h="16838" w:orient="portrait"/>
          <w:cols w:equalWidth="0" w:num="1">
            <w:col w:w="11020"/>
          </w:cols>
          <w:pgMar w:left="440" w:top="297" w:right="439" w:bottom="1440" w:gutter="0" w:footer="0" w:header="0"/>
        </w:sectPr>
      </w:pPr>
    </w:p>
    <w:bookmarkStart w:id="96" w:name="page97"/>
    <w:bookmarkEnd w:id="96"/>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Many countries, including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any trade secrets, our business and competitive position would be harmed.</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addition to seeking patents for our products and product candidates, we may rely on trade secrets, including unpatented software, know-how, technology and other proprietary information, to maintain our competitive position. We seek to protect this software and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w:t>
      </w:r>
    </w:p>
    <w:p>
      <w:pPr>
        <w:spacing w:after="0" w:line="183"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t>Because we rely and expect to continue to rely on third parties to manufacture our current and future products and product candidates, and we collaborate and expect to continue to collaborate with third parties on the development of current and future products and product candidates, we must, at times, share trade secrets with them. We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disclosure, either intentional or unintentional, by our employees, the employees of third parties with whom we share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the market. Further, adequate remedies may not exist in the event of unauthorized use or disclosure.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9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Policing unauthorized use of our or our licensors’ intellectual property is difficult, expensive and time-consuming, and we may be unable to determine the extent of any unauthorized use. Moreover, enforcing a claim that a party illegally disclosed or misappropriated a trade secret is difficult, expensive and time-consuming, and the outcome is unpredictable. In addition, some courts inside and outside the United States are less willing or unwilling to protect trade secrets. Despite our efforts to protect our trade secrets, our competitors and other third parties may discover our trade secrets, including our proprietary software, either through breach of our agreements with third parties, independent development or publication of information by any of our third-party collaborators. A competitor’s or other third-party’s discovery of our trade secrets, including our proprietary software, would impair our competitive position and have an adverse impact on our business.</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cannot guarantee that we have entered into non-disclosure, confidentiality agreements, material transfer agreements or consulting agreements with each party that may have or have had access to our trade secrets or proprietary software, technology and processes. Despite these efforts, any of these parties may breach the agreements and disclose our proprietary information, including our trade secrets and proprietary software, and we may not be able to obtain adequate remedies for such breaches.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including our proprietary software, were to be lawfully obtained or independently developed by a competitor or other third-party, we would have no right to prevent them, or those to whom they communicate it, from using that technology or information to compete with us. If any of our trade secrets, including our proprietary software, were to be disclosed to or independently developed by a competitor or other third-party, our competitive position would be harmed.</w:t>
      </w:r>
    </w:p>
    <w:p>
      <w:pPr>
        <w:sectPr>
          <w:pgSz w:w="11900" w:h="16838" w:orient="portrait"/>
          <w:cols w:equalWidth="0" w:num="1">
            <w:col w:w="11000"/>
          </w:cols>
          <w:pgMar w:left="440" w:top="297" w:right="459" w:bottom="1440" w:gutter="0" w:footer="0" w:header="0"/>
        </w:sectPr>
      </w:pPr>
    </w:p>
    <w:bookmarkStart w:id="97" w:name="page98"/>
    <w:bookmarkEnd w:id="97"/>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Certain software utilized in our computational drug discovery efforts may include third-party open source software. Any failure to comply with the terms of one or more open source software licenses could adversely affect our business, subject us to litigation, or create potential liability.</w:t>
      </w:r>
    </w:p>
    <w:p>
      <w:pPr>
        <w:spacing w:after="0" w:line="15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Certain software utilized in our computational drug discovery efforts may include third-party open source software and we expect to continue to incorporate open source software in the future. The use of open source software involves a number of risks, many of which cannot be eliminated and could negatively affect our business. For example, we cannot ensure that we have effectively monitored our use of open source software or that we are in compliance with the terms of the applicable open source licenses or our current policies and procedures. There have been claims against companies that use open source software asserting that the use of such open source software infringes the claimants’ intellectual property rights. As a result, we could be subject to suits by third parties claiming infringement on such third parties’ intellectual property rights. Litigation could be costly for us to defend, have a negative effect on our business, financial condition and results of operations, or require us to devote additional research and development resources to modify our computational drug discovery platform.</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Use of open source software may entail greater risks than use of third-party commercial software, as open source licensors generally do not provide warranties, controls on the origin of the software or other contractual protections regarding infringement claims or the quality of the code, including with respect to security vulnerabilities.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have not been interpreted by courts in the relevant jurisdictions, and there is a risk that such licenses could be construed in a manner that imposes unanticipated conditions or restrictions on our ability to market our solutions. By the terms of certain open source licenses, if portions of our proprietary software are determined to be subject to an open source license or if we combine our proprietary software with open source software in a certain manner, we could be required to release the source code of our proprietary software and to make our proprietary software available under open source licenses, each of which could reduce or eliminate the effectiveness of our computational discovery efforts. We may also face claims alleging noncompliance with open source license terms or misappropriation or other violation of open source technology. Any of these events could create liability for us and damage our reputation, which could have a material adverse effect on our competitive position, business, financial condition, results of operations and prospects.</w:t>
      </w:r>
    </w:p>
    <w:p>
      <w:pPr>
        <w:spacing w:after="0" w:line="1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59"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or other software, biotechnology or pharmaceutical companies, including our licensors, competitors or potential competitors. Although we seek to protect our ownership of intellectual property rights by ensuring that our agreements with our employees, collaborators and other third parties with whom we do business include provisions requiring such parties to not use the confidential information of their former employer, we may be subject to claims that we or our employees, consultants, independent contractors or other third parties have inadvertently or otherwise used or disclosed confidential information of our employees’ former employers or other third parties. We may also be subject to claims that former employers or other third parties have an ownership interest in our owned or licensed patents or patent applications.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which could limit our ability to stop others from using or commercializing similar technology and therapeutics, without payment to us, could limit the duration of the patent protection covering our technology, products and product candidates and could result in our inability to develop, manufacture or commercialize our products and product candidates without infringing third-party patent rights. Such intellectual property rights could be awarded to a third-party, and we could be required to obtain a license from such third-party to commercialize our current or future products and product candidates. Such a license may not be available on commercially reasonable terms or at all. Even if we are successful, litigation could result in substantial cost and be a distraction to our management and other employees. Moreover, any such litigation or the threat thereof may harm our reputation, our ability to form strategic alliances or sublicense our rights to collaborators, engage with scientific advisors or hire employees or consultants, each of which would harm our business, results of operations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We rely on a combination of internally developed and in-licensed intellectual property rights and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w:t>
      </w:r>
    </w:p>
    <w:p>
      <w:pPr>
        <w:sectPr>
          <w:pgSz w:w="11900" w:h="16838" w:orient="portrait"/>
          <w:cols w:equalWidth="0" w:num="1">
            <w:col w:w="11000"/>
          </w:cols>
          <w:pgMar w:left="440" w:top="293" w:right="459" w:bottom="1440" w:gutter="0" w:footer="0" w:header="0"/>
        </w:sectPr>
      </w:pPr>
    </w:p>
    <w:bookmarkStart w:id="98" w:name="page99"/>
    <w:bookmarkEnd w:id="9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arise from conflicting obligations of employees, consultants or other third parties who are involved in developing our products and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products or product candidates. Even if we are successful in defending against such claims, litigation could result in substantial costs and be a distraction to management and other employees. Any of the foregoing could harm our business, financial condition, results of operations and prospects.</w:t>
      </w:r>
    </w:p>
    <w:p>
      <w:pPr>
        <w:spacing w:after="0" w:line="18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contractors and other third parties who may be involved in the development of intellectual property to execute agreements assigning such intellectual property to us, we may be unsuccessful in executing such an agreement with each party who in fact develops intellectual property that we regard as our own. Our invention assignment agreements may not be self-executing or may be breached, and we may not have adequate remedies for any such breach. Additionally,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third-party, such as an academic institution, and thus an agreement with us may be ineffective in perfecting ownership of inventions developed by that individual.</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 and have a harmful effect on the success of our business.</w:t>
      </w:r>
    </w:p>
    <w:p>
      <w:pPr>
        <w:spacing w:after="0" w:line="159"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including the Moderna Action and the Acuitas Action,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adversely impact the price of our Common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7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Accordingly, despite our efforts, we may not be able to prevent third parties from infringing upon or misappropriating our intellectual property. In addition, the uncertainties associated with litigation could compromise our ability to raise the funds necessary to pursue our commercialization efforts, continue our clinical trials and internal research programs or in-license needed technology or other future product candidates. Uncertainties resulting from the initiation and continuation of patent litigation or other proceedings could compromise our ability to compete in the marketplace, including compromising our ability to raise the funds necessary to pursue our commercialization efforts, continue our clinical trials, continue our research programs, license necessary technology from third parties, or enter into development collaborations that would help us commercialize our products or, if approved, product candidates. Any of the foregoing could harm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intellectual property rights to future product candidates through acquisitions and in-licenses.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third-party may hold intellectual property, including patent rights, that are important or necessary to the development of our product candidates. Accordingly, we may seek to acquire or in-license patented or proprietary technologies to develop such product candidates or to grow our product offerings and technology portfolio. However, we may be unable to acquire or in-license intellectual property rights relating to, or necessary for, any such product candidate or technology from third parties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In that event, we may be unable to develop or commercialize such product candidates or technology. We may also be unable to identify product candidates or technology that we believe are an appropriate strategic fit for our company and protect intellectual property relating to, or necessary for, such product candidate and technology.</w:t>
      </w:r>
    </w:p>
    <w:p>
      <w:pPr>
        <w:spacing w:after="0" w:line="19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for any future product candidate is a competitive area, and a number of more established companies are also pursuing strategies to in-license or acquire third-party intellectual property rights for product candidates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 candidates, our business, financial condition, results of operations and prospects for growth could suffer.</w:t>
      </w:r>
    </w:p>
    <w:p>
      <w:pPr>
        <w:sectPr>
          <w:pgSz w:w="11900" w:h="16838" w:orient="portrait"/>
          <w:cols w:equalWidth="0" w:num="1">
            <w:col w:w="11000"/>
          </w:cols>
          <w:pgMar w:left="440" w:top="297" w:right="459" w:bottom="1440" w:gutter="0" w:footer="0" w:header="0"/>
        </w:sectPr>
      </w:pPr>
    </w:p>
    <w:bookmarkStart w:id="99" w:name="page100"/>
    <w:bookmarkEnd w:id="99"/>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addition, we expect that competition for the in-licensing or acquisition of third-party intellectual property rights for any future product candidate and technologies that are attractive to us may increase in the future, which may mean fewer suitable opportunities for us as well as higher acquisition or licensing costs. We may be unable to in-license or acquire the third-party intellectual property rights for product candidates or technology on terms that would allow us to make an appropriate return on 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successfully challenged, resulting in harm to our business.</w:t>
      </w:r>
    </w:p>
    <w:p>
      <w:pPr>
        <w:spacing w:after="0" w:line="22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We rely on trademarks as one means to distinguish our products from the products and product candidates of our competitors. Our current and future trademark applications in the United States and in other jurisdictions may not be allowed or may subsequently be opposed, challenged, infringed, circumvented, declared generic or determined to be infringing other marks. Additionally, once we select new trademarks and apply to register them, our trademark applications may not be approved. Third parties have in the past opposed, are currently opposing and may in the future oppose or attempt to cancel our trademark applications or trademarks, or otherwise challenge our use of the trademarks. In the event that our trademarks are successfully challenged, we could be forced to rebrand products or product candidates,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7"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Once granted, patents may remain open to invalidity challenges including opposition, interference,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166"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In addition, 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Moreover, if a third-party has intellectual property rights that cover the practice of our technology, we may not be able to fully exercise or extract value from our intellectual property rights. The following examples are illustrative:</w:t>
      </w:r>
    </w:p>
    <w:p>
      <w:pPr>
        <w:spacing w:after="0" w:line="67" w:lineRule="exact"/>
        <w:rPr>
          <w:sz w:val="20"/>
          <w:szCs w:val="20"/>
          <w:color w:val="auto"/>
        </w:rPr>
      </w:pPr>
    </w:p>
    <w:p>
      <w:pPr>
        <w:ind w:left="1420" w:right="200" w:hanging="439"/>
        <w:spacing w:after="0" w:line="282"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formulations or compositions that are the same as or similar to our products or product candidates, but that are not covered by the claims of the patents that we own;</w:t>
      </w:r>
    </w:p>
    <w:p>
      <w:pPr>
        <w:spacing w:after="0" w:line="67"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 products or product candidates that we intend to commercialize that are not covered by the patents that we exclusively licensed and have the right to enforce;</w:t>
      </w:r>
    </w:p>
    <w:p>
      <w:pPr>
        <w:spacing w:after="0" w:line="67"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 or any collaborators might not have been the first to make or reduce to practice the inventions covered by the issued patents or pending patent applications that we own or have exclusively licensed;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or any collaborators might not have been the first to file patent applications covering certain of our inventions;</w:t>
      </w:r>
    </w:p>
    <w:p>
      <w:pPr>
        <w:spacing w:after="0" w:line="130" w:lineRule="exact"/>
        <w:rPr>
          <w:rFonts w:ascii="Times New Roman" w:cs="Times New Roman" w:eastAsia="Times New Roman" w:hAnsi="Times New Roman"/>
          <w:sz w:val="18"/>
          <w:szCs w:val="18"/>
          <w:color w:val="auto"/>
        </w:rPr>
      </w:pPr>
    </w:p>
    <w:p>
      <w:pPr>
        <w:ind w:left="1420" w:right="340" w:hanging="439"/>
        <w:spacing w:after="0" w:line="282"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w:t>
      </w:r>
    </w:p>
    <w:p>
      <w:pPr>
        <w:sectPr>
          <w:pgSz w:w="11900" w:h="16838" w:orient="portrait"/>
          <w:cols w:equalWidth="0" w:num="1">
            <w:col w:w="11000"/>
          </w:cols>
          <w:pgMar w:left="440" w:top="297" w:right="459" w:bottom="1440" w:gutter="0" w:footer="0" w:header="0"/>
        </w:sectPr>
      </w:pPr>
    </w:p>
    <w:bookmarkStart w:id="100" w:name="page101"/>
    <w:bookmarkEnd w:id="100"/>
    <w:p>
      <w:pPr>
        <w:ind w:left="1420" w:hanging="439"/>
        <w:spacing w:after="0" w:line="261"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 and we may not develop additional proprietary technologies that are patentable;</w:t>
      </w:r>
    </w:p>
    <w:p>
      <w:pPr>
        <w:spacing w:after="0" w:line="85" w:lineRule="exact"/>
        <w:rPr>
          <w:rFonts w:ascii="Times New Roman" w:cs="Times New Roman" w:eastAsia="Times New Roman" w:hAnsi="Times New Roman"/>
          <w:sz w:val="18"/>
          <w:szCs w:val="18"/>
          <w:color w:val="auto"/>
        </w:rPr>
      </w:pPr>
    </w:p>
    <w:p>
      <w:pPr>
        <w:ind w:left="1420" w:right="640" w:hanging="439"/>
        <w:spacing w:after="0" w:line="282"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performing manufacturing or testing for us using our products, product candidates or technologies could use the intellectual property of others without obtaining a proper license;</w:t>
      </w:r>
    </w:p>
    <w:p>
      <w:pPr>
        <w:spacing w:after="0" w:line="67"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may assert an ownership interest in our intellectual property and, if successful, such disputes may preclude us from exercising exclusive rights over that intellectual property;</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necessary licenses on commercially reasonable terms, or at all;</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30" w:lineRule="exact"/>
        <w:rPr>
          <w:rFonts w:ascii="Times New Roman" w:cs="Times New Roman" w:eastAsia="Times New Roman" w:hAnsi="Times New Roman"/>
          <w:sz w:val="18"/>
          <w:szCs w:val="18"/>
          <w:color w:val="auto"/>
        </w:rPr>
      </w:pPr>
    </w:p>
    <w:p>
      <w:pPr>
        <w:ind w:left="1420" w:right="720" w:hanging="439"/>
        <w:spacing w:after="0" w:line="282"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third-party may subsequently file a patent application covering such intellectual property.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our Jurisdiction of Incorporation and Certain Tax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performance does not meet market expectations, the price of our securities may decline.</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If our performance does not meet market expectations, the price of our Common Shares may decline. In addition, even if an active market for our Common Shares develops and continues, the trading price of our Common Shares could be volatile and subject to wide fluctuations in response to various factors, some of which are beyond our control. Prior to the Business Combination, there was not a public market for our Common Shares, and trading in our Common Shares was not active. Any of the factors listed below could have a material adverse effect on the price of our Common Shares.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Factors affecting the trading price of our Common Shares may include:</w:t>
      </w:r>
    </w:p>
    <w:p>
      <w:pPr>
        <w:spacing w:after="0" w:line="131" w:lineRule="exact"/>
        <w:rPr>
          <w:sz w:val="20"/>
          <w:szCs w:val="20"/>
          <w:color w:val="auto"/>
        </w:rPr>
      </w:pPr>
    </w:p>
    <w:p>
      <w:pPr>
        <w:ind w:left="1420" w:right="700" w:hanging="439"/>
        <w:spacing w:after="0" w:line="282"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and annual financial results or the quarterly and annual financial results of companies perceived to be similar to it;</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operating results;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market expectations in a particular period;</w:t>
      </w:r>
    </w:p>
    <w:p>
      <w:pPr>
        <w:spacing w:after="0" w:line="130"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Vant’s operating results failing to meet market expectations in a particular period, which could impact the market prices of shares of a public Vant or the valuation of a private Vant, and in turn adversely impact the trading price of our Common Shares;</w:t>
      </w:r>
    </w:p>
    <w:p>
      <w:pPr>
        <w:spacing w:after="0" w:line="67"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 for a product or product candidate in one or more jurisdictions, or the failure to receive such marketing approval;</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or preclinical studies conducted by us and the Vants;</w:t>
      </w:r>
    </w:p>
    <w:p>
      <w:pPr>
        <w:spacing w:after="0" w:line="130" w:lineRule="exact"/>
        <w:rPr>
          <w:rFonts w:ascii="Times New Roman" w:cs="Times New Roman" w:eastAsia="Times New Roman" w:hAnsi="Times New Roman"/>
          <w:sz w:val="18"/>
          <w:szCs w:val="18"/>
          <w:color w:val="auto"/>
        </w:rPr>
      </w:pPr>
    </w:p>
    <w:p>
      <w:pPr>
        <w:ind w:left="1420" w:right="620" w:hanging="439"/>
        <w:spacing w:after="0" w:line="282"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the Vants or the biopharmaceutical industry and market in general;</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and the Vants’ businesses;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or other claims or proceedings, including governmental and regulatory proceedings, against us or the Vants;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Shares available for public sale and the relatively limited free float of our Common Shares;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board of directors or management;</w:t>
      </w:r>
    </w:p>
    <w:p>
      <w:pPr>
        <w:spacing w:after="0" w:line="130" w:lineRule="exact"/>
        <w:rPr>
          <w:rFonts w:ascii="Times New Roman" w:cs="Times New Roman" w:eastAsia="Times New Roman" w:hAnsi="Times New Roman"/>
          <w:sz w:val="18"/>
          <w:szCs w:val="18"/>
          <w:color w:val="auto"/>
        </w:rPr>
      </w:pPr>
    </w:p>
    <w:p>
      <w:pPr>
        <w:ind w:left="1420" w:right="80" w:hanging="439"/>
        <w:spacing w:after="0" w:line="282"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Shares by directors, executive officers or significant shareholders or the perception that such sales could occur; and</w:t>
      </w:r>
    </w:p>
    <w:p>
      <w:pPr>
        <w:sectPr>
          <w:pgSz w:w="11900" w:h="16838" w:orient="portrait"/>
          <w:cols w:equalWidth="0" w:num="1">
            <w:col w:w="11020"/>
          </w:cols>
          <w:pgMar w:left="440" w:top="297" w:right="439" w:bottom="1440" w:gutter="0" w:footer="0" w:header="0"/>
        </w:sectPr>
      </w:pPr>
    </w:p>
    <w:bookmarkStart w:id="101" w:name="page102"/>
    <w:bookmarkEnd w:id="101"/>
    <w:p>
      <w:pPr>
        <w:ind w:left="1424" w:right="180" w:hanging="439"/>
        <w:spacing w:after="0" w:line="282" w:lineRule="auto"/>
        <w:tabs>
          <w:tab w:leader="none" w:pos="1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general economic and political conditions such as recessions, interest rates, fuel prices, international currency fluctuations and acts of war or terrorism.</w:t>
      </w:r>
    </w:p>
    <w:p>
      <w:pPr>
        <w:spacing w:after="0" w:line="162" w:lineRule="exact"/>
        <w:rPr>
          <w:sz w:val="20"/>
          <w:szCs w:val="20"/>
          <w:color w:val="auto"/>
        </w:rPr>
      </w:pPr>
    </w:p>
    <w:p>
      <w:pPr>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t>Broad market and industry factors may depress the market price of our Common Shares irrespective of our or the Vants’ operating performance. The stock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companies engaging in digital payments or the stocks of other companies which investors perceive to be similar to us could depress our stock price regardless of our business, prospects, financial conditions or results of operations. A decline in the market price of our Common Shares also could adversely affect our ability to issue additional securities and our ability to obtain additional financing in the future.</w:t>
      </w:r>
    </w:p>
    <w:p>
      <w:pPr>
        <w:spacing w:after="0" w:line="169" w:lineRule="exact"/>
        <w:rPr>
          <w:sz w:val="20"/>
          <w:szCs w:val="20"/>
          <w:color w:val="auto"/>
        </w:rPr>
      </w:pPr>
    </w:p>
    <w:p>
      <w:pPr>
        <w:ind w:left="4"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75"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waive any objection to such exclusive jurisdiction and that such courts represent an inconvenient forum.</w:t>
      </w:r>
    </w:p>
    <w:p>
      <w:pPr>
        <w:spacing w:after="0" w:line="183"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4" w:right="480" w:hanging="4"/>
        <w:spacing w:after="0" w:line="260"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service of process made upon such warrant holder in any such enforcement action by service upon such warrant holder’s counsel in the foreign action as agent for such warrant holder.</w:t>
      </w:r>
    </w:p>
    <w:p>
      <w:pPr>
        <w:spacing w:after="0" w:line="18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Warrant holders who do bring a claim in a court of the State of New York or the United States District Court for the Southern District of New York could face additional litigation costs in pursuing any such claim, particularly if they do not reside in or near the State of New York.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5"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purchasable upon exercise of a warrant could be decreased, all without your approval.</w:t>
      </w:r>
    </w:p>
    <w:p>
      <w:pPr>
        <w:spacing w:after="0" w:line="17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Our Warrants were initially issued by MAAC in registered form under a warrant agreement between Continental Stock Transfer &amp; Trust Company (“CST”), as warrant agent. In connection with the consummation of the Business Combination, American Stock Transfer &amp; Trust Company assumed CST’s responsibilities as warrant agent under the warrant agreement.</w:t>
      </w:r>
    </w:p>
    <w:p>
      <w:pPr>
        <w:spacing w:after="0" w:line="176"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The warrant agreement provides that the terms of the Warrants may be amended without the consent of any holder for the purpose of (i) curing any ambiguity or correct any mistake or defective provision (ii) amending the provisions relating to cash dividends on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w:t>
      </w:r>
    </w:p>
    <w:p>
      <w:pPr>
        <w:sectPr>
          <w:pgSz w:w="11900" w:h="16838" w:orient="portrait"/>
          <w:cols w:equalWidth="0" w:num="1">
            <w:col w:w="11004"/>
          </w:cols>
          <w:pgMar w:left="436" w:top="297" w:right="459" w:bottom="1440" w:gutter="0" w:footer="0" w:header="0"/>
        </w:sectPr>
      </w:pPr>
    </w:p>
    <w:bookmarkStart w:id="102" w:name="page103"/>
    <w:bookmarkEnd w:id="102"/>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unlimited, examples of such amendments could be amendments to, among other things, increase the exercise price of the Warrants, convert the Warrants into cash, shorten the exercise period or decrease the number of our Common Shares purchasable upon exercise of a warrant.</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has devoted and will continue to devote a substantial amount of time to new compliance initiatives.</w:t>
      </w:r>
    </w:p>
    <w:p>
      <w:pPr>
        <w:spacing w:after="0" w:line="15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and these expenses may increase even more after we are no longer an emerging growth company, as defined in Section 2(a) of the Securities Act.</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Dodd-Frank Act, as well as rules adopted, and to be adopted, by the SEC and the Nasdaq. Our management and other personnel have devoted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blended director and officer liability insurance and forced us to forego securities and corporate protection coverage. We cannot predict or estimate the amount or timing of additional costs we have incurred and will continue to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timely and effectively implement controls and procedures required by Section 404(a) of the Sarbanes-Oxley Act could have a material adverse effect on our business.</w:t>
      </w:r>
    </w:p>
    <w:p>
      <w:pPr>
        <w:spacing w:after="0" w:line="15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provide management’s attestation on internal controls as required under Section 404(a) of the Sarbanes-Oxley Act. The standards required for a public company under Section 404(a) of the Sarbanes-Oxley Act are significantly more stringent than those required of us as a privately-held company. If we are not successful in implementing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18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Failure to properly implement internal controls on a timely basis may lead to the identification of one or more material weaknesses or control deficiencies in the future, which may prevent us from being able to report our financial results accurately on a timely basis or help prevent fraud, and could cause our reported financial results to be materially misstated and result in the loss of investor confidence or delisting and cause the market price of our Common Shares to decline. If we have material weaknesses in the future, it could affect the financial results that we report or create a perception that those financial results do not fairly state our financial position or results of operations. Either of those events could have an adverse effect on the value of our Common Shares.</w:t>
      </w:r>
    </w:p>
    <w:p>
      <w:pPr>
        <w:spacing w:after="0" w:line="187"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Further, even if we conclude that our internal control over financial reporting provides reasonable assurance regarding the reliability of financial reporting and the preparation of financial statements for external purposes in accordance with U.S. GAAP,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future reporting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last reported sales price of our Common Shares is equal to or exceeds $18.00 per share (as adjusted for share sub divisions, share capitalizations, rights issuances, subdivisions, reorganizations, recapitalizations and the like) for any 20 trading days within a 30 trading-day period ending on the third trading day prior to the date they send the notice of redemption to the warrant holders. If and when the Warrants become redeemable by us, we may not exercise our redemption right if the issuance of shares upon exercise of the Warrants is not exempt from registration or qualification under applicable state blue sky laws or if we are unable to effect such registration or qualification. We will use our best efforts to register or qualify such shares under the blue sky laws of the state of residence in those states in which the Warrants were offered by us. Redemption of the outstanding Warrants could force an investor to (i) to exercise their Warrants and pay the exercise price therefor at a time when it may be disadvantageous for an investor to do so, (ii) for an investor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an investors Warrants.</w:t>
      </w:r>
    </w:p>
    <w:p>
      <w:pPr>
        <w:sectPr>
          <w:pgSz w:w="11900" w:h="16838" w:orient="portrait"/>
          <w:cols w:equalWidth="0" w:num="1">
            <w:col w:w="11000"/>
          </w:cols>
          <w:pgMar w:left="440" w:top="297" w:right="459" w:bottom="1440" w:gutter="0" w:footer="0" w:header="0"/>
        </w:sectPr>
      </w:pPr>
    </w:p>
    <w:bookmarkStart w:id="103" w:name="page104"/>
    <w:bookmarkEnd w:id="103"/>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addition, we may redeem an investor’s Warrants at any time after they become exercisable and prior to their expiration at a price of $0.10 per warrant upon a minimum of 30 days’ prior written notice of redemption provided that holders will be able to exercise their Warrants prior to redemption for a number of Common Shares determined based on the redemption date and the fair market value of our Common Shares.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shares received is capped at 0.361 Common Shares per warrant (subject to adjustment) irrespective of the remaining life of the Warrants. None of the Private Placement Warrants will be redeemable by us so long as they are held by the MAAC Sponsor or its permitted transferees.</w:t>
      </w:r>
    </w:p>
    <w:p>
      <w:pPr>
        <w:spacing w:after="0" w:line="18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the ability to require holders of our Warrants to exercise such Warrants on a cashless basis, which will cause holders to receive fewer Common Shares upon their exercise of the Warrants than they would have received had they been able to exercise their Warrants for cash.</w:t>
      </w:r>
    </w:p>
    <w:p>
      <w:pPr>
        <w:spacing w:after="0" w:line="17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we call the Public Warrants for redemption after the redemption criteria have been satisfied, our management will have the option to require any holder that wishes to exercise their warrant (including any Warrants held by the MAAC Sponsor, MAAC’s former officers or directors, other purchasers of MAAC’s founders’ units, or their permitted transferees) to do so on a “cashless basis.” If our management chooses to require holders to exercise their Warrants on a cashless basis, the number of Common Shares received by a holder upon exercise will be fewer than it would have been had such holder exercised his warrant for cash. This will have the effect of reducing the potential “upside” of the holder’s investment in our company.</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59"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memorandum of association and bye-laws and under Bermuda law could delay or prevent a change in control, limit the price investors may be willing to pay in the future for our Common Shares and could entrench management.</w:t>
      </w:r>
    </w:p>
    <w:p>
      <w:pPr>
        <w:spacing w:after="0" w:line="15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Our memorandum of association and bye-laws contain provisions that could make it more difficult for a third-party to acquire us without the consent of our board of directors. These provisions provide for:</w:t>
      </w:r>
    </w:p>
    <w:p>
      <w:pPr>
        <w:spacing w:after="0" w:line="67" w:lineRule="exact"/>
        <w:rPr>
          <w:sz w:val="20"/>
          <w:szCs w:val="20"/>
          <w:color w:val="auto"/>
        </w:rPr>
      </w:pPr>
    </w:p>
    <w:p>
      <w:pPr>
        <w:ind w:left="1420" w:hanging="439"/>
        <w:spacing w:after="0"/>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w:t>
      </w:r>
    </w:p>
    <w:p>
      <w:pPr>
        <w:spacing w:after="0" w:line="130"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powers, preferences and rights of preference shares and to cause us to issue the preference shares without shareholder approval;</w:t>
      </w:r>
    </w:p>
    <w:p>
      <w:pPr>
        <w:spacing w:after="0" w:line="67" w:lineRule="exact"/>
        <w:rPr>
          <w:rFonts w:ascii="Times New Roman" w:cs="Times New Roman" w:eastAsia="Times New Roman" w:hAnsi="Times New Roman"/>
          <w:sz w:val="18"/>
          <w:szCs w:val="18"/>
          <w:color w:val="auto"/>
        </w:rPr>
      </w:pPr>
    </w:p>
    <w:p>
      <w:pPr>
        <w:ind w:left="1420" w:right="120" w:hanging="439"/>
        <w:spacing w:after="0" w:line="266"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prevent the transfer of capital stock, or the exercise of rights with respect to our capital stock, if the effect of such transfer or exercise of rights would result in a shareholder holding more than 9.9% of the total issued and outstanding shares of our capital stock on a fully diluted basis; and</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shareholder proposals and nominations and placing limitations on convening shareholder meetings.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These provisions may make more difficult the removal of management and may discourage transactions that otherwise could involve payment of a premium over prevailing market prices for our securities. These provisions could also discourage proxy contests and make it more difficult for you and other shareholders to elect directors of your choosing and cause us to take corporate actions other than those you desire, any of which could harm our share price.</w:t>
      </w:r>
    </w:p>
    <w:p>
      <w:pPr>
        <w:spacing w:after="0" w:line="1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largest shareholders and certain members of our management own a significant percentage of our Common Shares and are able to exert significant control over matters subject to shareholder approval.</w:t>
      </w:r>
    </w:p>
    <w:p>
      <w:pPr>
        <w:spacing w:after="0" w:line="15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founder and certain of our largest shareholders hold a significant percentage of our Common Shares. As a result, these holders have the ability to substantially influence us and exert significant control through this ownership position and, in the case of certain holders, service on our board of directors. For example, these holders may be able to control elections of directors, issuance of equity, including to our employees under equity incentive plans, amendments of our organizational documents, or approval of any</w:t>
      </w:r>
    </w:p>
    <w:p>
      <w:pPr>
        <w:sectPr>
          <w:pgSz w:w="11900" w:h="16838" w:orient="portrait"/>
          <w:cols w:equalWidth="0" w:num="1">
            <w:col w:w="11000"/>
          </w:cols>
          <w:pgMar w:left="440" w:top="297" w:right="459" w:bottom="1440" w:gutter="0" w:footer="0" w:header="0"/>
        </w:sectPr>
      </w:pPr>
    </w:p>
    <w:bookmarkStart w:id="104" w:name="page105"/>
    <w:bookmarkEnd w:id="10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merger, amalgamation, sale of assets or other major corporate transaction. These holders’ interests may not always coincide with our corporate interests or the interests of other shareholders, and it may exercise its voting and other rights in a manner with which you may not agree or that may not be in the best interests of our other shareholders. So long as these holders continue to own a significant amount of our equity, they will continue to be able to strongly influence and effectively control our decisions.</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or the Vants’ equity securities or rights to purchase equity securities, including pursuant to our or the Vants’ equity incentive and other compensatory plans, will result in additional dilution of the percentage ownership of our shareholders and could cause our share price to fall.</w:t>
      </w:r>
    </w:p>
    <w:p>
      <w:pPr>
        <w:spacing w:after="0" w:line="17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We and the Vants will need additional capital in the future to continue our planned operations. To the extent we raise additional capital by issuing equity securities, including in our subsidiaries, our shareholders may experience substantial dilution. We or the Vants may sell securities, including convertible securities or other equity securities in one or more transactions at prices and in a manner we determine from time to time. If we sell Common Shares, convertible securities or other equity securities in more than one transaction, investors may be materially diluted by subsequent sales. In addition, new investors could gain rights superior to our existing shareholders.</w:t>
      </w:r>
    </w:p>
    <w:p>
      <w:pPr>
        <w:spacing w:after="0" w:line="18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Pursuant to our 2021 Equity Incentive Plan (the “2021 EIP”), we are authorized to grant options and other share-based awards to our employees, directors and consultants. The aggregate number of shares initially reserved for issuance under the 2021 EIP increases annually on the first day of each fiscal year during the term of the plan in an amount equal to the lesser of (i) 5% of the number of our Common Shares outstanding as of the day of the immediately preceding fiscal year and (ii) such number of our Common Shares as determined by our board of directors in its discretion. As a result of this annual increase, or if our board of directors elects in the future to make any additional increase in the number of shares available for future grant under the 2021 EIP, and if our shareholders approve of any such additional increase, our shareholders may experience additional dilution, and our share price may fall.</w:t>
      </w:r>
    </w:p>
    <w:p>
      <w:pPr>
        <w:spacing w:after="0" w:line="18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Issuance of options and other share-based awards pursuant to equity incentive plans at the Vants may indirectly have a similar effect of diluting your ownership in us since a portion of the value of our Common Shares is tied to the value of the Vants, which would be diluted in the event of a grant of options or other similar equity grants to the employees of the Vants.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analysts publish negative evaluations of our shares, the price of our Common Shares could decline.</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market or competitors. If any of the analysts who may cover us change their recommendation regarding our Common Shares adversely, or provide more favorable relative recommendations about its competitors, the price of our Common Shares would likely decline. If any analyst who may cover us were to cease coverage or fail to regularly publish reports, we could lose visibility in the financial markets, which in turn could cause our share price or trading volume to decline.</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founder and certain of our largest shareholders own a substantial portion of our Common Shares. As a result, there may be limited liquidity for our Common Shares.</w:t>
      </w:r>
    </w:p>
    <w:p>
      <w:pPr>
        <w:spacing w:after="0" w:line="15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Our founder and certain of our largest shareholders hold a significant percentage of our Common Shares. Certain of these shareholders remain subject to lock-up arrangements in respect of a portion of their Common Shares and as a result there may be limited liquidity in the trading market for our Common Shares during the period in which these lock-up agreements are in effect. In addition, even once the applicable lock-up periods expire, the liquidity for our Common Shares may remain limited given the substantial holdings of such shareholders, which could make the price of our Common Shares more volatile and may make it more difficult for investors to buy or sell large amounts of our Common Shares.</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Shares for the foreseeable future, you may not receive any return on investment unless you sell our Common Shares for a price greater than that which you paid for it.</w:t>
      </w:r>
    </w:p>
    <w:p>
      <w:pPr>
        <w:spacing w:after="0" w:line="15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Our may retain future earnings, if any, for future operations, expansion and debt repayment and has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Common Shares unless you sell your shares of for a price greater than that which you paid for them.</w:t>
      </w:r>
    </w:p>
    <w:p>
      <w:pPr>
        <w:sectPr>
          <w:pgSz w:w="11900" w:h="16838" w:orient="portrait"/>
          <w:cols w:equalWidth="0" w:num="1">
            <w:col w:w="10980"/>
          </w:cols>
          <w:pgMar w:left="440" w:top="297" w:right="479" w:bottom="1440" w:gutter="0" w:footer="0" w:header="0"/>
        </w:sectPr>
      </w:pPr>
    </w:p>
    <w:bookmarkStart w:id="105" w:name="page106"/>
    <w:bookmarkEnd w:id="105"/>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are an exempted company limited by shares incorporated under the laws of Bermuda and it may be difficult for you to enforce judgments against us or our directors and executive officers.</w:t>
      </w:r>
    </w:p>
    <w:p>
      <w:pPr>
        <w:spacing w:after="0" w:line="15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Bermuda. As a result, the rights of our shareholders are governed by Bermuda law and our memorandum of association and bye-laws. The rights of shareholders under Bermuda law may differ from the rights of shareholders of companies incorporated in another jurisdiction. It may be difficult for investors to enforce in the U.S. judgments obtained in U.S. courts against us based on the civil liability provisions of the U.S. securities laws. It is doubtful whether courts in Bermuda will enforce judgments obtained in other jurisdictions, including the U.S., against us or our directors or officers under the securities laws of those jurisdictions or entertain actions in Bermuda against us or our directors or officers under the securities laws of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Bermuda law differs from the laws in effect in the U.S. and may afford less protection to our shareholders.</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will waive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U.S., particularly the State of Delaware. Therefore, our shareholders may have more difficulty protecting their interests than would shareholders of a corporation incorporated in a jurisdiction within the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Companies Act and the Bermuda Investment Business Act 2003,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Nasdaq. Additionally, we have sought and have obtained a specific permission from the Bermuda Monetary Authority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 The general permission or the specific permission would cease to apply if we were to cease to be listed on the Nasdaq or another appointed stock exchange.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unanticipated tax liabilities and higher effective tax rates.</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Bermuda. We are centrally managed and controlled in the U.K., and under current U.K. tax law, a company which is centrally managed and controlled in the U.K. is regarded as resident in the U.K. for taxation purposes. Accordingly, we expect to be subject to U.K. taxation on our income and gains, and subject to U.K.’s controlled foreign company rules, except where an exemption applies. We may be treated as a dual resident company for U.K. tax purposes. As a result, our right to claim certain reliefs from U.K. tax may be restricted, and changes in law or practice in the U.K. could result in the imposition of further restrictions on our right to claim U.K. tax reliefs. We may also become subject to income, withholding or other taxes in certain jurisdictions by reason of our activities and operations, and it is also possible that taxing authorities in any such jurisdictions could assert that we are subject to greater taxation than we currently anticipate, including as a result of the denial of treaty benefits that we may claim. Any such additional tax liability could materially adversely affect our results of operations.</w:t>
      </w:r>
    </w:p>
    <w:p>
      <w:pPr>
        <w:sectPr>
          <w:pgSz w:w="11900" w:h="16838" w:orient="portrait"/>
          <w:cols w:equalWidth="0" w:num="1">
            <w:col w:w="11000"/>
          </w:cols>
          <w:pgMar w:left="440" w:top="293" w:right="459" w:bottom="1440" w:gutter="0" w:footer="0" w:header="0"/>
        </w:sectPr>
      </w:pPr>
    </w:p>
    <w:bookmarkStart w:id="106" w:name="page107"/>
    <w:bookmarkEnd w:id="106"/>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intended tax effects of our corporate structure and intercompany arrangements depend on the application of the tax laws of various jurisdictions and on how we operate our business.</w:t>
      </w:r>
    </w:p>
    <w:p>
      <w:pPr>
        <w:spacing w:after="0" w:line="15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We are incorporated under the laws of Bermuda and are centrally managed and controlled in the UK. We currently have subsidiaries in the U.S., U.K., Switzerland and certain other jurisdictions. If we succeed in growing our business, we expect to conduct increased operations through our subsidiaries in various countries and tax jurisdictions, in part through intercompany service agreements between our subsidiaries and us. In that case, our corporate structure and intercompany transactions, including the manner in which we develop and use our intellectual property, will be organized so that we can achieve our business objectives in a tax-efficient manner and in compliance with applicable transfer pricing rules and regulations. If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be maintained to support the transfer prices. While we believe that we operate in compliance with applicable transfer pricing laws and intend to continue to do so, our transfer pricing procedures are not binding on applicable taxing authorities. If taxing authorities in any of these countries were to successfully challenge our transfer prices as not reflecting arm’s length transactions between two or more affiliated companies, they could require such affiliated companies to adjust their transfer prices and thereby reallocate the income between such affiliated companies to reflect these revised transfer prices, which could result in a higher tax liability to us. In addition, if the country from which the income is reallocated does not agree with the reallocation, both countries could tax the same income, resulting in double taxation. If taxing authorities were to allocate income to a higher tax jurisdiction, subject our income to double taxation or assess interest and penalties, it would increase its consolidated tax liability, which could adversely affect our financial condition, results of operations and cash flows.</w:t>
      </w:r>
    </w:p>
    <w:p>
      <w:pPr>
        <w:spacing w:after="0" w:line="19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in evaluating our tax positions and determining our provision for income taxes. During the ordinary course of business, there are many transactions and calculations for which the ultimate tax determination is uncertain. For example, our effective tax rates could be adversely affected by changes in foreign currency exchange rates or by changes in the relevant tax, accounting, and other laws (including tax treaties), regulations, principles, and interpretations. As we intend to operate in numerous countries and taxing jurisdictions, the application of tax laws can be subject to diverging and sometimes conflicting interpretations by tax authorities of these jurisdictions. It is not uncommon for taxing authorities in different countries to have conflicting views, for instance, with respect to, among other things, the manner in which the arm’s length standard is applied for transfer pricing purposes, or with respect to the valuation of intellectual property.</w:t>
      </w:r>
    </w:p>
    <w:p>
      <w:pPr>
        <w:spacing w:after="0" w:line="18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tax laws are dynamic and subject to change as new laws are passed and new interpretations of the law are issued or applied. We continue to assess the impact of such changes in tax laws and interpretations on our business and may determine that changes to our structure, practice, tax positions or the manner in which we conduct our business are necessary in light of such changes and developments in the tax laws of other jurisdictions in which we operate. Such changes may nevertheless be ineffective in avoiding an increase in our consolidated tax liability, which could adversely affect our financial condition,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reduce our net income in future periods.</w:t>
      </w:r>
    </w:p>
    <w:p>
      <w:pPr>
        <w:spacing w:after="0" w:line="22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Our tax position could be adversely impacted by changes in tax rates, tax laws, tax practice, tax treaties or tax regulations or changes in the interpretation thereof by the tax authorities in Europe (including the U.K. and Switzerland), the U.S., Bermuda and other jurisdictions, as well as being affected by certain changes currently proposed by the Organization for Economic Co-operation and Development and their action plan on Base Erosion and Profit Shifting. Such changes may become more likely as a result of recent economic trends in the jurisdictions in which we operate, particularly if such trends continue. If such a situation were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89"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Our actual effective tax rate may vary from our expectation and that variance may be material. A number of factors may increase our future effective tax rates, including: (1) the jurisdictions in which profits are determined to be earned and taxed; (2) the resolution of issues arising from any future tax audits with various tax authorities; (3) changes in the valuation of our deferred tax assets and liabilities; (4) increases in expenses not deductible for tax purposes, including transaction costs and impairments of goodwill in connection with acquisitions; (5) changes in the taxation of stock-based compensation; (6) changes in tax laws (including tax treaties) or the interpretation of such tax laws (including tax treaties) and changes in U.S. generally accepted accounting principles; and (7) challenges to the transfer pricing policies related to our structure.</w:t>
      </w:r>
    </w:p>
    <w:p>
      <w:pPr>
        <w:sectPr>
          <w:pgSz w:w="11900" w:h="16838" w:orient="portrait"/>
          <w:cols w:equalWidth="0" w:num="1">
            <w:col w:w="11000"/>
          </w:cols>
          <w:pgMar w:left="440" w:top="293"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IRS may not agree that we should be treated as a non-U.S. corporation for U.S. federal income tax purposes.</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Under current U.S. federal income tax law, a corporation generally will be considered to be a U.S. corporation for U.S. federal income tax purposes only if it is created or organized in the United States or under the law of the United States or of any state thereof. Accordingly, under generally applicable U.S. federal income tax rules, since we were not created or organized in the United States or under the law of the United States or of any state thereof but are instead a Bermuda incorporated entity and tax resident of the U.K., we would generally be classified as a non-U.S. corporation.</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Section 7874 of the Internal Revenue Code of 1986, as amended (the “Code”) and the Treasury regulations promulgated thereunder, however, contain specific rules that may cause a non-U.S. corporation to be treated as a U.S. corporation for U.S. federal income tax purposes. If it were determined that we are treated as a U.S. corporation for U.S. federal income tax purposes under Section 7874 of the Code and the Treasury regulations promulgated thereunder, we would be liable for U.S. federal income tax on our income just like any other U.S. corporation and certain distributions made by us to our shareholders that are not “United States persons as defined in the Code (“U.S. holders”) would be subject to U.S. withholding tax. We believe that we should not be treated as a U.S. corporation for U.S. federal income tax purposes under Section 7874 of the Code. However, the application of</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7874 of the Code is complex and is subject to detailed Treasury regulations that could be impacted by changes in such Treasury regulations with possible retroactive effect, and the interpretation of Treasury regulations relating to the required ownership of us is subject to uncertainty for which there is limited guidance regarding their application. Accordingly, there can be no assurance that the IRS will not take a contrary position to those described above or that a court will not agree with a contrary position of the IRS in the event of litigation. You are urged to consult your tax advisor to determine the tax consequences if the classification of us as a non-U.S. corporation is not respected.</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own 10% or more of the combined voting power or value of our Common Shares may suffer adverse tax consequences because we and our non-U.S. subsidiaries may be characterized as “controlled foreign corporations” (“CFCs”) under Section 957(a) of the Code.</w:t>
      </w:r>
    </w:p>
    <w:p>
      <w:pPr>
        <w:spacing w:after="0" w:line="159"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A non-U.S. corporation is considered a CFC if more than 50% of (1) the total combined voting power of all classes of stock of such corporation entitled to vote, or (2) the total value of the stock of such corporation, is owned, or is considered as owned by applying certain constructive ownership rules, by U.S. shareholders (U.S. persons who own stock representing 10% or more of the combined voting power or value of all outstanding stock of such non-U.S. corporation) on any day during the taxable year of such non-U.S. corporation. Certain U.S. shareholders of a CFC generally are required to include currently in gross income such shareholders’ share of the CFC’s “Subpart F income,” a portion of the CFC’s earnings to the extent the CFC holds certain U.S. property, and a portion of the CFC’s “global intangible low-taxed income” (as defined under Section 951A of the Code). Such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 “Global intangible low-taxed income” may include most of the remainder of a CFC’s income over a deemed return on its tangible assets.</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believe that we will not be classified as a CFC in the current taxable year. However, our non-U.S. subsidiaries will be classified as CFCs in the current taxable year. For U.S. holders who hold 10% or more of the combined voting power or value of our Common Shares, this may result in adverse U.S. federal income tax consequences, such as current U.S. taxation of Subpart F income (regardless of whether we make any distributions), taxation of amounts treated as global intangible low-taxed income under Section 951A of the Code with respect to such shareholder, and being subject to certain reporting requirements with the IRS. Any such U.S. holder who is an individual generally would not be allowed certain tax deductions or foreign tax credits that would be allowed to a U.S. corporation. If you are a U.S. holder who holds 10% or more of the combined voting power or value of our Common Shares, you should consult your own tax advisors regarding the U.S. tax consequences of acquiring, owning, or disposing of our Common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 of our Common Shares may suffer adverse tax consequences if we are characterized as a passive foreign investment company.</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Generally, if, for any taxable year, at least 75% of our gross income is passive income, or at least 50% of the average quarterly value of our assets is attributable to assets that produce passive income or are held for the production of passive income, including cash, we would be characterized as a passive foreign investment company (a “PFIC”) for U.S. federal income tax purposes. For purposes of these tests, passive income generally includes dividends, interest, gains from the sale or exchange of investment property and rents and royalties other than rents and royalties which are received from unrelated parties in connection with the active conduct of a trade or business. Additionally, if we own (directly or indirectly) at least 25% (by value) of the stock of another corporation, for purposes of determining whether we are a PFIC, generally we would be treated as if we held our proportionate share of the assets of such other corporation and received directly our proportionate share of the income of such other corporation (the “Look-Through Rule”) and generally we would retain the character of such assets and income as if they were held directly by us rather than by such other corporation (but see below for the discussion on an exception to the Look-Through Rule). If we are characterized as a PFIC,</w:t>
      </w:r>
    </w:p>
    <w:p>
      <w:pPr>
        <w:sectPr>
          <w:pgSz w:w="11900" w:h="16838" w:orient="portrait"/>
          <w:cols w:equalWidth="0" w:num="1">
            <w:col w:w="11000"/>
          </w:cols>
          <w:pgMar w:left="440" w:top="293" w:right="459" w:bottom="1440" w:gutter="0" w:footer="0" w:header="0"/>
        </w:sectPr>
      </w:pPr>
    </w:p>
    <w:bookmarkStart w:id="108" w:name="page109"/>
    <w:bookmarkEnd w:id="10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U.S. holders of our Common Shares may suffer adverse tax consequences, including having gains realized on the sale of our Common Shares treated as ordinary income rather than capital gain, the loss of the preferential tax rate applicable to dividends received on our Common Shares by individuals who are U.S. holders, and having interest charges apply to certain distributions by us and the proceeds of sales or other dispositions of our Common Shares that result in a gain to the U.S. holder. In addition, special information reporting may be required.</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from time to time. The 50% passive asset test described above is generally based on the fair market value of each asset. If we are a CFC (determined by disregarding certain downward attribution rules) and not publicly traded for the relevant taxable year, however, the test shall be applied based on the adjusted basis of our assets. Because our Common Shares should be considered to be “publicly traded” for the taxable years ending on March 31, 2022 and March 31, 2023, we would apply the 50% passive asset test using the fair market value of our assets. In addition, our status may also depend, in part, on how quickly we utilize our cash on-hand and cash from future financings in our business.</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Treasury regulations adopted in 2021 (the “2021 Regulations”) modify certain of the rules described above. The 2021 Regulations generally apply to taxable years of shareholders beginning on or after January 14, 2021. A shareholder, however, may choose to apply such rules for any open taxable year beginning before January 14, 2021, provided that, with respect to a non-U.S. corporation being tested for PFIC status, the shareholder consistently applies certain of the provisions of the 2021 Regulations and certain other Treasury regulations for such year and all subsequent years. Investors who are U.S. holders should consult their own tax advisors regarding the impact and applicability of the 2021 Regulations.</w:t>
      </w:r>
    </w:p>
    <w:p>
      <w:pPr>
        <w:spacing w:after="0" w:line="183"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Based on the foregoing, with respect to the taxable year that ended on March 31, 2022, we believe that we were not a PFIC based in part on our belief that we were not classified as a CFC in the taxable year that ended on March 31, 2022 and based upon the fair market value of our assets, including any goodwill and intangible property, and the nature and composition of our income and assets.</w:t>
      </w:r>
    </w:p>
    <w:p>
      <w:pPr>
        <w:spacing w:after="0" w:line="17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Our status as a PFIC is a fact-intensive determination made on an annual basis, which is subject to uncertainties, including but not limited to the fact that the value of our assets for purposes of the PFIC determination may be affected by the trading value of our Common Shares, which could fluctuate significantly. The total value of our assets for purposes of the PFIC asset test frequently (though not invariably) may be inferred using the market price of our ordinary shares, which may fluctuate considerably and thereby affect the determination of our PFIC status for future taxable years. Our U.S. counsel expresses no opinion with respect to our PFIC status for the current or future taxable years. We will endeavor to determine our PFIC status for each taxable year and make such determination available to U.S. holders.</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determination of our PFIC status is impacted by structures and arrangements we have implemented that are intended in part to mitigate the possibility that we will be classified as a PFIC. There can be no assurance that the IRS will not successfully challenge these structures and arrangements, which may result in an adverse impact on the determination of whether we are classified as a PFIC in the current and future taxable years. In addition, the 2021 Regulations, of which we are continuing to assess the impact, may also adversely affect the treatment of these structures and arrangements with respect to our PFIC status. For example, as discussed above, the Look-Through Rule generally applies with respect to our 25% or more owned subsidiaries. If we are subject to the accumulated earnings tax (or waive any benefit under any treaty which would otherwise prevent the imposition of such tax) and we own at least 25% (by value) of the stock of a U.S. corporation (a “25%-owned U.S. corporation”), then for purposes of determining our PFIC status, generally any stock of a U.S. corporation (such corporation, a “second-tier U.S. corporation,” and such stock, “qualified stock”) held by such 25%-owned U.S. corporation shall be treated as an asset which does not produce passive income (and is not held for the production of passive income) and any amount included in gross income with respect to such stock shall not be treated as passive income (the “Look-Through Rule Exception”). Accordingly, since we have waived any benefit under any treaty which would otherwise prevent the imposition of the accumulated earnings tax, we expect that the Look-Through Rule Exception applies to us and, for purposes of determining our PFIC status, any qualified stock held by our subsidiaries that are 25%-owned U.S. corporations are expected not to be treated as passive assets and any amount included in gross income with respect to such stock are expected not to be treated as passive income. Though we expect that the Look-Through Rule Exception applies to us, such determination, however, is subject to uncertainties. For example, the 2021 Regulations adopted an anti-abuse rule with respect to the application of the Look-Through Rule Exception. According to the anti-abuse rule, the Look-Through Rule Exception will not apply if a principal purpose for the formation of, acquisition of, or holding of stock of the 25%-owned U.S. corporation or the second-tier U.S. corporation, or for the capitalization or other funding of the second-tier U.S. corporation, is to hold passive assets through the second-tier U.S. corporation to avoid classification of the foreign corporation as a PFIC. While we do not believe that such anti-abuse rule will apply to us in light of the legislative history of the Look-Through Rule Exception as well as the nature and composition of our income and the nature, composition and value of our assets, there is no assurance regarding the application of the anti-abuse rule with respect to our PFIC status in our past, current, or future taxable years.</w:t>
      </w:r>
    </w:p>
    <w:p>
      <w:pPr>
        <w:sectPr>
          <w:pgSz w:w="11900" w:h="16838" w:orient="portrait"/>
          <w:cols w:equalWidth="0" w:num="1">
            <w:col w:w="11000"/>
          </w:cols>
          <w:pgMar w:left="440" w:top="297" w:right="459" w:bottom="1440" w:gutter="0" w:footer="0" w:header="0"/>
        </w:sectPr>
      </w:pPr>
    </w:p>
    <w:bookmarkStart w:id="109" w:name="page110"/>
    <w:bookmarkEnd w:id="109"/>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Investors who are U.S. holders are urged to consult their own tax advisors regarding the application of the Look-Through Rule, the Look-Through Rule Exception, and the anti-abuse rule.</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On July 12, 2022, we issued 2,029,877 Common Shares to certain current and former equityholders of a newly acquired healthcare technology subsidiary of ours in connection with the closing of our acquisition of a controlling interest in the subsidiary, with an aggregate value of approximately $9.1 million.</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issued the foregoing securities in transactions not involving an underwriter and not requiring registration under Section 5 of the Securities Act of 1933, as amended, in reliance on the exemption afforded by Section 4(a)(2) thereof.</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6580" w:type="dxa"/>
            <w:vAlign w:val="bottom"/>
            <w:gridSpan w:val="14"/>
          </w:tcPr>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None.</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580" w:type="dxa"/>
            <w:vAlign w:val="bottom"/>
            <w:gridSpan w:val="14"/>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8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00" w:type="dxa"/>
            <w:vAlign w:val="bottom"/>
            <w:gridSpan w:val="10"/>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780" w:type="dxa"/>
            <w:vAlign w:val="bottom"/>
            <w:gridSpan w:val="3"/>
          </w:tcPr>
          <w:p>
            <w:pPr>
              <w:jc w:val="right"/>
              <w:ind w:right="360"/>
              <w:spacing w:after="0" w:line="153" w:lineRule="exact"/>
              <w:rPr>
                <w:sz w:val="20"/>
                <w:szCs w:val="20"/>
                <w:color w:val="auto"/>
              </w:rPr>
            </w:pPr>
            <w:r>
              <w:rPr>
                <w:rFonts w:ascii="Times New Roman" w:cs="Times New Roman" w:eastAsia="Times New Roman" w:hAnsi="Times New Roman"/>
                <w:sz w:val="14"/>
                <w:szCs w:val="14"/>
                <w:b w:val="1"/>
                <w:bCs w:val="1"/>
                <w:color w:val="auto"/>
              </w:rPr>
              <w:t>Form</w:t>
            </w:r>
          </w:p>
        </w:tc>
        <w:tc>
          <w:tcPr>
            <w:tcW w:w="70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8"/>
              </w:rPr>
              <w:t>File No.</w:t>
            </w:r>
          </w:p>
        </w:tc>
        <w:tc>
          <w:tcPr>
            <w:tcW w:w="820" w:type="dxa"/>
            <w:vAlign w:val="bottom"/>
            <w:gridSpan w:val="4"/>
          </w:tcPr>
          <w:p>
            <w:pPr>
              <w:ind w:left="180"/>
              <w:spacing w:after="0" w:line="153"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gridSpan w:val="3"/>
          </w:tcPr>
          <w:p>
            <w:pPr>
              <w:jc w:val="right"/>
              <w:ind w:right="200"/>
              <w:spacing w:after="0" w:line="153"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6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Employment Agreement between Roivant Sciences, Inc. and Mayukh Sukhatme, dated as</w:t>
              </w:r>
            </w:hyperlink>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of May 19, 2020</w:t>
              </w:r>
            </w:hyperlink>
          </w:p>
        </w:tc>
        <w:tc>
          <w:tcPr>
            <w:tcW w:w="5380" w:type="dxa"/>
            <w:vAlign w:val="bottom"/>
            <w:gridSpan w:val="13"/>
          </w:tcPr>
          <w:p>
            <w:pPr>
              <w:spacing w:after="0"/>
              <w:rPr>
                <w:sz w:val="17"/>
                <w:szCs w:val="17"/>
                <w:color w:val="auto"/>
              </w:rPr>
            </w:pPr>
          </w:p>
        </w:tc>
        <w:tc>
          <w:tcPr>
            <w:tcW w:w="780" w:type="dxa"/>
            <w:vAlign w:val="bottom"/>
            <w:gridSpan w:val="3"/>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7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333-26</w:t>
            </w:r>
          </w:p>
        </w:tc>
        <w:tc>
          <w:tcPr>
            <w:tcW w:w="820" w:type="dxa"/>
            <w:vAlign w:val="bottom"/>
            <w:gridSpan w:val="4"/>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1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July 28, 2022</w:t>
            </w:r>
          </w:p>
        </w:tc>
        <w:tc>
          <w:tcPr>
            <w:tcW w:w="0" w:type="dxa"/>
            <w:vAlign w:val="bottom"/>
          </w:tcPr>
          <w:p>
            <w:pPr>
              <w:spacing w:after="0"/>
              <w:rPr>
                <w:sz w:val="1"/>
                <w:szCs w:val="1"/>
                <w:color w:val="auto"/>
              </w:rPr>
            </w:pPr>
          </w:p>
        </w:tc>
      </w:tr>
      <w:tr>
        <w:trPr>
          <w:trHeight w:val="304"/>
        </w:trPr>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62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w:t>
            </w:r>
          </w:p>
        </w:tc>
        <w:tc>
          <w:tcPr>
            <w:tcW w:w="3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under the Securities Exchange Act of 1934, as Adopted Pursuant to Section 302 of the</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4100" w:type="dxa"/>
            <w:vAlign w:val="bottom"/>
            <w:tcBorders>
              <w:top w:val="single" w:sz="8" w:color="0000EE"/>
            </w:tcBorders>
            <w:gridSpan w:val="8"/>
          </w:tcPr>
          <w:p>
            <w:pPr>
              <w:spacing w:after="0"/>
              <w:rPr>
                <w:sz w:val="17"/>
                <w:szCs w:val="17"/>
                <w:color w:val="auto"/>
              </w:rPr>
            </w:pPr>
          </w:p>
        </w:tc>
        <w:tc>
          <w:tcPr>
            <w:tcW w:w="3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64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04"/>
        </w:trPr>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4"/>
                <w:szCs w:val="24"/>
                <w:color w:val="auto"/>
              </w:rPr>
            </w:pPr>
          </w:p>
        </w:tc>
        <w:tc>
          <w:tcPr>
            <w:tcW w:w="65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9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under the Securities Exchange Act of 1934, as Adopted Pursuant to Section 302 of the</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3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64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4"/>
                <w:szCs w:val="24"/>
                <w:color w:val="auto"/>
              </w:rPr>
            </w:pPr>
          </w:p>
        </w:tc>
        <w:tc>
          <w:tcPr>
            <w:tcW w:w="65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980" w:type="dxa"/>
            <w:vAlign w:val="bottom"/>
            <w:tcBorders>
              <w:top w:val="single" w:sz="8" w:color="0000EE"/>
            </w:tcBorders>
            <w:gridSpan w:val="2"/>
          </w:tcPr>
          <w:p>
            <w:pPr>
              <w:spacing w:after="0"/>
              <w:rPr>
                <w:sz w:val="17"/>
                <w:szCs w:val="17"/>
                <w:color w:val="auto"/>
              </w:rPr>
            </w:pPr>
          </w:p>
        </w:tc>
        <w:tc>
          <w:tcPr>
            <w:tcW w:w="6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64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04"/>
        </w:trPr>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24"/>
                <w:szCs w:val="24"/>
                <w:color w:val="auto"/>
              </w:rPr>
            </w:pPr>
          </w:p>
        </w:tc>
        <w:tc>
          <w:tcPr>
            <w:tcW w:w="5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w:t>
            </w:r>
          </w:p>
        </w:tc>
        <w:tc>
          <w:tcPr>
            <w:tcW w:w="66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164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64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45"/>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6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6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6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6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6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6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6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(formatted as Inline XBRL and contained in Exhibit 101)</w:t>
            </w:r>
          </w:p>
        </w:tc>
        <w:tc>
          <w:tcPr>
            <w:tcW w:w="8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110" w:name="page111"/>
    <w:bookmarkEnd w:id="110"/>
    <w:p>
      <w:pPr>
        <w:ind w:left="224" w:right="140" w:hanging="224"/>
        <w:spacing w:after="0" w:line="282" w:lineRule="auto"/>
        <w:tabs>
          <w:tab w:leader="none" w:pos="2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Portions of this exhibit have been omitted because they are both (i) not material and (ii) would likely cause competitive harm to Roivant Sciences Ltd. if publicly disclosed.</w:t>
      </w:r>
    </w:p>
    <w:p>
      <w:pPr>
        <w:spacing w:after="0" w:line="67" w:lineRule="exact"/>
        <w:rPr>
          <w:sz w:val="20"/>
          <w:szCs w:val="20"/>
          <w:color w:val="auto"/>
        </w:rPr>
      </w:pPr>
    </w:p>
    <w:p>
      <w:pPr>
        <w:ind w:left="224" w:right="560" w:hanging="224"/>
        <w:spacing w:after="0" w:line="282" w:lineRule="auto"/>
        <w:tabs>
          <w:tab w:leader="none" w:pos="2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Management’s Reports on Internal Control Over Financial Reporting and Certification of Disclosure in Exchange Act Periodic Reports, the certifications furnished in Exhibits 32.1 and 32.2 hereto are deemed to accompany this Quarterly Report on Form 10-Q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10844"/>
          </w:cols>
          <w:pgMar w:left="436" w:top="297" w:right="619" w:bottom="1440" w:gutter="0" w:footer="0" w:header="0"/>
        </w:sectPr>
      </w:pPr>
    </w:p>
    <w:bookmarkStart w:id="111" w:name="page112"/>
    <w:bookmarkEnd w:id="111"/>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Matthew Gline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Principal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Richard Pulik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Principal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 Maisak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Matt Maisak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ectPr>
          <w:pgSz w:w="11900" w:h="16838" w:orient="portrait"/>
          <w:cols w:equalWidth="0" w:num="1">
            <w:col w:w="10660"/>
          </w:cols>
          <w:pgMar w:left="440" w:top="293" w:right="79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Matthew Gline, certify that:</w:t>
      </w:r>
    </w:p>
    <w:p>
      <w:pPr>
        <w:spacing w:after="0" w:line="131" w:lineRule="exact"/>
        <w:rPr>
          <w:sz w:val="20"/>
          <w:szCs w:val="20"/>
          <w:color w:val="auto"/>
        </w:rPr>
      </w:pPr>
    </w:p>
    <w:p>
      <w:pPr>
        <w:ind w:left="424" w:hanging="424"/>
        <w:spacing w:after="0"/>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Roivant Sciences Ltd.;</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Matthew Gline</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4"/>
          </w:cols>
          <w:pgMar w:left="436" w:top="117" w:right="4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Richard Pulik, certify that:</w:t>
      </w:r>
    </w:p>
    <w:p>
      <w:pPr>
        <w:spacing w:after="0" w:line="131" w:lineRule="exact"/>
        <w:rPr>
          <w:sz w:val="20"/>
          <w:szCs w:val="20"/>
          <w:color w:val="auto"/>
        </w:rPr>
      </w:pPr>
    </w:p>
    <w:p>
      <w:pPr>
        <w:ind w:left="424" w:hanging="424"/>
        <w:spacing w:after="0"/>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Roivant Sciences Ltd.;</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Richard Pulik</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024"/>
          </w:cols>
          <w:pgMar w:left="436" w:top="117" w:right="4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Matthew Gline, Principal Executive Officer of Roivant Sciences Ltd. (the “Company”), hereby certifies that, to the best of his knowledge:</w:t>
      </w:r>
    </w:p>
    <w:p>
      <w:pPr>
        <w:spacing w:after="0" w:line="81" w:lineRule="exact"/>
        <w:rPr>
          <w:sz w:val="20"/>
          <w:szCs w:val="20"/>
          <w:color w:val="auto"/>
        </w:rPr>
      </w:pPr>
    </w:p>
    <w:p>
      <w:pPr>
        <w:ind w:left="424" w:right="320" w:hanging="424"/>
        <w:spacing w:after="0" w:line="282" w:lineRule="auto"/>
        <w:tabs>
          <w:tab w:leader="none" w:pos="42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67" w:lineRule="exact"/>
        <w:rPr>
          <w:rFonts w:ascii="Times New Roman" w:cs="Times New Roman" w:eastAsia="Times New Roman" w:hAnsi="Times New Roman"/>
          <w:sz w:val="18"/>
          <w:szCs w:val="18"/>
          <w:b w:val="1"/>
          <w:bCs w:val="1"/>
          <w:color w:val="auto"/>
        </w:rPr>
      </w:pPr>
    </w:p>
    <w:p>
      <w:pPr>
        <w:ind w:left="424" w:right="280" w:hanging="424"/>
        <w:spacing w:after="0" w:line="282" w:lineRule="auto"/>
        <w:tabs>
          <w:tab w:leader="none" w:pos="42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August 15,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Matthew Gline</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024"/>
          </w:cols>
          <w:pgMar w:left="436" w:top="117" w:right="4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Richard Pulik, Principal Financial Officer of Roivant Sciences Ltd. (the “Company”), hereby certifies that, to the best of his knowledge:</w:t>
      </w:r>
    </w:p>
    <w:p>
      <w:pPr>
        <w:spacing w:after="0" w:line="81" w:lineRule="exact"/>
        <w:rPr>
          <w:sz w:val="20"/>
          <w:szCs w:val="20"/>
          <w:color w:val="auto"/>
        </w:rPr>
      </w:pPr>
    </w:p>
    <w:p>
      <w:pPr>
        <w:ind w:left="424" w:right="320" w:hanging="424"/>
        <w:spacing w:after="0" w:line="282"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32.2 (the “Periodic Report”), fully complies with the requirements of Section 13(a) or Section 15(d) of the Exchange Act; and</w:t>
      </w:r>
    </w:p>
    <w:p>
      <w:pPr>
        <w:spacing w:after="0" w:line="67"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August 15, 2022</w:t>
      </w:r>
    </w:p>
    <w:p>
      <w:pPr>
        <w:spacing w:after="0" w:line="200" w:lineRule="exact"/>
        <w:rPr>
          <w:sz w:val="20"/>
          <w:szCs w:val="20"/>
          <w:color w:val="auto"/>
        </w:rPr>
      </w:pPr>
    </w:p>
    <w:p>
      <w:pPr>
        <w:spacing w:after="0" w:line="26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Richard Pulik</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1."/>
      <w:numFmt w:val="lowerLetter"/>
      <w:start w:val="1"/>
    </w:lvl>
  </w:abstractNum>
  <w:abstractNum w:abstractNumId="11">
    <w:nsid w:val="153EA438"/>
    <w:multiLevelType w:val="hybridMultilevel"/>
    <w:lvl w:ilvl="0">
      <w:lvlJc w:val="left"/>
      <w:lvlText w:val="%1."/>
      <w:numFmt w:val="lowerLetter"/>
      <w:start w:val="5"/>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1)"/>
      <w:numFmt w:val="lowerRoman"/>
      <w:start w:val="2"/>
    </w:lvl>
  </w:abstractNum>
  <w:abstractNum w:abstractNumId="14">
    <w:nsid w:val="6A2342EC"/>
    <w:multiLevelType w:val="hybridMultilevel"/>
    <w:lvl w:ilvl="0">
      <w:lvlJc w:val="left"/>
      <w:lvlText w:val="%1."/>
      <w:numFmt w:val="lowerLetter"/>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lvl w:ilvl="1">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lvl w:ilvl="1">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lowerRoman"/>
      <w:start w:val="3"/>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lowerRoman"/>
      <w:start w:val="3"/>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1)"/>
      <w:numFmt w:val="lowerLetter"/>
      <w:start w:val="25"/>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26" Type="http://schemas.openxmlformats.org/officeDocument/2006/relationships/hyperlink" Target="http://www.sec.gov/Archives/edgar/data/1635088/000119312522205102/d383501dex10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2022-08-15T06:34:46Z</dcterms:created>
  <dcterms:modified xsi:type="dcterms:W3CDTF">2022-08-15T06:34:46Z</dcterms:modified>
</cp:coreProperties>
</file>