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20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20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Pursuant to Section 13 or 15(d)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6, 2026</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Roivant Sciences Ltd.</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Charter)</w:t>
      </w:r>
    </w:p>
    <w:tbl>
      <w:tblPr>
        <w:tblW w:w="9478"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915"/>
        <w:gridCol w:w="915"/>
        <w:gridCol w:w="1304"/>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001-40782</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98-1173944</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7th Floor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50 Broadway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London SW1H 0DB</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Kingdom</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(Addresses of Principal Executive Offices, and Zip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+44 207 400 3347</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 Applicable </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(Former Name or Former Address, if Changed Since Last Report)</w:t>
      </w:r>
    </w:p>
    <w:p>
      <w:pPr>
        <w:pStyle w:val="TextBody"/>
        <w:bidi w:val="0"/>
        <w:spacing w:lineRule="auto" w:line="288" w:before="0" w:after="240"/>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67"/>
        <w:gridCol w:w="2755"/>
        <w:gridCol w:w="3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Securities registered pursuant to Section 12(b) of the Act:</w:t>
            </w:r>
          </w:p>
        </w:tc>
      </w:tr>
    </w:tbl>
    <w:tbl>
      <w:tblPr>
        <w:tblW w:w="10205" w:type="dxa"/>
        <w:jc w:val="center"/>
        <w:tblInd w:w="0" w:type="dxa"/>
        <w:tblLayout w:type="fixed"/>
        <w:tblCellMar>
          <w:top w:w="28" w:type="dxa"/>
          <w:left w:w="28" w:type="dxa"/>
          <w:bottom w:w="28" w:type="dxa"/>
          <w:right w:w="28" w:type="dxa"/>
        </w:tblCellMar>
      </w:tblPr>
      <w:tblGrid>
        <w:gridCol w:w="1533"/>
        <w:gridCol w:w="1330"/>
        <w:gridCol w:w="1347"/>
        <w:gridCol w:w="109"/>
        <w:gridCol w:w="109"/>
        <w:gridCol w:w="109"/>
        <w:gridCol w:w="549"/>
        <w:gridCol w:w="549"/>
        <w:gridCol w:w="551"/>
        <w:gridCol w:w="109"/>
        <w:gridCol w:w="109"/>
        <w:gridCol w:w="109"/>
        <w:gridCol w:w="1078"/>
        <w:gridCol w:w="1078"/>
        <w:gridCol w:w="1536"/>
      </w:tblGrid>
      <w:tr>
        <w:trPr/>
        <w:tc>
          <w:tcPr>
            <w:tcW w:w="153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Shares, $0.0000000341740141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hanging="10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6, 2026, Roivant Sciences Ltd. (the “Company”) issued a press release announcing its financial results for the fiscal quarter ended June 30, 2026. A copy of the press release is attached as Exhibit 99.1 to this Current Report on Form 8-K.</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set forth under this “Item 2.02 Results of Operations and Financial Condition” (including Exhibit 99.1) shall not be deemed to be “filed” for the purposes of Section 18 of the Securities Exchange Act of 1934, as amended, nor shall it be incorporated by reference in any filing made by the Company pursuant to the Securities Act of 1933, as amended, other than to the extent that such filing incorporates by reference any or all of such information by express reference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(d)Exhibits.</w:t>
      </w:r>
    </w:p>
    <w:tbl>
      <w:tblPr>
        <w:tblW w:w="754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793"/>
        <w:gridCol w:w="1793"/>
        <w:gridCol w:w="254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q1fy2026roivant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Roivant Science Ltd. Press Release, dated August 6,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3097" w:type="dxa"/>
        <w:jc w:val="left"/>
        <w:tblInd w:w="0" w:type="dxa"/>
        <w:tblLayout w:type="fixed"/>
        <w:tblCellMar>
          <w:top w:w="28" w:type="dxa"/>
          <w:left w:w="28" w:type="dxa"/>
          <w:bottom w:w="28" w:type="dxa"/>
          <w:right w:w="28" w:type="dxa"/>
        </w:tblCellMar>
      </w:tblPr>
      <w:tblGrid>
        <w:gridCol w:w="466"/>
        <w:gridCol w:w="410"/>
        <w:gridCol w:w="410"/>
        <w:gridCol w:w="479"/>
        <w:gridCol w:w="479"/>
        <w:gridCol w:w="481"/>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ROIVANT SCIENCES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Keyur Parekh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Keyur Parekh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Roivant Reports Financial Results for the First Quarter Ended June 30, 2026, and Provides Business Update</w:t>
      </w:r>
    </w:p>
    <w:p>
      <w:pPr>
        <w:pStyle w:val="TextBody"/>
        <w:bidi w:val="0"/>
        <w:spacing w:lineRule="auto" w:line="276" w:before="0" w:after="0"/>
        <w:ind w:left="0" w:right="0" w:hanging="360"/>
        <w:jc w:val="left"/>
        <w:rPr/>
      </w:pPr>
      <w:r>
        <w:rPr>
          <w:color w:val="000000"/>
          <w:shd w:fill="FFFFFF" w:val="clear"/>
        </w:rPr>
        <w:t>•</w:t>
      </w:r>
      <w:r>
        <w:rPr>
          <w:rFonts w:ascii="Times New Roman;serif" w:hAnsi="Times New Roman;serif"/>
          <w:b w:val="false"/>
          <w:color w:val="000000"/>
          <w:sz w:val="20"/>
        </w:rPr>
        <w:t>Commercial preparations for brepocitinib in dermatomyositis (DM) are progressing well and on track for launch by the end of September 2026; topline data from Phase 3 study in non-infectious uveitis (NIU) expected in the second half of calendar year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First patients enrolled in the Phase 3 study of brepocitinib in cutaneous sarcoidosis (CS), with topline data expected in calendar year 2028; enrollment in Part 1 of the Phase 2b/3 study in lichen planopilaris (LPP) is progressing well</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IMVT-1402 proof-of-concept trial in cutaneous lupus erythematosus (CLE) topline data expected in the second half of calendar year 2026; all clinical development timelines remain on track for IMVT-1402</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Mosliciguat Phase 2 study in pulmonary hypertension associated with interstitial lung disease (PH-ILD) remains on track, with topline data expected in the second half of calendar year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Genevant and Arbutus received $950 million from Moderna in July 2026 under $2.25 billion settlement, with additional $1.3 billion contingent on favorable resolution of Moderna’s § 1498 appeal; filed new international lawsuits against Pfizer and BioNTech covering 21 jurisdictions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Roivant reported consolidated cash, cash equivalents, restricted cash and marketable securities of $3.9 billion as of June 30, 2026, excluding the cash payment received from Moderna in July, supporting cash runway into profitability </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Roivant will host a live conference call and webcast at 8:00 a.m. ET on Thursday, August 6, 2026, to report its financial results for the first quarter ended June 30, 2026, and provide a business update</w:t>
      </w:r>
    </w:p>
    <w:p>
      <w:pPr>
        <w:pStyle w:val="TextBody"/>
        <w:bidi w:val="0"/>
        <w:spacing w:lineRule="auto" w:line="288" w:before="0" w:after="0"/>
        <w:jc w:val="left"/>
        <w:rPr/>
      </w:pPr>
      <w:r>
        <w:rPr>
          <w:rFonts w:ascii="Times New Roman;serif" w:hAnsi="Times New Roman;serif"/>
          <w:b/>
          <w:color w:val="000000"/>
          <w:sz w:val="20"/>
        </w:rPr>
        <w:t>BASEL, Switzerland and LONDON and NEW YORK, August 6, 2026</w:t>
      </w:r>
      <w:r>
        <w:rPr>
          <w:color w:val="000000"/>
        </w:rPr>
        <w:t xml:space="preserve"> – </w:t>
      </w:r>
      <w:r>
        <w:rPr>
          <w:rFonts w:ascii="Times New Roman;serif" w:hAnsi="Times New Roman;serif"/>
          <w:b w:val="false"/>
          <w:color w:val="000000"/>
          <w:sz w:val="20"/>
        </w:rPr>
        <w:t xml:space="preserve">Roivant (Nasdaq: ROIV) today reported its financial results for the first quarter ended June 30, 2026, and provided a business update. </w:t>
      </w:r>
    </w:p>
    <w:p>
      <w:pPr>
        <w:pStyle w:val="TextBody"/>
        <w:bidi w:val="0"/>
        <w:spacing w:lineRule="auto" w:line="288" w:before="240" w:after="240"/>
        <w:jc w:val="left"/>
        <w:rPr/>
      </w:pPr>
      <w:r>
        <w:rPr>
          <w:color w:val="000000"/>
          <w:shd w:fill="FFFFFF" w:val="clear"/>
        </w:rPr>
        <w:t>“</w:t>
      </w:r>
      <w:r>
        <w:rPr>
          <w:rFonts w:ascii="Times New Roman;serif" w:hAnsi="Times New Roman;serif"/>
          <w:b w:val="false"/>
          <w:color w:val="000000"/>
          <w:sz w:val="20"/>
        </w:rPr>
        <w:t>This quarter has been a moment of relative quiet between our incredibly busy last twelve months and our even busier year ahead,</w:t>
      </w:r>
      <w:r>
        <w:rPr>
          <w:color w:val="000000"/>
          <w:shd w:fill="FFFFFF" w:val="clear"/>
        </w:rPr>
        <w:t>”</w:t>
      </w:r>
      <w:r>
        <w:rPr>
          <w:color w:val="000000"/>
        </w:rPr>
        <w:t xml:space="preserve"> </w:t>
      </w:r>
      <w:r>
        <w:rPr>
          <w:rFonts w:ascii="Times New Roman;serif" w:hAnsi="Times New Roman;serif"/>
          <w:b w:val="false"/>
          <w:color w:val="000000"/>
          <w:sz w:val="20"/>
        </w:rPr>
        <w:t xml:space="preserve">said Matt Gline, CEO of Roivant. </w:t>
      </w:r>
      <w:r>
        <w:rPr>
          <w:color w:val="000000"/>
          <w:shd w:fill="FFFFFF" w:val="clear"/>
        </w:rPr>
        <w:t>“</w:t>
      </w:r>
      <w:r>
        <w:rPr>
          <w:rFonts w:ascii="Times New Roman;serif" w:hAnsi="Times New Roman;serif"/>
          <w:b w:val="false"/>
          <w:color w:val="000000"/>
          <w:sz w:val="20"/>
        </w:rPr>
        <w:t>Our teams are deep in preparation for the potential launch of brepocitinib in dermatomyositis, we have enrolled the first patients in a new Phase 3 trial in cutaneous sarcoidosis, and we expect topline readouts from our NIU, PH-ILD and CLE studies before year end. We remain focused on delivering for patients across each of these programs, and if we are successful across even some of these endeavors, we will look radically different on the other side.</w:t>
      </w:r>
      <w:r>
        <w:rPr>
          <w:color w:val="000000"/>
          <w:shd w:fill="FFFFFF" w:val="clear"/>
        </w:rPr>
        <w:t>”</w:t>
      </w:r>
      <w:r>
        <w:rPr>
          <w:color w:val="000000"/>
        </w:rPr>
        <w:t xml:space="preserve">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Priovant</w:t>
      </w:r>
      <w:r>
        <w:rPr>
          <w:rFonts w:ascii="Times New Roman;serif" w:hAnsi="Times New Roman;serif"/>
          <w:b w:val="false"/>
          <w:color w:val="000000"/>
          <w:sz w:val="20"/>
        </w:rPr>
        <w:t>: Commercial preparations for brepocitinib in dermatomyositis (DM) are progressing well and on track for launch by the end of September 2026. The first patients have been enrolled in the Phase 3 study of brepocitinib in cutaneous sarcoidosis (CS). This follows brepocitinib’s Phase 2 study, the first positive placebo-controlled study in CS, which led to FDA Breakthrough Therapy Designation.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Phase 3 study (BEACON+) will be conducted as a Part B to the positive Phase 2 BEACON trial. BEACON+ will enroll approximately 140 patients with CS across approximately 70 sites globally. Patients will be randomized 3:2 between brepocitinib 45mg once daily and placebo. The primary endpoint is the proportion of patients achieving a 50% or greater reduction in the Cutaneous Sarcoidosis Activity and Morphology Instrument – Activity Score (CSAMI-A) at Week 16. In Phase 2, 77% of brepocitinib 45mg patients achieved this endpoint compared to 0% of placebo patients.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CS is an inflammatory granulomatous skin disease affecting approximately 40,000 adults in the United States. The condition disproportionately impacts Black Americans. Unlike many inflammatory skin diseases, inadequately treated cutaneous sarcoidosis can rapidly cause permanent scarring and destruction of bone, cartilage and hair follicles. Despite this significant unmet therapeutic need, there are currently no FDA-approved therapies for CS.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enrollment in Part 1 of the Phase 2b/3 study in lichen planopilaris (LPP) is progressing well. </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Immunovant</w:t>
      </w:r>
      <w:r>
        <w:rPr>
          <w:rFonts w:ascii="Times New Roman;serif" w:hAnsi="Times New Roman;serif"/>
          <w:b w:val="false"/>
          <w:color w:val="000000"/>
          <w:sz w:val="20"/>
        </w:rPr>
        <w:t xml:space="preserve">: All clinical development timelines remain on track for IMVT-1402 across announced indications, including potentially registrational trials in Graves’ disease (GD), myasthenia gravis (MG), chronic inflammatory demyelinating polyneuropathy (CIDP), difficult-to-treat rheumatoid arthritis (D2T RA) and Sjögren’s disease (SjD), and a proof-of-concept trial in cutaneous lupus erythematosus (CLE).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Pulmovant</w:t>
      </w:r>
      <w:r>
        <w:rPr>
          <w:rFonts w:ascii="Times New Roman;serif" w:hAnsi="Times New Roman;serif"/>
          <w:b w:val="false"/>
          <w:color w:val="000000"/>
          <w:sz w:val="20"/>
        </w:rPr>
        <w:t>: Phase 2 study of mosliciguat in pulmonary hypertension associated with interstitial lung disease (PH-ILD) remains on track.</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Genevant</w:t>
      </w:r>
      <w:r>
        <w:rPr>
          <w:rFonts w:ascii="Times New Roman;serif" w:hAnsi="Times New Roman;serif"/>
          <w:b w:val="false"/>
          <w:color w:val="000000"/>
          <w:sz w:val="20"/>
        </w:rPr>
        <w:t xml:space="preserve">: In July 2026, Genevant Sciences GmbH (Genevant) and Arbutus received $950 million from Moderna, the initial payment under the global $2.25 billion patent infringement settlement, and filed new international lawsuits against Pfizer and BioNTech.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Roivant</w:t>
      </w:r>
      <w:r>
        <w:rPr>
          <w:rFonts w:ascii="Times New Roman;serif" w:hAnsi="Times New Roman;serif"/>
          <w:b w:val="false"/>
          <w:color w:val="000000"/>
          <w:sz w:val="20"/>
        </w:rPr>
        <w:t xml:space="preserve">: Roivant reported consolidated cash, cash equivalents, restricted cash and marketable securities of $3.9 billion as of June 30, 2026, excluding the cash payment received from Moderna in July, supporting cash runway into profitability. For the three months ended June 30, 2026, Roivant repurchased 7.3 million common shares for an aggregate repurchase price of approximately $208.7 million.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Major Upcoming Milestones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Priovant</w:t>
      </w:r>
      <w:r>
        <w:rPr>
          <w:color w:val="000000"/>
        </w:rPr>
        <w:t xml:space="preserve"> </w:t>
      </w:r>
      <w:r>
        <w:rPr>
          <w:rFonts w:ascii="Times New Roman;serif" w:hAnsi="Times New Roman;serif"/>
          <w:b w:val="false"/>
          <w:color w:val="000000"/>
          <w:sz w:val="20"/>
        </w:rPr>
        <w:t xml:space="preserve">expects the commercial launch of brepocitinib in DM by the end of September 2026 and topline data from the Phase 3 study in NIU and Phase 3 study in CS in the second half of calendar year 2026 and calendar year 2028, respectively. Roivant continues to actively explore other indications for brepocitinib.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Immunovant</w:t>
      </w:r>
      <w:r>
        <w:rPr>
          <w:color w:val="000000"/>
        </w:rPr>
        <w:t xml:space="preserve"> </w:t>
      </w:r>
      <w:r>
        <w:rPr>
          <w:rFonts w:ascii="Times New Roman;serif" w:hAnsi="Times New Roman;serif"/>
          <w:b w:val="false"/>
          <w:color w:val="000000"/>
          <w:sz w:val="20"/>
        </w:rPr>
        <w:t xml:space="preserve">expects to report topline data from the proof-of-concept trial of IMVT-1402 in CLE and provide an update on the potentially registrational program of IMVT-1402 in D2T RA in the second half of calendar year 2026. In calendar year 2027, topline data are expected across potentially registrational trials of IMVT-1402 in GD and MG. In calendar year 2028, topline data are expected across potentially registrational trials of IMVT-1402 in CIDP and SjD.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Pulmovant</w:t>
      </w:r>
      <w:r>
        <w:rPr>
          <w:color w:val="000000"/>
        </w:rPr>
        <w:t xml:space="preserve"> </w:t>
      </w:r>
      <w:r>
        <w:rPr>
          <w:rFonts w:ascii="Times New Roman;serif" w:hAnsi="Times New Roman;serif"/>
          <w:b w:val="false"/>
          <w:color w:val="000000"/>
          <w:sz w:val="20"/>
        </w:rPr>
        <w:t>expects to report topline data from the ongoing Phase 2 trial of mosliciguat in PH-ILD in the second half of calendar year 2026.</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Genevant</w:t>
      </w:r>
      <w:r>
        <w:rPr>
          <w:color w:val="000000"/>
        </w:rPr>
        <w:t xml:space="preserve"> </w:t>
      </w:r>
      <w:r>
        <w:rPr>
          <w:rFonts w:ascii="Times New Roman;serif" w:hAnsi="Times New Roman;serif"/>
          <w:b w:val="false"/>
          <w:color w:val="000000"/>
          <w:sz w:val="20"/>
        </w:rPr>
        <w:t xml:space="preserve">LNP litigation continues to progress. An additional $1.3 billion payment under the Moderna settlement is contingent upon a resolution of Moderna's Section 1498 appeal favorable to Genevant and Arbutus. Separately, in July 2026 they filed three international lawsuits against Pfizer and BioNTech — one in Canada and two before the UPC — seeking to enforce patents protecting their innovative lipid nanoparticle technology. The actions seek relief across 20 European countries (including France, Germany, Italy and the Netherlands) which, together with the Canadian action, cover 21 jurisdictions in total. The discovery phase of the U.S. Pfizer/BioNTech case is ongoing.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Quarter Ended June 30, 2026 Financial Summary</w:t>
      </w:r>
    </w:p>
    <w:p>
      <w:pPr>
        <w:pStyle w:val="TextBody"/>
        <w:bidi w:val="0"/>
        <w:spacing w:lineRule="auto" w:line="288" w:before="120" w:after="200"/>
        <w:jc w:val="left"/>
        <w:rPr>
          <w:rFonts w:ascii="Times New Roman;serif" w:hAnsi="Times New Roman;serif"/>
          <w:b/>
          <w:i/>
          <w:color w:val="000000"/>
          <w:sz w:val="20"/>
        </w:rPr>
      </w:pPr>
      <w:r>
        <w:rPr>
          <w:rFonts w:ascii="Times New Roman;serif" w:hAnsi="Times New Roman;serif"/>
          <w:b/>
          <w:i/>
          <w:color w:val="000000"/>
          <w:sz w:val="20"/>
        </w:rPr>
        <w:t>Cash Position and Marketable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consolidated cash, cash equivalents, restricted cash and marketable securities of $3.9 billion.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increased by $49.1 million to $202.0 million for the three months ended June 30, 2026, compared to $152.9 million for the three months ended June 30, 2025. This increase was primarily driven by an increase in program-specific costs of $49.4 million and personnel-related expenses of $3.8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$49.4 million in program-specific costs was primarily driven by increases of $44.8 million related to the anti-FcRn franchise and $4.7 million related to mosliciguat, reflecting the progression of our programs. The increase of $3.8 million in personnel-related expenses was primarily driven by $4.1 million in employee bonuses related to the global settlement reached with Moderna in March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majority of share-based compensation and personnel-related expenses, which are unallocated internal costs, were related to the anti-FcRn franchise activities at Immunovant during the three months ended June 30, 2026 and 2025.</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Non-GAAP R&amp;D expenses were $192.9 million for the three months ended June 30, 2026, compared to $141.0 million for the three months ended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(G&amp;A) expenses increased by $31.5 million to $165.5 million for the three months ended June 30, 2026, compared to $134.0 million for the three months ended June 30, 2025. This increase was primarily due to an increase in personnel-related expense of $26.1 million, largely resulting from $18.8 million in employee bonuses related to the global settlement reached with Moderna in March 2026 and $6.3 million of employer payroll taxes associated with equity award activity.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Non-GAAP G&amp;A expenses were $90.7 million for the three months ended June 30, 2026, compared to $62.6 million for the three months ended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loss was $290.6 million for the three months ended June 30, 2026, compared to $273.9 million for the three months ended June 30, 2025. On a per common share basis, net loss was $0.26 and $0.33, respectively, for the three months ended June 30, 2026 and 2025. Non-GAAP net loss was $243.7 million for the three months ended June 30, 2026, compared to $170.1 million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ROIVANT SCIENCES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Balance Sheet Data</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6527" w:type="dxa"/>
        <w:jc w:val="left"/>
        <w:tblInd w:w="0" w:type="dxa"/>
        <w:tblLayout w:type="fixed"/>
        <w:tblCellMar>
          <w:top w:w="28" w:type="dxa"/>
          <w:left w:w="28" w:type="dxa"/>
          <w:bottom w:w="28" w:type="dxa"/>
          <w:right w:w="28" w:type="dxa"/>
        </w:tblCellMar>
      </w:tblPr>
      <w:tblGrid>
        <w:gridCol w:w="1239"/>
        <w:gridCol w:w="1087"/>
        <w:gridCol w:w="1094"/>
        <w:gridCol w:w="211"/>
        <w:gridCol w:w="976"/>
        <w:gridCol w:w="109"/>
        <w:gridCol w:w="109"/>
        <w:gridCol w:w="109"/>
        <w:gridCol w:w="109"/>
        <w:gridCol w:w="233"/>
        <w:gridCol w:w="1081"/>
        <w:gridCol w:w="170"/>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1,419,232 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2,872,601 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5,708,687 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5,292,412 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5,708,687 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ROIVANT SCIENCES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473"/>
        <w:gridCol w:w="1996"/>
        <w:gridCol w:w="1999"/>
        <w:gridCol w:w="237"/>
        <w:gridCol w:w="949"/>
        <w:gridCol w:w="109"/>
        <w:gridCol w:w="109"/>
        <w:gridCol w:w="109"/>
        <w:gridCol w:w="109"/>
        <w:gridCol w:w="237"/>
        <w:gridCol w:w="949"/>
        <w:gridCol w:w="109"/>
        <w:gridCol w:w="109"/>
        <w:gridCol w:w="109"/>
        <w:gridCol w:w="109"/>
        <w:gridCol w:w="493"/>
      </w:tblGrid>
      <w:tr>
        <w:trPr/>
        <w:tc>
          <w:tcPr>
            <w:tcW w:w="2473"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(includes $8,721 and $11,099 of share-based compensation expense for the three months ended June 30, 2026 and 2025,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(includes $74,621 and $71,079 of share-based compensation expense for the three months ended June 30, 2026 and 2025, respectively)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litigation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 instruments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Roivant Sciences Ltd.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share—basic and diluted</w:t>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 and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720,776,739 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680,286,922 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ROIVANT SCIENCES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7987" w:type="dxa"/>
        <w:jc w:val="left"/>
        <w:tblInd w:w="0" w:type="dxa"/>
        <w:tblLayout w:type="fixed"/>
        <w:tblCellMar>
          <w:top w:w="28" w:type="dxa"/>
          <w:left w:w="28" w:type="dxa"/>
          <w:bottom w:w="28" w:type="dxa"/>
          <w:right w:w="28" w:type="dxa"/>
        </w:tblCellMar>
      </w:tblPr>
      <w:tblGrid>
        <w:gridCol w:w="1417"/>
        <w:gridCol w:w="1237"/>
        <w:gridCol w:w="1260"/>
        <w:gridCol w:w="165"/>
        <w:gridCol w:w="165"/>
        <w:gridCol w:w="166"/>
        <w:gridCol w:w="109"/>
        <w:gridCol w:w="109"/>
        <w:gridCol w:w="109"/>
        <w:gridCol w:w="211"/>
        <w:gridCol w:w="901"/>
        <w:gridCol w:w="109"/>
        <w:gridCol w:w="109"/>
        <w:gridCol w:w="109"/>
        <w:gridCol w:w="109"/>
        <w:gridCol w:w="211"/>
        <w:gridCol w:w="901"/>
        <w:gridCol w:w="109"/>
        <w:gridCol w:w="109"/>
        <w:gridCol w:w="109"/>
        <w:gridCol w:w="109"/>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litigation settlement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investments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 instruments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loss (Non-GAAP)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(243,693)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(170,124)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963" w:type="dxa"/>
        <w:jc w:val="left"/>
        <w:tblInd w:w="0" w:type="dxa"/>
        <w:tblLayout w:type="fixed"/>
        <w:tblCellMar>
          <w:top w:w="28" w:type="dxa"/>
          <w:left w:w="28" w:type="dxa"/>
          <w:bottom w:w="28" w:type="dxa"/>
          <w:right w:w="28" w:type="dxa"/>
        </w:tblCellMar>
      </w:tblPr>
      <w:tblGrid>
        <w:gridCol w:w="1814"/>
        <w:gridCol w:w="1594"/>
        <w:gridCol w:w="1602"/>
        <w:gridCol w:w="165"/>
        <w:gridCol w:w="165"/>
        <w:gridCol w:w="166"/>
        <w:gridCol w:w="109"/>
        <w:gridCol w:w="109"/>
        <w:gridCol w:w="109"/>
        <w:gridCol w:w="211"/>
        <w:gridCol w:w="841"/>
        <w:gridCol w:w="109"/>
        <w:gridCol w:w="109"/>
        <w:gridCol w:w="109"/>
        <w:gridCol w:w="109"/>
        <w:gridCol w:w="211"/>
        <w:gridCol w:w="841"/>
        <w:gridCol w:w="109"/>
        <w:gridCol w:w="109"/>
        <w:gridCol w:w="109"/>
        <w:gridCol w:w="109"/>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202,016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152,919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research and development expenses (Non-GAAP)</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192,949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141,034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037" w:type="dxa"/>
        <w:jc w:val="left"/>
        <w:tblInd w:w="0" w:type="dxa"/>
        <w:tblLayout w:type="fixed"/>
        <w:tblCellMar>
          <w:top w:w="28" w:type="dxa"/>
          <w:left w:w="28" w:type="dxa"/>
          <w:bottom w:w="28" w:type="dxa"/>
          <w:right w:w="28" w:type="dxa"/>
        </w:tblCellMar>
      </w:tblPr>
      <w:tblGrid>
        <w:gridCol w:w="1842"/>
        <w:gridCol w:w="1619"/>
        <w:gridCol w:w="1623"/>
        <w:gridCol w:w="165"/>
        <w:gridCol w:w="165"/>
        <w:gridCol w:w="166"/>
        <w:gridCol w:w="109"/>
        <w:gridCol w:w="109"/>
        <w:gridCol w:w="109"/>
        <w:gridCol w:w="211"/>
        <w:gridCol w:w="841"/>
        <w:gridCol w:w="109"/>
        <w:gridCol w:w="109"/>
        <w:gridCol w:w="109"/>
        <w:gridCol w:w="109"/>
        <w:gridCol w:w="211"/>
        <w:gridCol w:w="841"/>
        <w:gridCol w:w="109"/>
        <w:gridCol w:w="109"/>
        <w:gridCol w:w="109"/>
        <w:gridCol w:w="109"/>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165,527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134,019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general and administrative expenses (Non-GAAP)</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90,652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62,628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Notes to non-GAAP financial measures: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non-cash share-based compensation expense.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non-cash depreciation and amortization expense.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(3)As a result of the global settlement with Moderna entered in March 2026, the Company recognized a gain for Genevant’s expected portion of a non-contingent, non-creditable and non-refundable payment to be made by Moderna to Genevant and Arbutus during the year ended March 31, 2026. The Company recognized an additional gain during the three months ended June 30, 2026, reflecting the final allocation to Genevant once litigation costs incurred were finalized.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(4)Represents the unrealized (gain) loss on equity investments in unconsolidated entities that are accounted for at fair value with changes in value reported in earnings.</w:t>
      </w: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(5)Represents the change in fair value of liability instruments, which is non-cash and primarily includes the loss relating to the measurement and recognition of fair value on a recurring basis of certain liabilities.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(6)Represents the estimated tax effect of the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Investor Conference Call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Roivant will host a live conference call and webcast at 8:00 a.m. ET on Thursday, August 6, 2026, to report its financial results for the first quarter ended June 30, 2026, and provide a business update.</w:t>
      </w:r>
    </w:p>
    <w:p>
      <w:pPr>
        <w:pStyle w:val="TextBody"/>
        <w:bidi w:val="0"/>
        <w:spacing w:lineRule="auto" w:line="288" w:before="0" w:after="200"/>
        <w:jc w:val="left"/>
        <w:rPr/>
      </w:pPr>
      <w:r>
        <w:rPr>
          <w:rFonts w:ascii="Times New Roman;serif" w:hAnsi="Times New Roman;serif"/>
          <w:b w:val="false"/>
          <w:color w:val="000000"/>
          <w:sz w:val="20"/>
        </w:rPr>
        <w:t>To access the conference call by phone, please register online using this</w:t>
      </w:r>
      <w:r>
        <w:rPr>
          <w:color w:val="3051F2"/>
        </w:rPr>
        <w:t xml:space="preserve"> </w:t>
      </w:r>
      <w:r>
        <w:rPr>
          <w:rFonts w:ascii="Times New Roman;serif" w:hAnsi="Times New Roman;serif"/>
          <w:b w:val="false"/>
          <w:color w:val="3051F2"/>
          <w:sz w:val="20"/>
          <w:u w:val="single"/>
        </w:rPr>
        <w:t>registration link</w:t>
      </w:r>
      <w:r>
        <w:rPr>
          <w:rFonts w:ascii="Times New Roman;serif" w:hAnsi="Times New Roman;serif"/>
          <w:b w:val="false"/>
          <w:color w:val="000000"/>
          <w:sz w:val="20"/>
        </w:rPr>
        <w:t>. The presentation and webcast details will also be available under “Events &amp; Presentations” in the Investors section of the Roivant website at https://investor.roivant.com/news-events/events. The archived webcast will be available on Roivant’s website after the conference call.</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About Roivant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Roivant (Nasdaq: ROIV) is a biopharmaceutical company that aims to improve the lives of patients by accelerating the development and commercialization of medicines that matter. Roivant’s pipeline includes brepocitinib, a potent small molecule inhibitor of JAK1 and TYK2 currently under review at the FDA for the treatment of dermatomyositis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For more information, visit www.roivant.com.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Roivant 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candidates, the availability and success of topline results from our ongoing clinical trials, any commercial potential of our product candidates following applicable regulatory approvals and the outcome of any pending litigation.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our filings with the U.S. Securities and Exchange Commission. 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Keyur Parekh</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keyur.parekh@roivant.com</w:t>
      </w:r>
    </w:p>
    <w:p>
      <w:pPr>
        <w:pStyle w:val="TextBody"/>
        <w:bidi w:val="0"/>
        <w:spacing w:lineRule="auto" w:line="288"/>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Media</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Stephanie Lee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stephanie.lee@roivant.com</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3169</Words>
  <Characters>18325</Characters>
  <CharactersWithSpaces>21271</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