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$0.0000000341740141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G76279101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G76279101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 Investment Advisers (UK)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62,057,537.00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G76279101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SoftBank Vision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JERSEY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62,057,537.00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G76279101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Holdings (UK)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62,057,537.00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G76279101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Investments (UK) Limited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62,057,537.00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62,057,537.00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20"/>
          </w:cols>
          <w:pgMar w:left="360" w:top="126" w:right="3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7th Floor, 50 Broadway, London, United Kingdom, SW1H 0DB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SB Investment Advisers (UK) Limited ("SBIA UK") SoftBank Vision Fund L.P. SVF Holdings (UK) LLP SVF Investments (UK) Limited</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for each of SBIA UK, SVF Holdings (UK) LLP and SVF Investments (UK) Limited is 69 Grosvenor Street, London W1K 3JP, United Kingdom. The principal business address for SoftBank Vision Fund L.P. is Aztec Group House, IFC 6, The Esplanade, St Helier, Jersey JE4 0QH.</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SBIA UK, SVF Holdings (UK) LLP and SVF Investments (UK) Limited are organized under the laws of England and Wales. SoftBank Vision Fund L.P. is organized under the laws of Jersey.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par value $0.0000000341740141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G76279101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Shares of the Issuer as of December 31, 2024, based upon 727,949,744 Common Shares outstanding as of November 8, 2024, as disclosed in the Issuer's Quarterly Report on Form 10-Q filed with the Securities and Exchange Commission on November 12,</w:t>
      </w:r>
    </w:p>
    <w:p>
      <w:pPr>
        <w:spacing w:after="0" w:line="2"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2024. SVF Investments (UK) Limited is the record holder of the securities reported herein. SoftBank Vision Fund L.P. is the managing member of SVF Holdings (UK) LLP, which is the sole owner of SVF Investments (UK) Limited. SBIA UK has been appointed as alternative investment fund manager ("AIFM") of SoftBank Vision Fund L.P. SBIA UK is authorized and regulated by the UK Financial Conduct Authority and is exclusively responsible for making all decisions related to the acquisition, structuring, financing and disposal of SoftBank Vision Fund L.P.'s investments. As a result of these relationships, each of the Reporting Persons may be deemed to share beneficial ownership of the securities reported herein.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62,057,537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62,057,537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SB Investment Advisers (UK) Limited</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Amanda Sanchez-Barry</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Amanda Sanchez-Barry, General Counsel</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SoftBank Vision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SB Investment Advisers (UK) Limited,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 /s/ Amanda Sanchez-Barry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Amanda Sanchez-Barry, General Counsel</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SVF Holdings (UK) LLP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SoftBank Vision Fund L.P., its Managing</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Member, By: SB Investment Advisers (UK)</w:t>
      </w:r>
    </w:p>
    <w:p>
      <w:pPr>
        <w:ind w:left="6740"/>
        <w:spacing w:after="0"/>
        <w:rPr>
          <w:sz w:val="20"/>
          <w:szCs w:val="20"/>
          <w:color w:val="auto"/>
        </w:rPr>
      </w:pPr>
      <w:r>
        <w:rPr>
          <w:rFonts w:ascii="Times New Roman" w:cs="Times New Roman" w:eastAsia="Times New Roman" w:hAnsi="Times New Roman"/>
          <w:sz w:val="22"/>
          <w:szCs w:val="22"/>
          <w:color w:val="auto"/>
        </w:rPr>
        <w:t>Limited, /s/ Amanda Sanchez-Barry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Amanda Sanchez-Barry, General Counsel</w:t>
      </w:r>
    </w:p>
    <w:p>
      <w:pPr>
        <w:sectPr>
          <w:pgSz w:w="11900" w:h="16838" w:orient="portrait"/>
          <w:cols w:equalWidth="0" w:num="1">
            <w:col w:w="11140"/>
          </w:cols>
          <w:pgMar w:left="360" w:top="111" w:right="399" w:bottom="1440" w:gutter="0" w:footer="0" w:header="0"/>
        </w:sectPr>
      </w:pP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SVF Investments (UK) Limited</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02/14/2025</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SVF Holdings (UK) LLP, its Sole Owner, By:</w:t>
      </w:r>
    </w:p>
    <w:p>
      <w:pPr>
        <w:spacing w:after="0" w:line="26"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22"/>
          <w:szCs w:val="22"/>
          <w:color w:val="auto"/>
        </w:rPr>
        <w:t>SoftBank Vision Fund L.P., By: SB Investment Advisers (UK) Limited, /s/ Amanda Sanchez-Barry</w:t>
      </w:r>
    </w:p>
    <w:p>
      <w:pPr>
        <w:spacing w:after="0" w:line="16" w:lineRule="exact"/>
        <w:rPr>
          <w:sz w:val="20"/>
          <w:szCs w:val="20"/>
          <w:color w:val="auto"/>
        </w:rPr>
      </w:pPr>
    </w:p>
    <w:p>
      <w:pPr>
        <w:sectPr>
          <w:pgSz w:w="11900" w:h="16838" w:orient="portrait"/>
          <w:cols w:equalWidth="0" w:num="2">
            <w:col w:w="6540" w:space="200"/>
            <w:col w:w="4400"/>
          </w:cols>
          <w:pgMar w:left="360" w:top="111" w:right="399" w:bottom="144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Name/Title: Amanda Sanchez-Barry, General Counsel</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7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(previously filed).</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2025-02-14T09:03:26Z</dcterms:created>
  <dcterms:modified xsi:type="dcterms:W3CDTF">2025-02-14T09:03:26Z</dcterms:modified>
</cp:coreProperties>
</file>