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319405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Roivant Sciences Ltd.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par value $0.000000007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G76279101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Sumitomo Chemical Co.,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0"/>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Japan</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86,367,360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34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86,367,360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86,367,360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12.48% (1)</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calculation is based on 692,012,183 Common Shares, $0.000000007 par value, of the Issuer (as defined below), issued and outstanding as of December 1, 2021, as disclosed by the Issuer in its Prospectus dated January 4, 2022, as filed with the Securities and Exchange Commission on January 4, 2022.</w:t>
      </w:r>
    </w:p>
    <w:p>
      <w:pPr>
        <w:sectPr>
          <w:pgSz w:w="11900" w:h="16838" w:orient="portrait"/>
          <w:cols w:equalWidth="0" w:num="1">
            <w:col w:w="10924"/>
          </w:cols>
          <w:pgMar w:left="436" w:top="268" w:right="5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Sumitomo Dainippon Pharma Co.,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8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9"/>
              </w:rPr>
              <w:t xml:space="preserve">(a) </w:t>
            </w:r>
            <w:r>
              <w:rPr>
                <w:rFonts w:ascii="MS PGothic" w:cs="MS PGothic" w:eastAsia="MS PGothic" w:hAnsi="MS PGothic"/>
                <w:sz w:val="18"/>
                <w:szCs w:val="18"/>
                <w:color w:val="auto"/>
                <w:w w:val="99"/>
              </w:rPr>
              <w:t>☐</w:t>
            </w:r>
            <w:r>
              <w:rPr>
                <w:rFonts w:ascii="Arial" w:cs="Arial" w:eastAsia="Arial" w:hAnsi="Arial"/>
                <w:sz w:val="18"/>
                <w:szCs w:val="18"/>
                <w:color w:val="auto"/>
                <w:w w:val="99"/>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Japan</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86,367,360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214"/>
              <w:spacing w:after="0" w:line="157" w:lineRule="exact"/>
              <w:rPr>
                <w:sz w:val="20"/>
                <w:szCs w:val="20"/>
                <w:color w:val="auto"/>
              </w:rPr>
            </w:pPr>
            <w:r>
              <w:rPr>
                <w:rFonts w:ascii="Arial" w:cs="Arial" w:eastAsia="Arial" w:hAnsi="Arial"/>
                <w:sz w:val="18"/>
                <w:szCs w:val="18"/>
                <w:color w:val="auto"/>
                <w:w w:val="94"/>
              </w:rPr>
              <w:t>SHARES</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0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9"/>
              </w:rPr>
              <w:t>OWNED BY</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EACH</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2"/>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86,367,360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right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19"/>
                <w:szCs w:val="19"/>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86,367,360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12.48% (1)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calculation is based on 692,012,183 Common Shares, $0.000000007 par value, of the Issuer (as defined below), issued and outstanding as of December 1, 2021, as disclosed by the Issuer in its Prospectus dated January 4, 2022, as filed with the Securities and Exchange Commission on January 4, 2022.</w:t>
      </w:r>
    </w:p>
    <w:p>
      <w:pPr>
        <w:sectPr>
          <w:pgSz w:w="11900" w:h="16838" w:orient="portrait"/>
          <w:cols w:equalWidth="0" w:num="1">
            <w:col w:w="10924"/>
          </w:cols>
          <w:pgMar w:left="436" w:top="268" w:right="53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Roivant Sciences Ltd.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Roivant Sciences Ltd.</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Suite 1,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11-12 St. James’s Square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London SW1Y 4LB</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Kingdom</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Sumitomo Chemical Co., Ltd. (“Sumitomo Chemical”).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Sumitomo Dainippon Pharma Co., Ltd. (“Sumitomo Dainippon”).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a “Reporting Person,” and collectively, the “Reporting Persons”).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Sumitomo Chemical: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 Nihonbashi 2-chome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Chuo-ku, Tokyo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103-6020, Japan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Sumitomo Dainippon: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6-8 Doshomachi 2-chome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Chuo-ku, Osaka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541-0045, Japan</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Row 4 of the cover page for each Reporting Person, respectively.</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Shares, par value $0.000000007 per share of the Issuer (“Common Shares”).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G76279101</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80" w:hanging="24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See Row 9 of the cover pages for each Reporting Person, respectively.</w:t>
      </w:r>
    </w:p>
    <w:p>
      <w:pPr>
        <w:spacing w:after="0" w:line="225" w:lineRule="exact"/>
        <w:rPr>
          <w:rFonts w:ascii="Arial" w:cs="Arial" w:eastAsia="Arial" w:hAnsi="Arial"/>
          <w:sz w:val="18"/>
          <w:szCs w:val="18"/>
          <w:color w:val="auto"/>
        </w:rPr>
      </w:pPr>
    </w:p>
    <w:p>
      <w:pPr>
        <w:ind w:firstLine="436"/>
        <w:spacing w:after="0" w:line="263"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See Row 11 of the cover pages for each Reporting Person, respectively. Calculated using 692,012,183 Common Shares issued and outstanding as of December 1, 2021, as disclosed by the Issuer in its Prospectus dated January 4, 2022, as filed with the Securities and Exchange Commission on January 4, 2022.</w:t>
      </w:r>
    </w:p>
    <w:p>
      <w:pPr>
        <w:sectPr>
          <w:pgSz w:w="11900" w:h="16838" w:orient="portrait"/>
          <w:cols w:equalWidth="0" w:num="1">
            <w:col w:w="10980"/>
          </w:cols>
          <w:pgMar w:left="440" w:top="270" w:right="479" w:bottom="1440" w:gutter="0" w:footer="0" w:header="0"/>
        </w:sectPr>
      </w:pPr>
    </w:p>
    <w:bookmarkStart w:id="4" w:name="page5"/>
    <w:bookmarkEnd w:id="4"/>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Row 5 of the cover pages for each Reporting Person, respectively.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6 of the cover pages for each Reporting Person, respectively.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the cover pages for each Reporting Person, respectively.</w:t>
      </w:r>
    </w:p>
    <w:p>
      <w:pPr>
        <w:spacing w:after="0" w:line="153" w:lineRule="exact"/>
        <w:rPr>
          <w:rFonts w:ascii="Arial" w:cs="Arial" w:eastAsia="Arial" w:hAnsi="Arial"/>
          <w:sz w:val="16"/>
          <w:szCs w:val="16"/>
          <w:color w:val="auto"/>
        </w:rPr>
      </w:pPr>
    </w:p>
    <w:p>
      <w:pPr>
        <w:ind w:left="1740" w:hanging="543"/>
        <w:spacing w:after="0"/>
        <w:tabs>
          <w:tab w:leader="none" w:pos="1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the cover pages for each Reporting Person, respectively.</w:t>
      </w:r>
    </w:p>
    <w:p>
      <w:pPr>
        <w:spacing w:after="0" w:line="140"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Sumitomo Dainippon directly owns the Common Shares. Sumitomo Dainippon is a 51.78%-owned subsidiary of Sumitomo Chemical. Sumitomo Chemical may be deemed to indirectly beneficially own (as that term is defined under Rule 13d-3 under the Securities Exchange Act of 1934, as amended) the Common Shares that Sumitomo Dainippon owns. Sumitomo Chemical disclaims beneficial ownership of such Common Shares except to the extent of its pecuniary interest therein.</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0940"/>
          </w:cols>
          <w:pgMar w:left="440" w:top="274" w:right="51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Sumitomo Chemical Co.,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Takeo Kitayama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Takeo Kitayama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Associate Officer, General Manager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Corporate Planning Office</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Sumitomo Dainippon Pharma Co.,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Tsutomu Nakagawa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Tsutomu Nakagawa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Global Corporate Strategy</w:t>
      </w:r>
    </w:p>
    <w:p>
      <w:pPr>
        <w:sectPr>
          <w:pgSz w:w="11900" w:h="16838" w:orient="portrait"/>
          <w:cols w:equalWidth="0" w:num="1">
            <w:col w:w="10460"/>
          </w:cols>
          <w:pgMar w:left="440" w:top="274" w:right="999" w:bottom="1440" w:gutter="0" w:footer="0" w:header="0"/>
        </w:sectPr>
      </w:pPr>
    </w:p>
    <w:bookmarkStart w:id="6" w:name="page7"/>
    <w:bookmarkEnd w:id="6"/>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Number</w:t>
            </w:r>
          </w:p>
        </w:tc>
        <w:tc>
          <w:tcPr>
            <w:tcW w:w="9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1400" w:type="dxa"/>
            <w:vAlign w:val="bottom"/>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600" w:type="dxa"/>
            <w:vAlign w:val="bottom"/>
            <w:gridSpan w:val="3"/>
          </w:tcPr>
          <w:p>
            <w:pPr>
              <w:ind w:left="920"/>
              <w:spacing w:after="0"/>
              <w:rPr>
                <w:sz w:val="20"/>
                <w:szCs w:val="20"/>
                <w:color w:val="auto"/>
              </w:rPr>
            </w:pPr>
            <w:r>
              <w:rPr>
                <w:rFonts w:ascii="Arial" w:cs="Arial" w:eastAsia="Arial" w:hAnsi="Arial"/>
                <w:sz w:val="18"/>
                <w:szCs w:val="18"/>
                <w:color w:val="auto"/>
                <w:w w:val="92"/>
              </w:rPr>
              <w:t>Joint Filing Agreement</w:t>
            </w:r>
          </w:p>
        </w:tc>
      </w:tr>
    </w:tbl>
    <w:p>
      <w:pPr>
        <w:sectPr>
          <w:pgSz w:w="11900" w:h="16838" w:orient="portrait"/>
          <w:cols w:equalWidth="0" w:num="1">
            <w:col w:w="10019"/>
          </w:cols>
          <w:pgMar w:left="4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Shares, par value $0.000000007 per share, of Roivant Sciences Ltd. (this “Agreement”), is being filed, and all amendments thereto will be filed,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Sumitomo Chemical Co.,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Takeo Kitayama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Takeo Kitayama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Associate Officer, General Manager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Corporate Planning Office</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Sumitomo Dainippon Pharma Co.,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Tsutomu Nakagawa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Tsutomu Nakagawa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Global Corporate Strategy</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2022-02-01T15:14:08Z</dcterms:created>
  <dcterms:modified xsi:type="dcterms:W3CDTF">2022-02-01T15:14:08Z</dcterms:modified>
</cp:coreProperties>
</file>