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Roivant Sciences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44,317,733.00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49,390,771.00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49,473,835.00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 Investment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43,178,724.00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48,260,685.00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48,260,685.00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Roivant Sciences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7TH FLOOR, 50 BROADWAY, LONDON, X0, SW1H 0DB</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880" w:firstLine="6"/>
        <w:spacing w:after="0" w:line="309" w:lineRule="auto"/>
        <w:tabs>
          <w:tab w:leader="none" w:pos="22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Morgan Stanley 2: Morgan Stanley Investment Management Inc. Address or principal business office or, if none, residence:</w:t>
      </w:r>
    </w:p>
    <w:p>
      <w:pPr>
        <w:spacing w:after="0" w:line="132" w:lineRule="exact"/>
        <w:rPr>
          <w:sz w:val="20"/>
          <w:szCs w:val="20"/>
          <w:color w:val="auto"/>
        </w:rPr>
      </w:pPr>
    </w:p>
    <w:p>
      <w:pPr>
        <w:ind w:right="2460" w:firstLine="6"/>
        <w:spacing w:after="0" w:line="309" w:lineRule="auto"/>
        <w:tabs>
          <w:tab w:leader="none" w:pos="22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1585 Broadway, New York, NY 10036 ;2: 1585 Broadway New York, NY 10036 Citizenship:</w:t>
      </w:r>
    </w:p>
    <w:p>
      <w:pPr>
        <w:spacing w:after="0" w:line="132" w:lineRule="exact"/>
        <w:rPr>
          <w:sz w:val="20"/>
          <w:szCs w:val="20"/>
          <w:color w:val="auto"/>
        </w:rPr>
      </w:pPr>
    </w:p>
    <w:p>
      <w:pPr>
        <w:ind w:right="7440" w:firstLine="6"/>
        <w:spacing w:after="0" w:line="335" w:lineRule="auto"/>
        <w:tabs>
          <w:tab w:leader="none" w:pos="222"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2: Delaware Title of class of securities: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6.9 %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8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9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6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Morgan Stanley</w:t>
            </w:r>
          </w:p>
        </w:tc>
        <w:tc>
          <w:tcPr>
            <w:tcW w:w="10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60" w:type="dxa"/>
            <w:vAlign w:val="bottom"/>
          </w:tcPr>
          <w:p>
            <w:pPr>
              <w:ind w:left="4620"/>
              <w:spacing w:after="0"/>
              <w:rPr>
                <w:sz w:val="20"/>
                <w:szCs w:val="20"/>
                <w:color w:val="auto"/>
              </w:rPr>
            </w:pPr>
            <w:r>
              <w:rPr>
                <w:rFonts w:ascii="Times New Roman" w:cs="Times New Roman" w:eastAsia="Times New Roman" w:hAnsi="Times New Roman"/>
                <w:sz w:val="22"/>
                <w:szCs w:val="22"/>
                <w:color w:val="auto"/>
              </w:rPr>
              <w:t>Signature:</w:t>
            </w:r>
          </w:p>
        </w:tc>
        <w:tc>
          <w:tcPr>
            <w:tcW w:w="54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Claire Gordon</w:t>
            </w:r>
          </w:p>
        </w:tc>
        <w:tc>
          <w:tcPr>
            <w:tcW w:w="0" w:type="dxa"/>
            <w:vAlign w:val="bottom"/>
          </w:tcPr>
          <w:p>
            <w:pPr>
              <w:spacing w:after="0"/>
              <w:rPr>
                <w:sz w:val="1"/>
                <w:szCs w:val="1"/>
                <w:color w:val="auto"/>
              </w:rPr>
            </w:pPr>
          </w:p>
        </w:tc>
      </w:tr>
      <w:tr>
        <w:trPr>
          <w:trHeight w:val="297"/>
        </w:trPr>
        <w:tc>
          <w:tcPr>
            <w:tcW w:w="11100" w:type="dxa"/>
            <w:vAlign w:val="bottom"/>
            <w:gridSpan w:val="3"/>
          </w:tcPr>
          <w:p>
            <w:pPr>
              <w:ind w:left="4620"/>
              <w:spacing w:after="0"/>
              <w:rPr>
                <w:sz w:val="20"/>
                <w:szCs w:val="20"/>
                <w:color w:val="auto"/>
              </w:rPr>
            </w:pPr>
            <w:r>
              <w:rPr>
                <w:rFonts w:ascii="Times New Roman" w:cs="Times New Roman" w:eastAsia="Times New Roman" w:hAnsi="Times New Roman"/>
                <w:sz w:val="22"/>
                <w:szCs w:val="22"/>
                <w:color w:val="auto"/>
              </w:rPr>
              <w:t>Name/Title: Authorized Signatory, Morgan Stanley</w:t>
            </w:r>
          </w:p>
        </w:tc>
        <w:tc>
          <w:tcPr>
            <w:tcW w:w="0" w:type="dxa"/>
            <w:vAlign w:val="bottom"/>
          </w:tcPr>
          <w:p>
            <w:pPr>
              <w:spacing w:after="0"/>
              <w:rPr>
                <w:sz w:val="1"/>
                <w:szCs w:val="1"/>
                <w:color w:val="auto"/>
              </w:rPr>
            </w:pPr>
          </w:p>
        </w:tc>
      </w:tr>
      <w:tr>
        <w:trPr>
          <w:trHeight w:val="297"/>
        </w:trPr>
        <w:tc>
          <w:tcPr>
            <w:tcW w:w="5660" w:type="dxa"/>
            <w:vAlign w:val="bottom"/>
          </w:tcPr>
          <w:p>
            <w:pPr>
              <w:ind w:left="4620"/>
              <w:spacing w:after="0"/>
              <w:rPr>
                <w:sz w:val="20"/>
                <w:szCs w:val="20"/>
                <w:color w:val="auto"/>
              </w:rPr>
            </w:pPr>
            <w:r>
              <w:rPr>
                <w:rFonts w:ascii="Times New Roman" w:cs="Times New Roman" w:eastAsia="Times New Roman" w:hAnsi="Times New Roman"/>
                <w:sz w:val="22"/>
                <w:szCs w:val="22"/>
                <w:color w:val="auto"/>
              </w:rPr>
              <w:t>Date:</w:t>
            </w:r>
          </w:p>
        </w:tc>
        <w:tc>
          <w:tcPr>
            <w:tcW w:w="106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7"/>
              </w:rPr>
              <w:t>05/12/2026</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100" w:type="dxa"/>
            <w:vAlign w:val="bottom"/>
            <w:gridSpan w:val="3"/>
          </w:tcPr>
          <w:p>
            <w:pPr>
              <w:ind w:left="4160"/>
              <w:spacing w:after="0"/>
              <w:rPr>
                <w:sz w:val="20"/>
                <w:szCs w:val="20"/>
                <w:color w:val="auto"/>
              </w:rPr>
            </w:pPr>
            <w:r>
              <w:rPr>
                <w:rFonts w:ascii="Times New Roman" w:cs="Times New Roman" w:eastAsia="Times New Roman" w:hAnsi="Times New Roman"/>
                <w:sz w:val="22"/>
                <w:szCs w:val="22"/>
                <w:color w:val="auto"/>
              </w:rPr>
              <w:t>Morgan Stanley Investment Management Inc.</w:t>
            </w:r>
          </w:p>
        </w:tc>
        <w:tc>
          <w:tcPr>
            <w:tcW w:w="0" w:type="dxa"/>
            <w:vAlign w:val="bottom"/>
          </w:tcPr>
          <w:p>
            <w:pPr>
              <w:spacing w:after="0"/>
              <w:rPr>
                <w:sz w:val="1"/>
                <w:szCs w:val="1"/>
                <w:color w:val="auto"/>
              </w:rPr>
            </w:pPr>
          </w:p>
        </w:tc>
      </w:tr>
      <w:tr>
        <w:trPr>
          <w:trHeight w:val="405"/>
        </w:trPr>
        <w:tc>
          <w:tcPr>
            <w:tcW w:w="566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Deidre A. Downes</w:t>
            </w:r>
          </w:p>
        </w:tc>
        <w:tc>
          <w:tcPr>
            <w:tcW w:w="0" w:type="dxa"/>
            <w:vAlign w:val="bottom"/>
          </w:tcPr>
          <w:p>
            <w:pPr>
              <w:spacing w:after="0"/>
              <w:rPr>
                <w:sz w:val="1"/>
                <w:szCs w:val="1"/>
                <w:color w:val="auto"/>
              </w:rPr>
            </w:pPr>
          </w:p>
        </w:tc>
      </w:tr>
      <w:tr>
        <w:trPr>
          <w:trHeight w:val="258"/>
        </w:trPr>
        <w:tc>
          <w:tcPr>
            <w:tcW w:w="5660" w:type="dxa"/>
            <w:vAlign w:val="bottom"/>
          </w:tcPr>
          <w:p>
            <w:pPr>
              <w:spacing w:after="0"/>
              <w:rPr>
                <w:sz w:val="22"/>
                <w:szCs w:val="2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Name/Title:</w:t>
            </w: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Authorized Signatory, Morgan Stanley Investment</w:t>
            </w:r>
          </w:p>
        </w:tc>
        <w:tc>
          <w:tcPr>
            <w:tcW w:w="0" w:type="dxa"/>
            <w:vAlign w:val="bottom"/>
          </w:tcPr>
          <w:p>
            <w:pPr>
              <w:spacing w:after="0"/>
              <w:rPr>
                <w:sz w:val="1"/>
                <w:szCs w:val="1"/>
                <w:color w:val="auto"/>
              </w:rPr>
            </w:pPr>
          </w:p>
        </w:tc>
      </w:tr>
      <w:tr>
        <w:trPr>
          <w:trHeight w:val="282"/>
        </w:trPr>
        <w:tc>
          <w:tcPr>
            <w:tcW w:w="56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Management Inc.</w:t>
            </w:r>
          </w:p>
        </w:tc>
        <w:tc>
          <w:tcPr>
            <w:tcW w:w="0" w:type="dxa"/>
            <w:vAlign w:val="bottom"/>
          </w:tcPr>
          <w:p>
            <w:pPr>
              <w:spacing w:after="0"/>
              <w:rPr>
                <w:sz w:val="1"/>
                <w:szCs w:val="1"/>
                <w:color w:val="auto"/>
              </w:rPr>
            </w:pPr>
          </w:p>
        </w:tc>
      </w:tr>
      <w:tr>
        <w:trPr>
          <w:trHeight w:val="297"/>
        </w:trPr>
        <w:tc>
          <w:tcPr>
            <w:tcW w:w="566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05/12/2026</w:t>
            </w:r>
          </w:p>
        </w:tc>
        <w:tc>
          <w:tcPr>
            <w:tcW w:w="0" w:type="dxa"/>
            <w:vAlign w:val="bottom"/>
          </w:tcPr>
          <w:p>
            <w:pPr>
              <w:spacing w:after="0"/>
              <w:rPr>
                <w:sz w:val="1"/>
                <w:szCs w:val="1"/>
                <w:color w:val="auto"/>
              </w:rPr>
            </w:pPr>
          </w:p>
        </w:tc>
      </w:tr>
      <w:tr>
        <w:trPr>
          <w:trHeight w:val="364"/>
        </w:trPr>
        <w:tc>
          <w:tcPr>
            <w:tcW w:w="6720" w:type="dxa"/>
            <w:vAlign w:val="bottom"/>
            <w:gridSpan w:val="2"/>
          </w:tcPr>
          <w:p>
            <w:pPr>
              <w:ind w:left="4620"/>
              <w:spacing w:after="0"/>
              <w:rPr>
                <w:sz w:val="20"/>
                <w:szCs w:val="20"/>
                <w:color w:val="auto"/>
              </w:rPr>
            </w:pPr>
            <w:r>
              <w:rPr>
                <w:rFonts w:ascii="Times New Roman" w:cs="Times New Roman" w:eastAsia="Times New Roman" w:hAnsi="Times New Roman"/>
                <w:sz w:val="22"/>
                <w:szCs w:val="22"/>
                <w:b w:val="1"/>
                <w:bCs w:val="1"/>
                <w:color w:val="auto"/>
              </w:rPr>
              <w:t>Exhibit Information</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5"/>
        </w:trPr>
        <w:tc>
          <w:tcPr>
            <w:tcW w:w="5660" w:type="dxa"/>
            <w:vAlign w:val="bottom"/>
          </w:tcPr>
          <w:p>
            <w:pPr>
              <w:spacing w:after="0"/>
              <w:rPr>
                <w:sz w:val="20"/>
                <w:szCs w:val="20"/>
                <w:color w:val="auto"/>
              </w:rPr>
            </w:pPr>
            <w:r>
              <w:rPr>
                <w:rFonts w:ascii="Times New Roman" w:cs="Times New Roman" w:eastAsia="Times New Roman" w:hAnsi="Times New Roman"/>
                <w:sz w:val="22"/>
                <w:szCs w:val="22"/>
                <w:color w:val="auto"/>
                <w:w w:val="87"/>
              </w:rPr>
              <w:t>EXHIBIT NO. EXHIBITS ------------------ ------------------------------------</w:t>
            </w:r>
          </w:p>
        </w:tc>
        <w:tc>
          <w:tcPr>
            <w:tcW w:w="544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w w:val="97"/>
              </w:rPr>
              <w:t>99.1 Joint Filing Agreement 99.2 Item 7 Information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Attention. Intentional misstatements or omissions of fact constitute federal criminal violations (see 18 U.S.C. 1001).</w:t>
      </w:r>
    </w:p>
    <w:p>
      <w:pPr>
        <w:sectPr>
          <w:pgSz w:w="11900" w:h="16898" w:orient="portrait"/>
          <w:cols w:equalWidth="0" w:num="1">
            <w:col w:w="11140"/>
          </w:cols>
          <w:pgMar w:left="360" w:top="409" w:right="399" w:bottom="0" w:gutter="0" w:footer="0" w:header="0"/>
          <w:type w:val="continuous"/>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No.G76279101</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spacing w:after="0" w:line="2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May 12, 2026</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Investment Management Inc.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hereby agree that, unless differentiated, this Schedule 13G 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Claire Gordon</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699"/>
        <w:spacing w:after="0" w:line="397" w:lineRule="auto"/>
        <w:rPr>
          <w:sz w:val="20"/>
          <w:szCs w:val="20"/>
          <w:color w:val="auto"/>
        </w:rPr>
      </w:pPr>
      <w:r>
        <w:rPr>
          <w:rFonts w:ascii="Courier New" w:cs="Courier New" w:eastAsia="Courier New" w:hAnsi="Courier New"/>
          <w:sz w:val="18"/>
          <w:szCs w:val="18"/>
          <w:color w:val="auto"/>
        </w:rPr>
        <w:t>Claire Gordon/Authorized Signatory, Morgan Stanley Morgan Stanley Investment Management Inc. BY: /s/ Deidre A. Downes</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Deidre A. Downes/Authorized Signatory,</w:t>
      </w:r>
    </w:p>
    <w:p>
      <w:pPr>
        <w:ind w:left="116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372" w:lineRule="exact"/>
        <w:rPr>
          <w:sz w:val="20"/>
          <w:szCs w:val="20"/>
          <w:color w:val="auto"/>
        </w:rPr>
      </w:pPr>
    </w:p>
    <w:p>
      <w:pPr>
        <w:ind w:right="1819" w:firstLine="8"/>
        <w:spacing w:after="0" w:line="346"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11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No.G76279101</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4" w:lineRule="exact"/>
        <w:rPr>
          <w:sz w:val="20"/>
          <w:szCs w:val="20"/>
          <w:color w:val="auto"/>
        </w:rPr>
      </w:pPr>
    </w:p>
    <w:p>
      <w:pPr>
        <w:ind w:left="540" w:right="2019" w:firstLine="842"/>
        <w:spacing w:after="0" w:line="512"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Investment Management Inc., a wholly-owned subsidiary of Morgan Stanley.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2026-05-12T12:21:37Z</dcterms:created>
  <dcterms:modified xsi:type="dcterms:W3CDTF">2026-05-12T12:21:37Z</dcterms:modified>
</cp:coreProperties>
</file>