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spacing w:after="0" w:line="280" w:lineRule="auto"/>
        <w:rPr>
          <w:sz w:val="20"/>
          <w:szCs w:val="20"/>
          <w:color w:val="auto"/>
        </w:rPr>
      </w:pPr>
      <w:r>
        <w:rPr>
          <w:rFonts w:ascii="Arial" w:cs="Arial" w:eastAsia="Arial" w:hAnsi="Arial"/>
          <w:sz w:val="21"/>
          <w:szCs w:val="21"/>
          <w:b w:val="1"/>
          <w:bCs w:val="1"/>
          <w:color w:val="auto"/>
        </w:rPr>
        <w:t>INFORMATION TO BE INCLUDED IN STATEMENTS PURSUANT TO RULES 13d-1(b),(c) AND (d) AND AMENDMENTS THERETO FILED PURSUANT TO 13d-2 UNDER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Roivant Sciences Ltd.</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Common shares, $0.0000000341740141 par value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G76279101</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 w:lineRule="exact"/>
        <w:rPr>
          <w:rFonts w:ascii="MS PGothic" w:cs="MS PGothic" w:eastAsia="MS PGothic" w:hAnsi="MS PGothic"/>
          <w:sz w:val="22"/>
          <w:szCs w:val="22"/>
          <w:color w:val="auto"/>
        </w:rPr>
      </w:pPr>
    </w:p>
    <w:p>
      <w:pPr>
        <w:jc w:val="both"/>
        <w:ind w:left="4900" w:right="4880"/>
        <w:spacing w:after="0" w:line="268" w:lineRule="exact"/>
        <w:tabs>
          <w:tab w:leader="none" w:pos="5149" w:val="left"/>
        </w:tabs>
        <w:numPr>
          <w:ilvl w:val="1"/>
          <w:numId w:val="1"/>
        </w:numPr>
        <w:rPr>
          <w:rFonts w:ascii="MS PGothic" w:cs="MS PGothic" w:eastAsia="MS PGothic" w:hAnsi="MS PGothic"/>
          <w:sz w:val="19"/>
          <w:szCs w:val="19"/>
          <w:color w:val="auto"/>
        </w:rPr>
      </w:pPr>
      <w:r>
        <w:rPr>
          <w:rFonts w:ascii="Arial" w:cs="Arial" w:eastAsia="Arial" w:hAnsi="Arial"/>
          <w:sz w:val="19"/>
          <w:szCs w:val="19"/>
          <w:color w:val="auto"/>
        </w:rPr>
        <w:t xml:space="preserve">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9" w:lineRule="exact"/>
        <w:rPr>
          <w:rFonts w:ascii="MS PGothic" w:cs="MS PGothic" w:eastAsia="MS PGothic" w:hAnsi="MS PGothic"/>
          <w:sz w:val="19"/>
          <w:szCs w:val="19"/>
          <w:color w:val="auto"/>
        </w:rPr>
      </w:pPr>
    </w:p>
    <w:p>
      <w:pPr>
        <w:jc w:val="both"/>
        <w:spacing w:after="0"/>
        <w:rPr>
          <w:rFonts w:ascii="MS PGothic" w:cs="MS PGothic" w:eastAsia="MS PGothic" w:hAnsi="MS PGothic"/>
          <w:sz w:val="19"/>
          <w:szCs w:val="19"/>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40"/>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2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2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Page 2 of 23</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540" w:type="dxa"/>
            <w:vAlign w:val="bottom"/>
            <w:gridSpan w:val="5"/>
          </w:tcPr>
          <w:p>
            <w:pPr>
              <w:ind w:left="40"/>
              <w:spacing w:after="0"/>
              <w:rPr>
                <w:sz w:val="20"/>
                <w:szCs w:val="20"/>
                <w:color w:val="auto"/>
              </w:rPr>
            </w:pPr>
            <w:r>
              <w:rPr>
                <w:rFonts w:ascii="Arial" w:cs="Arial" w:eastAsia="Arial" w:hAnsi="Arial"/>
                <w:sz w:val="18"/>
                <w:szCs w:val="18"/>
                <w:color w:val="auto"/>
              </w:rPr>
              <w:t>Viking Global Investors LP</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20" w:type="dxa"/>
            <w:vAlign w:val="bottom"/>
            <w:shd w:val="clear" w:color="auto" w:fill="BFBFBF"/>
          </w:tcPr>
          <w:p>
            <w:pPr>
              <w:spacing w:after="0"/>
              <w:rPr>
                <w:sz w:val="20"/>
                <w:szCs w:val="20"/>
                <w:color w:val="auto"/>
              </w:rPr>
            </w:pPr>
          </w:p>
        </w:tc>
        <w:tc>
          <w:tcPr>
            <w:tcW w:w="25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20" w:type="dxa"/>
            <w:vAlign w:val="bottom"/>
            <w:shd w:val="clear" w:color="auto" w:fill="BFBFBF"/>
          </w:tcPr>
          <w:p>
            <w:pPr>
              <w:spacing w:after="0"/>
              <w:rPr>
                <w:sz w:val="24"/>
                <w:szCs w:val="24"/>
                <w:color w:val="auto"/>
              </w:rPr>
            </w:pPr>
          </w:p>
        </w:tc>
        <w:tc>
          <w:tcPr>
            <w:tcW w:w="25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25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88,238,700</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88,238,700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40" w:type="dxa"/>
            <w:vAlign w:val="bottom"/>
            <w:tcBorders>
              <w:bottom w:val="single" w:sz="8" w:color="auto"/>
            </w:tcBorders>
            <w:gridSpan w:val="4"/>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6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418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2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Page 3 of 23</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540" w:type="dxa"/>
            <w:vAlign w:val="bottom"/>
            <w:gridSpan w:val="5"/>
          </w:tcPr>
          <w:p>
            <w:pPr>
              <w:ind w:left="40"/>
              <w:spacing w:after="0"/>
              <w:rPr>
                <w:sz w:val="20"/>
                <w:szCs w:val="20"/>
                <w:color w:val="auto"/>
              </w:rPr>
            </w:pPr>
            <w:r>
              <w:rPr>
                <w:rFonts w:ascii="Arial" w:cs="Arial" w:eastAsia="Arial" w:hAnsi="Arial"/>
                <w:sz w:val="18"/>
                <w:szCs w:val="18"/>
                <w:color w:val="auto"/>
              </w:rPr>
              <w:t>Viking Global Performance LLC</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20" w:type="dxa"/>
            <w:vAlign w:val="bottom"/>
            <w:shd w:val="clear" w:color="auto" w:fill="BFBFBF"/>
          </w:tcPr>
          <w:p>
            <w:pPr>
              <w:spacing w:after="0"/>
              <w:rPr>
                <w:sz w:val="20"/>
                <w:szCs w:val="20"/>
                <w:color w:val="auto"/>
              </w:rPr>
            </w:pPr>
          </w:p>
        </w:tc>
        <w:tc>
          <w:tcPr>
            <w:tcW w:w="25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20" w:type="dxa"/>
            <w:vAlign w:val="bottom"/>
            <w:shd w:val="clear" w:color="auto" w:fill="BFBFBF"/>
          </w:tcPr>
          <w:p>
            <w:pPr>
              <w:spacing w:after="0"/>
              <w:rPr>
                <w:sz w:val="24"/>
                <w:szCs w:val="24"/>
                <w:color w:val="auto"/>
              </w:rPr>
            </w:pPr>
          </w:p>
        </w:tc>
        <w:tc>
          <w:tcPr>
            <w:tcW w:w="25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25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37,588,321</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37,588,321</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40" w:type="dxa"/>
            <w:vAlign w:val="bottom"/>
            <w:tcBorders>
              <w:bottom w:val="single" w:sz="8" w:color="auto"/>
            </w:tcBorders>
            <w:gridSpan w:val="4"/>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6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37,588,321</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2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2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Page 4 of 23</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540" w:type="dxa"/>
            <w:vAlign w:val="bottom"/>
            <w:gridSpan w:val="5"/>
          </w:tcPr>
          <w:p>
            <w:pPr>
              <w:ind w:left="40"/>
              <w:spacing w:after="0"/>
              <w:rPr>
                <w:sz w:val="20"/>
                <w:szCs w:val="20"/>
                <w:color w:val="auto"/>
              </w:rPr>
            </w:pPr>
            <w:r>
              <w:rPr>
                <w:rFonts w:ascii="Arial" w:cs="Arial" w:eastAsia="Arial" w:hAnsi="Arial"/>
                <w:sz w:val="18"/>
                <w:szCs w:val="18"/>
                <w:color w:val="auto"/>
              </w:rPr>
              <w:t>Viking Global Equities II LP</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20" w:type="dxa"/>
            <w:vAlign w:val="bottom"/>
            <w:shd w:val="clear" w:color="auto" w:fill="BFBFBF"/>
          </w:tcPr>
          <w:p>
            <w:pPr>
              <w:spacing w:after="0"/>
              <w:rPr>
                <w:sz w:val="20"/>
                <w:szCs w:val="20"/>
                <w:color w:val="auto"/>
              </w:rPr>
            </w:pPr>
          </w:p>
        </w:tc>
        <w:tc>
          <w:tcPr>
            <w:tcW w:w="25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20" w:type="dxa"/>
            <w:vAlign w:val="bottom"/>
            <w:shd w:val="clear" w:color="auto" w:fill="BFBFBF"/>
          </w:tcPr>
          <w:p>
            <w:pPr>
              <w:spacing w:after="0"/>
              <w:rPr>
                <w:sz w:val="24"/>
                <w:szCs w:val="24"/>
                <w:color w:val="auto"/>
              </w:rPr>
            </w:pPr>
          </w:p>
        </w:tc>
        <w:tc>
          <w:tcPr>
            <w:tcW w:w="25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25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751,766</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751,766</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40" w:type="dxa"/>
            <w:vAlign w:val="bottom"/>
            <w:tcBorders>
              <w:bottom w:val="single" w:sz="8" w:color="auto"/>
            </w:tcBorders>
            <w:gridSpan w:val="4"/>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6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w w:val="89"/>
              </w:rPr>
              <w:t>751,766</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418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2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Page 5 of 23</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540" w:type="dxa"/>
            <w:vAlign w:val="bottom"/>
            <w:gridSpan w:val="5"/>
          </w:tcPr>
          <w:p>
            <w:pPr>
              <w:ind w:left="40"/>
              <w:spacing w:after="0"/>
              <w:rPr>
                <w:sz w:val="20"/>
                <w:szCs w:val="20"/>
                <w:color w:val="auto"/>
              </w:rPr>
            </w:pPr>
            <w:r>
              <w:rPr>
                <w:rFonts w:ascii="Arial" w:cs="Arial" w:eastAsia="Arial" w:hAnsi="Arial"/>
                <w:sz w:val="18"/>
                <w:szCs w:val="18"/>
                <w:color w:val="auto"/>
              </w:rPr>
              <w:t>Viking Global Equities Master Ltd.</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20" w:type="dxa"/>
            <w:vAlign w:val="bottom"/>
            <w:shd w:val="clear" w:color="auto" w:fill="BFBFBF"/>
          </w:tcPr>
          <w:p>
            <w:pPr>
              <w:spacing w:after="0"/>
              <w:rPr>
                <w:sz w:val="20"/>
                <w:szCs w:val="20"/>
                <w:color w:val="auto"/>
              </w:rPr>
            </w:pPr>
          </w:p>
        </w:tc>
        <w:tc>
          <w:tcPr>
            <w:tcW w:w="25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20" w:type="dxa"/>
            <w:vAlign w:val="bottom"/>
            <w:shd w:val="clear" w:color="auto" w:fill="BFBFBF"/>
          </w:tcPr>
          <w:p>
            <w:pPr>
              <w:spacing w:after="0"/>
              <w:rPr>
                <w:sz w:val="24"/>
                <w:szCs w:val="24"/>
                <w:color w:val="auto"/>
              </w:rPr>
            </w:pPr>
          </w:p>
        </w:tc>
        <w:tc>
          <w:tcPr>
            <w:tcW w:w="25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25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36,836,555</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18"/>
                <w:szCs w:val="18"/>
                <w:color w:val="auto"/>
              </w:rPr>
              <w:t>36,836,555</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40" w:type="dxa"/>
            <w:vAlign w:val="bottom"/>
            <w:tcBorders>
              <w:bottom w:val="single" w:sz="8" w:color="auto"/>
            </w:tcBorders>
            <w:gridSpan w:val="4"/>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6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36,836,555</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418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2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Page 6 of 23</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540" w:type="dxa"/>
            <w:vAlign w:val="bottom"/>
            <w:gridSpan w:val="5"/>
          </w:tcPr>
          <w:p>
            <w:pPr>
              <w:ind w:left="40"/>
              <w:spacing w:after="0"/>
              <w:rPr>
                <w:sz w:val="20"/>
                <w:szCs w:val="20"/>
                <w:color w:val="auto"/>
              </w:rPr>
            </w:pPr>
            <w:r>
              <w:rPr>
                <w:rFonts w:ascii="Arial" w:cs="Arial" w:eastAsia="Arial" w:hAnsi="Arial"/>
                <w:sz w:val="18"/>
                <w:szCs w:val="18"/>
                <w:color w:val="auto"/>
              </w:rPr>
              <w:t>Viking Long Fund GP LLC</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20" w:type="dxa"/>
            <w:vAlign w:val="bottom"/>
            <w:shd w:val="clear" w:color="auto" w:fill="BFBFBF"/>
          </w:tcPr>
          <w:p>
            <w:pPr>
              <w:spacing w:after="0"/>
              <w:rPr>
                <w:sz w:val="20"/>
                <w:szCs w:val="20"/>
                <w:color w:val="auto"/>
              </w:rPr>
            </w:pPr>
          </w:p>
        </w:tc>
        <w:tc>
          <w:tcPr>
            <w:tcW w:w="25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20" w:type="dxa"/>
            <w:vAlign w:val="bottom"/>
            <w:shd w:val="clear" w:color="auto" w:fill="BFBFBF"/>
          </w:tcPr>
          <w:p>
            <w:pPr>
              <w:spacing w:after="0"/>
              <w:rPr>
                <w:sz w:val="24"/>
                <w:szCs w:val="24"/>
                <w:color w:val="auto"/>
              </w:rPr>
            </w:pPr>
          </w:p>
        </w:tc>
        <w:tc>
          <w:tcPr>
            <w:tcW w:w="25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25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15,110,502</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15,110,502</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40" w:type="dxa"/>
            <w:vAlign w:val="bottom"/>
            <w:tcBorders>
              <w:bottom w:val="single" w:sz="8" w:color="auto"/>
            </w:tcBorders>
            <w:gridSpan w:val="4"/>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6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15,110,502</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418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2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Page 7 of 23</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540" w:type="dxa"/>
            <w:vAlign w:val="bottom"/>
            <w:gridSpan w:val="5"/>
          </w:tcPr>
          <w:p>
            <w:pPr>
              <w:ind w:left="40"/>
              <w:spacing w:after="0"/>
              <w:rPr>
                <w:sz w:val="20"/>
                <w:szCs w:val="20"/>
                <w:color w:val="auto"/>
              </w:rPr>
            </w:pPr>
            <w:r>
              <w:rPr>
                <w:rFonts w:ascii="Arial" w:cs="Arial" w:eastAsia="Arial" w:hAnsi="Arial"/>
                <w:sz w:val="18"/>
                <w:szCs w:val="18"/>
                <w:color w:val="auto"/>
              </w:rPr>
              <w:t>Viking Long Fund Master Ltd.</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20" w:type="dxa"/>
            <w:vAlign w:val="bottom"/>
            <w:shd w:val="clear" w:color="auto" w:fill="BFBFBF"/>
          </w:tcPr>
          <w:p>
            <w:pPr>
              <w:spacing w:after="0"/>
              <w:rPr>
                <w:sz w:val="20"/>
                <w:szCs w:val="20"/>
                <w:color w:val="auto"/>
              </w:rPr>
            </w:pPr>
          </w:p>
        </w:tc>
        <w:tc>
          <w:tcPr>
            <w:tcW w:w="25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20" w:type="dxa"/>
            <w:vAlign w:val="bottom"/>
            <w:shd w:val="clear" w:color="auto" w:fill="BFBFBF"/>
          </w:tcPr>
          <w:p>
            <w:pPr>
              <w:spacing w:after="0"/>
              <w:rPr>
                <w:sz w:val="24"/>
                <w:szCs w:val="24"/>
                <w:color w:val="auto"/>
              </w:rPr>
            </w:pPr>
          </w:p>
        </w:tc>
        <w:tc>
          <w:tcPr>
            <w:tcW w:w="25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25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15,110,502</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15,110,502</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40" w:type="dxa"/>
            <w:vAlign w:val="bottom"/>
            <w:tcBorders>
              <w:bottom w:val="single" w:sz="8" w:color="auto"/>
            </w:tcBorders>
            <w:gridSpan w:val="4"/>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6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15,110,502</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2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2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Page 8 of 23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540" w:type="dxa"/>
            <w:vAlign w:val="bottom"/>
            <w:gridSpan w:val="5"/>
          </w:tcPr>
          <w:p>
            <w:pPr>
              <w:ind w:left="40"/>
              <w:spacing w:after="0"/>
              <w:rPr>
                <w:sz w:val="20"/>
                <w:szCs w:val="20"/>
                <w:color w:val="auto"/>
              </w:rPr>
            </w:pPr>
            <w:r>
              <w:rPr>
                <w:rFonts w:ascii="Arial" w:cs="Arial" w:eastAsia="Arial" w:hAnsi="Arial"/>
                <w:sz w:val="18"/>
                <w:szCs w:val="18"/>
                <w:color w:val="auto"/>
              </w:rPr>
              <w:t>Viking Global Opportunities Parent GP LLC</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20" w:type="dxa"/>
            <w:vAlign w:val="bottom"/>
            <w:shd w:val="clear" w:color="auto" w:fill="BFBFBF"/>
          </w:tcPr>
          <w:p>
            <w:pPr>
              <w:spacing w:after="0"/>
              <w:rPr>
                <w:sz w:val="20"/>
                <w:szCs w:val="20"/>
                <w:color w:val="auto"/>
              </w:rPr>
            </w:pPr>
          </w:p>
        </w:tc>
        <w:tc>
          <w:tcPr>
            <w:tcW w:w="25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20" w:type="dxa"/>
            <w:vAlign w:val="bottom"/>
            <w:shd w:val="clear" w:color="auto" w:fill="BFBFBF"/>
          </w:tcPr>
          <w:p>
            <w:pPr>
              <w:spacing w:after="0"/>
              <w:rPr>
                <w:sz w:val="24"/>
                <w:szCs w:val="24"/>
                <w:color w:val="auto"/>
              </w:rPr>
            </w:pPr>
          </w:p>
        </w:tc>
        <w:tc>
          <w:tcPr>
            <w:tcW w:w="25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25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35,539,877*</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35,539,877*</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40" w:type="dxa"/>
            <w:vAlign w:val="bottom"/>
            <w:tcBorders>
              <w:bottom w:val="single" w:sz="8" w:color="auto"/>
            </w:tcBorders>
            <w:gridSpan w:val="4"/>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6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35,539,877*</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2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2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Page 9 of 23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540" w:type="dxa"/>
            <w:vAlign w:val="bottom"/>
            <w:gridSpan w:val="5"/>
          </w:tcPr>
          <w:p>
            <w:pPr>
              <w:ind w:left="40"/>
              <w:spacing w:after="0"/>
              <w:rPr>
                <w:sz w:val="20"/>
                <w:szCs w:val="20"/>
                <w:color w:val="auto"/>
              </w:rPr>
            </w:pPr>
            <w:r>
              <w:rPr>
                <w:rFonts w:ascii="Arial" w:cs="Arial" w:eastAsia="Arial" w:hAnsi="Arial"/>
                <w:sz w:val="18"/>
                <w:szCs w:val="18"/>
                <w:color w:val="auto"/>
              </w:rPr>
              <w:t>Viking Global Opportunities GP LLC</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20" w:type="dxa"/>
            <w:vAlign w:val="bottom"/>
            <w:shd w:val="clear" w:color="auto" w:fill="BFBFBF"/>
          </w:tcPr>
          <w:p>
            <w:pPr>
              <w:spacing w:after="0"/>
              <w:rPr>
                <w:sz w:val="20"/>
                <w:szCs w:val="20"/>
                <w:color w:val="auto"/>
              </w:rPr>
            </w:pPr>
          </w:p>
        </w:tc>
        <w:tc>
          <w:tcPr>
            <w:tcW w:w="25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20" w:type="dxa"/>
            <w:vAlign w:val="bottom"/>
            <w:shd w:val="clear" w:color="auto" w:fill="BFBFBF"/>
          </w:tcPr>
          <w:p>
            <w:pPr>
              <w:spacing w:after="0"/>
              <w:rPr>
                <w:sz w:val="24"/>
                <w:szCs w:val="24"/>
                <w:color w:val="auto"/>
              </w:rPr>
            </w:pPr>
          </w:p>
        </w:tc>
        <w:tc>
          <w:tcPr>
            <w:tcW w:w="25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25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35,539,877*</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35,539,877*</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40" w:type="dxa"/>
            <w:vAlign w:val="bottom"/>
            <w:tcBorders>
              <w:bottom w:val="single" w:sz="8" w:color="auto"/>
            </w:tcBorders>
            <w:gridSpan w:val="4"/>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6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35,539,877*</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2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0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Page 10 of 23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540" w:type="dxa"/>
            <w:vAlign w:val="bottom"/>
            <w:gridSpan w:val="5"/>
          </w:tcPr>
          <w:p>
            <w:pPr>
              <w:ind w:left="40"/>
              <w:spacing w:after="0"/>
              <w:rPr>
                <w:sz w:val="20"/>
                <w:szCs w:val="20"/>
                <w:color w:val="auto"/>
              </w:rPr>
            </w:pPr>
            <w:r>
              <w:rPr>
                <w:rFonts w:ascii="Arial" w:cs="Arial" w:eastAsia="Arial" w:hAnsi="Arial"/>
                <w:sz w:val="18"/>
                <w:szCs w:val="18"/>
                <w:color w:val="auto"/>
              </w:rPr>
              <w:t>Viking Global Opportunities Portfolio GP LLC</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00" w:type="dxa"/>
            <w:vAlign w:val="bottom"/>
            <w:shd w:val="clear" w:color="auto" w:fill="BFBFBF"/>
          </w:tcPr>
          <w:p>
            <w:pPr>
              <w:spacing w:after="0"/>
              <w:rPr>
                <w:sz w:val="20"/>
                <w:szCs w:val="20"/>
                <w:color w:val="auto"/>
              </w:rPr>
            </w:pPr>
          </w:p>
        </w:tc>
        <w:tc>
          <w:tcPr>
            <w:tcW w:w="25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00" w:type="dxa"/>
            <w:vAlign w:val="bottom"/>
            <w:shd w:val="clear" w:color="auto" w:fill="BFBFBF"/>
          </w:tcPr>
          <w:p>
            <w:pPr>
              <w:spacing w:after="0"/>
              <w:rPr>
                <w:sz w:val="24"/>
                <w:szCs w:val="24"/>
                <w:color w:val="auto"/>
              </w:rPr>
            </w:pPr>
          </w:p>
        </w:tc>
        <w:tc>
          <w:tcPr>
            <w:tcW w:w="2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tcBorders>
            <w:shd w:val="clear" w:color="auto" w:fill="BFBFBF"/>
          </w:tcPr>
          <w:p>
            <w:pPr>
              <w:spacing w:after="0"/>
              <w:rPr>
                <w:sz w:val="23"/>
                <w:szCs w:val="23"/>
                <w:color w:val="auto"/>
              </w:rPr>
            </w:pPr>
          </w:p>
        </w:tc>
        <w:tc>
          <w:tcPr>
            <w:tcW w:w="25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35,539,877*</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35,539,877*</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20" w:type="dxa"/>
            <w:vAlign w:val="bottom"/>
            <w:tcBorders>
              <w:bottom w:val="single" w:sz="8" w:color="auto"/>
            </w:tcBorders>
            <w:gridSpan w:val="4"/>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4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35,539,877*</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4380" w:type="dxa"/>
            <w:vAlign w:val="bottom"/>
            <w:tcBorders>
              <w:top w:val="single" w:sz="8" w:color="auto"/>
              <w:bottom w:val="single" w:sz="8" w:color="auto"/>
              <w:right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0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Page 11 of 23</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4"/>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54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Illiquid Investments Sub-Master LP</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4"/>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00" w:type="dxa"/>
            <w:vAlign w:val="bottom"/>
            <w:shd w:val="clear" w:color="auto" w:fill="BFBFBF"/>
          </w:tcPr>
          <w:p>
            <w:pPr>
              <w:spacing w:after="0"/>
              <w:rPr>
                <w:sz w:val="20"/>
                <w:szCs w:val="20"/>
                <w:color w:val="auto"/>
              </w:rPr>
            </w:pPr>
          </w:p>
        </w:tc>
        <w:tc>
          <w:tcPr>
            <w:tcW w:w="25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00" w:type="dxa"/>
            <w:vAlign w:val="bottom"/>
            <w:shd w:val="clear" w:color="auto" w:fill="BFBFBF"/>
          </w:tcPr>
          <w:p>
            <w:pPr>
              <w:spacing w:after="0"/>
              <w:rPr>
                <w:sz w:val="24"/>
                <w:szCs w:val="24"/>
                <w:color w:val="auto"/>
              </w:rPr>
            </w:pPr>
          </w:p>
        </w:tc>
        <w:tc>
          <w:tcPr>
            <w:tcW w:w="2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tcBorders>
            <w:shd w:val="clear" w:color="auto" w:fill="BFBFBF"/>
          </w:tcPr>
          <w:p>
            <w:pPr>
              <w:spacing w:after="0"/>
              <w:rPr>
                <w:sz w:val="23"/>
                <w:szCs w:val="23"/>
                <w:color w:val="auto"/>
              </w:rPr>
            </w:pPr>
          </w:p>
        </w:tc>
        <w:tc>
          <w:tcPr>
            <w:tcW w:w="25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6"/>
              </w:rPr>
              <w:t>Cayman Islands</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35,539,877*</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35,539,877*</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020" w:type="dxa"/>
            <w:vAlign w:val="bottom"/>
            <w:tcBorders>
              <w:bottom w:val="single" w:sz="8" w:color="auto"/>
            </w:tcBorders>
            <w:gridSpan w:val="4"/>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4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35,539,877*</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PN</w:t>
            </w:r>
          </w:p>
        </w:tc>
        <w:tc>
          <w:tcPr>
            <w:tcW w:w="6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418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0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Page 12 of 23</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540" w:type="dxa"/>
            <w:vAlign w:val="bottom"/>
            <w:gridSpan w:val="5"/>
          </w:tcPr>
          <w:p>
            <w:pPr>
              <w:ind w:left="40"/>
              <w:spacing w:after="0"/>
              <w:rPr>
                <w:sz w:val="20"/>
                <w:szCs w:val="20"/>
                <w:color w:val="auto"/>
              </w:rPr>
            </w:pPr>
            <w:r>
              <w:rPr>
                <w:rFonts w:ascii="Arial" w:cs="Arial" w:eastAsia="Arial" w:hAnsi="Arial"/>
                <w:sz w:val="18"/>
                <w:szCs w:val="18"/>
                <w:color w:val="auto"/>
              </w:rPr>
              <w:t>O. Andreas Halvorsen</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00" w:type="dxa"/>
            <w:vAlign w:val="bottom"/>
            <w:shd w:val="clear" w:color="auto" w:fill="BFBFBF"/>
          </w:tcPr>
          <w:p>
            <w:pPr>
              <w:spacing w:after="0"/>
              <w:rPr>
                <w:sz w:val="20"/>
                <w:szCs w:val="20"/>
                <w:color w:val="auto"/>
              </w:rPr>
            </w:pPr>
          </w:p>
        </w:tc>
        <w:tc>
          <w:tcPr>
            <w:tcW w:w="25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00" w:type="dxa"/>
            <w:vAlign w:val="bottom"/>
            <w:shd w:val="clear" w:color="auto" w:fill="BFBFBF"/>
          </w:tcPr>
          <w:p>
            <w:pPr>
              <w:spacing w:after="0"/>
              <w:rPr>
                <w:sz w:val="24"/>
                <w:szCs w:val="24"/>
                <w:color w:val="auto"/>
              </w:rPr>
            </w:pPr>
          </w:p>
        </w:tc>
        <w:tc>
          <w:tcPr>
            <w:tcW w:w="2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tcBorders>
            <w:shd w:val="clear" w:color="auto" w:fill="BFBFBF"/>
          </w:tcPr>
          <w:p>
            <w:pPr>
              <w:spacing w:after="0"/>
              <w:rPr>
                <w:sz w:val="23"/>
                <w:szCs w:val="23"/>
                <w:color w:val="auto"/>
              </w:rPr>
            </w:pPr>
          </w:p>
        </w:tc>
        <w:tc>
          <w:tcPr>
            <w:tcW w:w="25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Norway</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88,238,700</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88,238,700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20" w:type="dxa"/>
            <w:vAlign w:val="bottom"/>
            <w:tcBorders>
              <w:bottom w:val="single" w:sz="8" w:color="auto"/>
            </w:tcBorders>
            <w:gridSpan w:val="4"/>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4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88,238,700</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418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0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Page 13 of 23</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David C. Ott</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00" w:type="dxa"/>
            <w:vAlign w:val="bottom"/>
            <w:shd w:val="clear" w:color="auto" w:fill="BFBFBF"/>
          </w:tcPr>
          <w:p>
            <w:pPr>
              <w:spacing w:after="0"/>
              <w:rPr>
                <w:sz w:val="20"/>
                <w:szCs w:val="20"/>
                <w:color w:val="auto"/>
              </w:rPr>
            </w:pPr>
          </w:p>
        </w:tc>
        <w:tc>
          <w:tcPr>
            <w:tcW w:w="25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00" w:type="dxa"/>
            <w:vAlign w:val="bottom"/>
            <w:shd w:val="clear" w:color="auto" w:fill="BFBFBF"/>
          </w:tcPr>
          <w:p>
            <w:pPr>
              <w:spacing w:after="0"/>
              <w:rPr>
                <w:sz w:val="24"/>
                <w:szCs w:val="24"/>
                <w:color w:val="auto"/>
              </w:rPr>
            </w:pPr>
          </w:p>
        </w:tc>
        <w:tc>
          <w:tcPr>
            <w:tcW w:w="2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tcBorders>
            <w:shd w:val="clear" w:color="auto" w:fill="BFBFBF"/>
          </w:tcPr>
          <w:p>
            <w:pPr>
              <w:spacing w:after="0"/>
              <w:rPr>
                <w:sz w:val="23"/>
                <w:szCs w:val="23"/>
                <w:color w:val="auto"/>
              </w:rPr>
            </w:pPr>
          </w:p>
        </w:tc>
        <w:tc>
          <w:tcPr>
            <w:tcW w:w="25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3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88,238,700</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gridSpan w:val="2"/>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88,238,700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20" w:type="dxa"/>
            <w:vAlign w:val="bottom"/>
            <w:tcBorders>
              <w:bottom w:val="single" w:sz="8" w:color="auto"/>
            </w:tcBorders>
            <w:gridSpan w:val="4"/>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4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88,238,700</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418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G76279101</w:t>
            </w: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13G</w:t>
            </w:r>
          </w:p>
        </w:tc>
        <w:tc>
          <w:tcPr>
            <w:tcW w:w="70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Page 14 of 23</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8"/>
              </w:rPr>
              <w:t>Rose S. Shabet</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720" w:type="dxa"/>
            <w:vAlign w:val="bottom"/>
            <w:tcBorders>
              <w:right w:val="single" w:sz="8" w:color="BFBFBF"/>
            </w:tcBorders>
            <w:shd w:val="clear" w:color="auto" w:fill="BFBFBF"/>
          </w:tcPr>
          <w:p>
            <w:pPr>
              <w:spacing w:after="0"/>
              <w:rPr>
                <w:sz w:val="20"/>
                <w:szCs w:val="20"/>
                <w:color w:val="auto"/>
              </w:rPr>
            </w:pPr>
          </w:p>
        </w:tc>
        <w:tc>
          <w:tcPr>
            <w:tcW w:w="500" w:type="dxa"/>
            <w:vAlign w:val="bottom"/>
            <w:shd w:val="clear" w:color="auto" w:fill="BFBFBF"/>
          </w:tcPr>
          <w:p>
            <w:pPr>
              <w:spacing w:after="0"/>
              <w:rPr>
                <w:sz w:val="20"/>
                <w:szCs w:val="20"/>
                <w:color w:val="auto"/>
              </w:rPr>
            </w:pPr>
          </w:p>
        </w:tc>
        <w:tc>
          <w:tcPr>
            <w:tcW w:w="1100" w:type="dxa"/>
            <w:vAlign w:val="bottom"/>
            <w:tcBorders>
              <w:right w:val="single" w:sz="8" w:color="BFBFBF"/>
            </w:tcBorders>
            <w:shd w:val="clear" w:color="auto" w:fill="BFBFBF"/>
          </w:tcPr>
          <w:p>
            <w:pPr>
              <w:spacing w:after="0"/>
              <w:rPr>
                <w:sz w:val="20"/>
                <w:szCs w:val="20"/>
                <w:color w:val="auto"/>
              </w:rPr>
            </w:pPr>
          </w:p>
        </w:tc>
        <w:tc>
          <w:tcPr>
            <w:tcW w:w="700" w:type="dxa"/>
            <w:vAlign w:val="bottom"/>
            <w:shd w:val="clear" w:color="auto" w:fill="BFBFBF"/>
          </w:tcPr>
          <w:p>
            <w:pPr>
              <w:spacing w:after="0"/>
              <w:rPr>
                <w:sz w:val="20"/>
                <w:szCs w:val="20"/>
                <w:color w:val="auto"/>
              </w:rPr>
            </w:pPr>
          </w:p>
        </w:tc>
        <w:tc>
          <w:tcPr>
            <w:tcW w:w="25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3720" w:type="dxa"/>
            <w:vAlign w:val="bottom"/>
            <w:tcBorders>
              <w:right w:val="single" w:sz="8" w:color="BFBFBF"/>
            </w:tcBorders>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100" w:type="dxa"/>
            <w:vAlign w:val="bottom"/>
            <w:tcBorders>
              <w:right w:val="single" w:sz="8" w:color="BFBFBF"/>
            </w:tcBorders>
            <w:shd w:val="clear" w:color="auto" w:fill="BFBFBF"/>
          </w:tcPr>
          <w:p>
            <w:pPr>
              <w:spacing w:after="0"/>
              <w:rPr>
                <w:sz w:val="24"/>
                <w:szCs w:val="24"/>
                <w:color w:val="auto"/>
              </w:rPr>
            </w:pPr>
          </w:p>
        </w:tc>
        <w:tc>
          <w:tcPr>
            <w:tcW w:w="700" w:type="dxa"/>
            <w:vAlign w:val="bottom"/>
            <w:shd w:val="clear" w:color="auto" w:fill="BFBFBF"/>
          </w:tcPr>
          <w:p>
            <w:pPr>
              <w:spacing w:after="0"/>
              <w:rPr>
                <w:sz w:val="24"/>
                <w:szCs w:val="24"/>
                <w:color w:val="auto"/>
              </w:rPr>
            </w:pPr>
          </w:p>
        </w:tc>
        <w:tc>
          <w:tcPr>
            <w:tcW w:w="2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220" w:type="dxa"/>
            <w:vAlign w:val="bottom"/>
            <w:tcBorders>
              <w:bottom w:val="single" w:sz="8" w:color="auto"/>
            </w:tcBorders>
            <w:gridSpan w:val="2"/>
            <w:shd w:val="clear" w:color="auto" w:fill="BFBFBF"/>
          </w:tcPr>
          <w:p>
            <w:pPr>
              <w:spacing w:after="0"/>
              <w:rPr>
                <w:sz w:val="23"/>
                <w:szCs w:val="23"/>
                <w:color w:val="auto"/>
              </w:rPr>
            </w:pPr>
          </w:p>
        </w:tc>
        <w:tc>
          <w:tcPr>
            <w:tcW w:w="110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tcBorders>
            <w:shd w:val="clear" w:color="auto" w:fill="BFBFBF"/>
          </w:tcPr>
          <w:p>
            <w:pPr>
              <w:spacing w:after="0"/>
              <w:rPr>
                <w:sz w:val="23"/>
                <w:szCs w:val="23"/>
                <w:color w:val="auto"/>
              </w:rPr>
            </w:pPr>
          </w:p>
        </w:tc>
        <w:tc>
          <w:tcPr>
            <w:tcW w:w="25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88,238,700</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422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88,238,700</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020" w:type="dxa"/>
            <w:vAlign w:val="bottom"/>
            <w:tcBorders>
              <w:bottom w:val="single" w:sz="8" w:color="auto"/>
            </w:tcBorders>
            <w:gridSpan w:val="4"/>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34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88,238,700</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2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22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680" w:type="dxa"/>
            <w:vAlign w:val="bottom"/>
            <w:tcBorders>
              <w:top w:val="single" w:sz="8" w:color="auto"/>
              <w:left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5140" w:type="dxa"/>
            <w:vAlign w:val="bottom"/>
            <w:tcBorders>
              <w:top w:val="single" w:sz="8" w:color="auto"/>
              <w:bottom w:val="single" w:sz="8" w:color="auto"/>
              <w:right w:val="single" w:sz="8" w:color="auto"/>
            </w:tcBorders>
            <w:gridSpan w:val="4"/>
          </w:tcPr>
          <w:p>
            <w:pPr>
              <w:ind w:left="1080"/>
              <w:spacing w:after="0"/>
              <w:rPr>
                <w:sz w:val="20"/>
                <w:szCs w:val="20"/>
                <w:color w:val="auto"/>
              </w:rPr>
            </w:pPr>
            <w:r>
              <w:rPr>
                <w:rFonts w:ascii="Arial" w:cs="Arial" w:eastAsia="Arial" w:hAnsi="Arial"/>
                <w:sz w:val="18"/>
                <w:szCs w:val="18"/>
                <w:b w:val="1"/>
                <w:bCs w:val="1"/>
                <w:color w:val="auto"/>
              </w:rPr>
              <w:t>CUSIP No. G76279101</w:t>
            </w:r>
          </w:p>
        </w:tc>
        <w:tc>
          <w:tcPr>
            <w:tcW w:w="160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13G</w:t>
            </w:r>
          </w:p>
        </w:tc>
        <w:tc>
          <w:tcPr>
            <w:tcW w:w="320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Page 15 of 23</w:t>
            </w:r>
          </w:p>
        </w:tc>
      </w:tr>
      <w:tr>
        <w:trPr>
          <w:trHeight w:val="351"/>
        </w:trPr>
        <w:tc>
          <w:tcPr>
            <w:tcW w:w="13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5140" w:type="dxa"/>
            <w:vAlign w:val="bottom"/>
            <w:gridSpan w:val="4"/>
          </w:tcPr>
          <w:p>
            <w:pPr>
              <w:spacing w:after="0"/>
              <w:rPr>
                <w:sz w:val="20"/>
                <w:szCs w:val="20"/>
                <w:color w:val="auto"/>
              </w:rPr>
            </w:pPr>
            <w:r>
              <w:rPr>
                <w:rFonts w:ascii="Arial" w:cs="Arial" w:eastAsia="Arial" w:hAnsi="Arial"/>
                <w:sz w:val="18"/>
                <w:szCs w:val="18"/>
                <w:color w:val="auto"/>
              </w:rPr>
              <w:t>Name of Issuer:</w:t>
            </w:r>
          </w:p>
        </w:tc>
        <w:tc>
          <w:tcPr>
            <w:tcW w:w="16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0"/>
        </w:trPr>
        <w:tc>
          <w:tcPr>
            <w:tcW w:w="6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517"/>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40" w:type="dxa"/>
            <w:vAlign w:val="bottom"/>
            <w:gridSpan w:val="4"/>
          </w:tcPr>
          <w:p>
            <w:pPr>
              <w:spacing w:after="0"/>
              <w:rPr>
                <w:sz w:val="20"/>
                <w:szCs w:val="20"/>
                <w:color w:val="auto"/>
              </w:rPr>
            </w:pPr>
            <w:r>
              <w:rPr>
                <w:rFonts w:ascii="Arial" w:cs="Arial" w:eastAsia="Arial" w:hAnsi="Arial"/>
                <w:sz w:val="22"/>
                <w:szCs w:val="22"/>
                <w:color w:val="auto"/>
              </w:rPr>
              <w:t>Roivant Sciences Ltd.</w:t>
            </w:r>
          </w:p>
        </w:tc>
        <w:tc>
          <w:tcPr>
            <w:tcW w:w="16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08"/>
        </w:trPr>
        <w:tc>
          <w:tcPr>
            <w:tcW w:w="13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140" w:type="dxa"/>
            <w:vAlign w:val="bottom"/>
            <w:gridSpan w:val="4"/>
          </w:tcPr>
          <w:p>
            <w:pPr>
              <w:spacing w:after="0"/>
              <w:rPr>
                <w:sz w:val="20"/>
                <w:szCs w:val="20"/>
                <w:color w:val="auto"/>
              </w:rPr>
            </w:pPr>
            <w:r>
              <w:rPr>
                <w:rFonts w:ascii="Arial" w:cs="Arial" w:eastAsia="Arial" w:hAnsi="Arial"/>
                <w:sz w:val="18"/>
                <w:szCs w:val="18"/>
                <w:color w:val="auto"/>
              </w:rPr>
              <w:t>Address of Issuer’s Principal Executive Offices:</w:t>
            </w:r>
          </w:p>
        </w:tc>
        <w:tc>
          <w:tcPr>
            <w:tcW w:w="16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85"/>
        </w:trPr>
        <w:tc>
          <w:tcPr>
            <w:tcW w:w="6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Suite 1, 3rd Floor, 11-12</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140" w:type="dxa"/>
            <w:vAlign w:val="bottom"/>
            <w:gridSpan w:val="4"/>
          </w:tcPr>
          <w:p>
            <w:pPr>
              <w:spacing w:after="0" w:line="243" w:lineRule="exact"/>
              <w:rPr>
                <w:sz w:val="20"/>
                <w:szCs w:val="20"/>
                <w:color w:val="auto"/>
              </w:rPr>
            </w:pPr>
            <w:r>
              <w:rPr>
                <w:rFonts w:ascii="Arial" w:cs="Arial" w:eastAsia="Arial" w:hAnsi="Arial"/>
                <w:sz w:val="22"/>
                <w:szCs w:val="22"/>
                <w:color w:val="auto"/>
              </w:rPr>
              <w:t>St. James’s Square, London SW1Y 4LB,</w:t>
            </w:r>
          </w:p>
        </w:tc>
        <w:tc>
          <w:tcPr>
            <w:tcW w:w="160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74"/>
        </w:trPr>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140" w:type="dxa"/>
            <w:vAlign w:val="bottom"/>
            <w:gridSpan w:val="4"/>
          </w:tcPr>
          <w:p>
            <w:pPr>
              <w:spacing w:after="0"/>
              <w:rPr>
                <w:sz w:val="20"/>
                <w:szCs w:val="20"/>
                <w:color w:val="auto"/>
              </w:rPr>
            </w:pPr>
            <w:r>
              <w:rPr>
                <w:rFonts w:ascii="Arial" w:cs="Arial" w:eastAsia="Arial" w:hAnsi="Arial"/>
                <w:sz w:val="22"/>
                <w:szCs w:val="22"/>
                <w:color w:val="auto"/>
              </w:rPr>
              <w:t>United Kingdom</w:t>
            </w:r>
          </w:p>
        </w:tc>
        <w:tc>
          <w:tcPr>
            <w:tcW w:w="1600" w:type="dxa"/>
            <w:vAlign w:val="bottom"/>
          </w:tcPr>
          <w:p>
            <w:pPr>
              <w:spacing w:after="0"/>
              <w:rPr>
                <w:sz w:val="23"/>
                <w:szCs w:val="23"/>
                <w:color w:val="auto"/>
              </w:rPr>
            </w:pPr>
          </w:p>
        </w:tc>
        <w:tc>
          <w:tcPr>
            <w:tcW w:w="3200" w:type="dxa"/>
            <w:vAlign w:val="bottom"/>
          </w:tcPr>
          <w:p>
            <w:pPr>
              <w:spacing w:after="0"/>
              <w:rPr>
                <w:sz w:val="23"/>
                <w:szCs w:val="23"/>
                <w:color w:val="auto"/>
              </w:rPr>
            </w:pPr>
          </w:p>
        </w:tc>
      </w:tr>
      <w:tr>
        <w:trPr>
          <w:trHeight w:val="408"/>
        </w:trPr>
        <w:tc>
          <w:tcPr>
            <w:tcW w:w="1300" w:type="dxa"/>
            <w:vAlign w:val="bottom"/>
            <w:gridSpan w:val="2"/>
          </w:tcPr>
          <w:p>
            <w:pPr>
              <w:spacing w:after="0"/>
              <w:rPr>
                <w:sz w:val="20"/>
                <w:szCs w:val="20"/>
                <w:color w:val="auto"/>
              </w:rPr>
            </w:pPr>
            <w:r>
              <w:rPr>
                <w:rFonts w:ascii="Arial" w:cs="Arial" w:eastAsia="Arial" w:hAnsi="Arial"/>
                <w:sz w:val="18"/>
                <w:szCs w:val="18"/>
                <w:color w:val="auto"/>
              </w:rPr>
              <w:t>Item 2(a).</w:t>
            </w:r>
          </w:p>
        </w:tc>
        <w:tc>
          <w:tcPr>
            <w:tcW w:w="5140" w:type="dxa"/>
            <w:vAlign w:val="bottom"/>
            <w:gridSpan w:val="4"/>
          </w:tcPr>
          <w:p>
            <w:pPr>
              <w:spacing w:after="0"/>
              <w:rPr>
                <w:sz w:val="20"/>
                <w:szCs w:val="20"/>
                <w:color w:val="auto"/>
              </w:rPr>
            </w:pPr>
            <w:r>
              <w:rPr>
                <w:rFonts w:ascii="Arial" w:cs="Arial" w:eastAsia="Arial" w:hAnsi="Arial"/>
                <w:sz w:val="18"/>
                <w:szCs w:val="18"/>
                <w:color w:val="auto"/>
              </w:rPr>
              <w:t>Name of Person Filing:</w:t>
            </w:r>
          </w:p>
        </w:tc>
        <w:tc>
          <w:tcPr>
            <w:tcW w:w="16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0"/>
        </w:trPr>
        <w:tc>
          <w:tcPr>
            <w:tcW w:w="6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Viking Global Investors LP (“VGI”),</w:t>
      </w:r>
    </w:p>
    <w:p>
      <w:pPr>
        <w:ind w:left="1300"/>
        <w:spacing w:after="0" w:line="238" w:lineRule="auto"/>
        <w:rPr>
          <w:sz w:val="20"/>
          <w:szCs w:val="20"/>
          <w:color w:val="auto"/>
        </w:rPr>
      </w:pPr>
      <w:r>
        <w:rPr>
          <w:rFonts w:ascii="Arial" w:cs="Arial" w:eastAsia="Arial" w:hAnsi="Arial"/>
          <w:sz w:val="22"/>
          <w:szCs w:val="22"/>
          <w:color w:val="auto"/>
        </w:rPr>
        <w:t>Viking Global Performance LLC (“VGP”),</w:t>
      </w:r>
    </w:p>
    <w:p>
      <w:pPr>
        <w:ind w:left="1300"/>
        <w:spacing w:after="0" w:line="230" w:lineRule="auto"/>
        <w:rPr>
          <w:sz w:val="20"/>
          <w:szCs w:val="20"/>
          <w:color w:val="auto"/>
        </w:rPr>
      </w:pPr>
      <w:r>
        <w:rPr>
          <w:rFonts w:ascii="Arial" w:cs="Arial" w:eastAsia="Arial" w:hAnsi="Arial"/>
          <w:sz w:val="22"/>
          <w:szCs w:val="22"/>
          <w:color w:val="auto"/>
        </w:rPr>
        <w:t>Viking Global Equities II LP (“VGEII”),</w:t>
      </w:r>
    </w:p>
    <w:p>
      <w:pPr>
        <w:ind w:left="1300"/>
        <w:spacing w:after="0" w:line="231" w:lineRule="auto"/>
        <w:rPr>
          <w:sz w:val="20"/>
          <w:szCs w:val="20"/>
          <w:color w:val="auto"/>
        </w:rPr>
      </w:pPr>
      <w:r>
        <w:rPr>
          <w:rFonts w:ascii="Arial" w:cs="Arial" w:eastAsia="Arial" w:hAnsi="Arial"/>
          <w:sz w:val="22"/>
          <w:szCs w:val="22"/>
          <w:color w:val="auto"/>
        </w:rPr>
        <w:t>Viking Global Equities Master Ltd. (“VGEM”),</w:t>
      </w:r>
    </w:p>
    <w:p>
      <w:pPr>
        <w:ind w:left="1300"/>
        <w:spacing w:after="0" w:line="230" w:lineRule="auto"/>
        <w:rPr>
          <w:sz w:val="20"/>
          <w:szCs w:val="20"/>
          <w:color w:val="auto"/>
        </w:rPr>
      </w:pPr>
      <w:r>
        <w:rPr>
          <w:rFonts w:ascii="Arial" w:cs="Arial" w:eastAsia="Arial" w:hAnsi="Arial"/>
          <w:sz w:val="22"/>
          <w:szCs w:val="22"/>
          <w:color w:val="auto"/>
        </w:rPr>
        <w:t>Viking Long Fund GP LLC (“VLFGP”),</w:t>
      </w:r>
    </w:p>
    <w:p>
      <w:pPr>
        <w:ind w:left="1300"/>
        <w:spacing w:after="0" w:line="231" w:lineRule="auto"/>
        <w:rPr>
          <w:sz w:val="20"/>
          <w:szCs w:val="20"/>
          <w:color w:val="auto"/>
        </w:rPr>
      </w:pPr>
      <w:r>
        <w:rPr>
          <w:rFonts w:ascii="Arial" w:cs="Arial" w:eastAsia="Arial" w:hAnsi="Arial"/>
          <w:sz w:val="22"/>
          <w:szCs w:val="22"/>
          <w:color w:val="auto"/>
        </w:rPr>
        <w:t>Viking Long Fund Master Ltd. (“VLFM”),</w:t>
      </w:r>
    </w:p>
    <w:p>
      <w:pPr>
        <w:ind w:left="1300"/>
        <w:spacing w:after="0" w:line="230" w:lineRule="auto"/>
        <w:rPr>
          <w:sz w:val="20"/>
          <w:szCs w:val="20"/>
          <w:color w:val="auto"/>
        </w:rPr>
      </w:pPr>
      <w:r>
        <w:rPr>
          <w:rFonts w:ascii="Arial" w:cs="Arial" w:eastAsia="Arial" w:hAnsi="Arial"/>
          <w:sz w:val="22"/>
          <w:szCs w:val="22"/>
          <w:color w:val="auto"/>
        </w:rPr>
        <w:t>Viking Global Opportunities Parent GP LLC (“Opportunities Parent”),</w:t>
      </w:r>
    </w:p>
    <w:p>
      <w:pPr>
        <w:ind w:left="1300"/>
        <w:spacing w:after="0" w:line="231" w:lineRule="auto"/>
        <w:rPr>
          <w:sz w:val="20"/>
          <w:szCs w:val="20"/>
          <w:color w:val="auto"/>
        </w:rPr>
      </w:pPr>
      <w:r>
        <w:rPr>
          <w:rFonts w:ascii="Arial" w:cs="Arial" w:eastAsia="Arial" w:hAnsi="Arial"/>
          <w:sz w:val="22"/>
          <w:szCs w:val="22"/>
          <w:color w:val="auto"/>
        </w:rPr>
        <w:t>Viking Global Opportunities GP LLC (“Opportunities GP”),</w:t>
      </w:r>
    </w:p>
    <w:p>
      <w:pPr>
        <w:ind w:left="1300"/>
        <w:spacing w:after="0" w:line="230" w:lineRule="auto"/>
        <w:rPr>
          <w:sz w:val="20"/>
          <w:szCs w:val="20"/>
          <w:color w:val="auto"/>
        </w:rPr>
      </w:pPr>
      <w:r>
        <w:rPr>
          <w:rFonts w:ascii="Arial" w:cs="Arial" w:eastAsia="Arial" w:hAnsi="Arial"/>
          <w:sz w:val="22"/>
          <w:szCs w:val="22"/>
          <w:color w:val="auto"/>
        </w:rPr>
        <w:t>Viking Global Opportunities Portfolio GP LLC (“Opportunities Portfolio GP”),</w:t>
      </w:r>
    </w:p>
    <w:p>
      <w:pPr>
        <w:ind w:left="1300"/>
        <w:spacing w:after="0" w:line="231" w:lineRule="auto"/>
        <w:rPr>
          <w:sz w:val="20"/>
          <w:szCs w:val="20"/>
          <w:color w:val="auto"/>
        </w:rPr>
      </w:pPr>
      <w:r>
        <w:rPr>
          <w:rFonts w:ascii="Arial" w:cs="Arial" w:eastAsia="Arial" w:hAnsi="Arial"/>
          <w:sz w:val="22"/>
          <w:szCs w:val="22"/>
          <w:color w:val="auto"/>
        </w:rPr>
        <w:t>Viking Global Opportunities Illiquid Investments Sub-Master LP (“VGOP”),</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 Andreas Halvorsen, David C. Ott and Rose S. Shabet (collectively, the “Reporting Persons”)</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Items 2(b)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Principal Business Office or, if none, Residence</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business address of each of the Reporting Persons is: 55 Railroad Avenue, Greenwich, Connecticut 06830.</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Items 2(c)</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Citizenship</w:t>
      </w:r>
      <w:r>
        <w:rPr>
          <w:rFonts w:ascii="Arial" w:cs="Arial" w:eastAsia="Arial" w:hAnsi="Arial"/>
          <w:sz w:val="17"/>
          <w:szCs w:val="17"/>
          <w:color w:val="auto"/>
        </w:rPr>
        <w:t>:</w:t>
      </w:r>
    </w:p>
    <w:p>
      <w:pPr>
        <w:spacing w:after="0" w:line="245" w:lineRule="exact"/>
        <w:rPr>
          <w:sz w:val="20"/>
          <w:szCs w:val="20"/>
          <w:color w:val="auto"/>
        </w:rPr>
      </w:pPr>
    </w:p>
    <w:p>
      <w:pPr>
        <w:ind w:right="220" w:firstLine="1296"/>
        <w:spacing w:after="0" w:line="238" w:lineRule="auto"/>
        <w:rPr>
          <w:sz w:val="20"/>
          <w:szCs w:val="20"/>
          <w:color w:val="auto"/>
        </w:rPr>
      </w:pPr>
      <w:r>
        <w:rPr>
          <w:rFonts w:ascii="Arial" w:cs="Arial" w:eastAsia="Arial" w:hAnsi="Arial"/>
          <w:sz w:val="22"/>
          <w:szCs w:val="22"/>
          <w:color w:val="auto"/>
        </w:rPr>
        <w:t>VGI and VGEII are Delaware limited partnerships; VGP, VLFGP, Opportunities Parent, Opportunities GP and Opportunities Portfolio GP are Delaware limited liability companies; VGEM and VLFM are Cayman Islands exempted companies; VGOP is a Cayman Islands exempted limited partnership; O. Andreas Halvorsen is a citizen of Norway; and David C. Ott and Rose S. Shabet are citizens of the United States.</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Titles of Classes of Securities</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shares, par value $0.0000000341740141 per share (“Common Stock”)</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CUSIP NUMBER: G76279101</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If This Statement is Filed Pursuant to Rule 13d-1(b), or 13d-2(b) or (c), Check Whether the Person Filing is a</w:t>
      </w:r>
      <w:r>
        <w:rPr>
          <w:rFonts w:ascii="Arial" w:cs="Arial" w:eastAsia="Arial" w:hAnsi="Arial"/>
          <w:sz w:val="16"/>
          <w:szCs w:val="16"/>
          <w:color w:val="auto"/>
        </w:rPr>
        <w:t>:</w:t>
      </w:r>
    </w:p>
    <w:p>
      <w:pPr>
        <w:spacing w:after="0" w:line="219" w:lineRule="exact"/>
        <w:rPr>
          <w:sz w:val="20"/>
          <w:szCs w:val="20"/>
          <w:color w:val="auto"/>
        </w:rPr>
      </w:pPr>
    </w:p>
    <w:p>
      <w:pPr>
        <w:ind w:left="1940" w:hanging="636"/>
        <w:spacing w:after="0" w:line="207" w:lineRule="exact"/>
        <w:tabs>
          <w:tab w:leader="none" w:pos="19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57" w:lineRule="exact"/>
        <w:rPr>
          <w:rFonts w:ascii="Arial" w:cs="Arial" w:eastAsia="Arial" w:hAnsi="Arial"/>
          <w:sz w:val="18"/>
          <w:szCs w:val="18"/>
          <w:color w:val="auto"/>
        </w:rPr>
      </w:pPr>
    </w:p>
    <w:p>
      <w:pPr>
        <w:ind w:left="1940" w:hanging="636"/>
        <w:spacing w:after="0" w:line="207" w:lineRule="exact"/>
        <w:tabs>
          <w:tab w:leader="none" w:pos="19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9" w:lineRule="exact"/>
        <w:rPr>
          <w:rFonts w:ascii="Arial" w:cs="Arial" w:eastAsia="Arial" w:hAnsi="Arial"/>
          <w:sz w:val="18"/>
          <w:szCs w:val="18"/>
          <w:color w:val="auto"/>
        </w:rPr>
      </w:pPr>
    </w:p>
    <w:p>
      <w:pPr>
        <w:ind w:left="1940" w:hanging="636"/>
        <w:spacing w:after="0" w:line="207" w:lineRule="exact"/>
        <w:tabs>
          <w:tab w:leader="none" w:pos="19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9" w:lineRule="exact"/>
        <w:rPr>
          <w:rFonts w:ascii="Arial" w:cs="Arial" w:eastAsia="Arial" w:hAnsi="Arial"/>
          <w:sz w:val="18"/>
          <w:szCs w:val="18"/>
          <w:color w:val="auto"/>
        </w:rPr>
      </w:pPr>
    </w:p>
    <w:p>
      <w:pPr>
        <w:ind w:left="1940" w:hanging="636"/>
        <w:spacing w:after="0" w:line="207" w:lineRule="exact"/>
        <w:tabs>
          <w:tab w:leader="none" w:pos="19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1940" w:hanging="636"/>
        <w:spacing w:after="0" w:line="196" w:lineRule="exact"/>
        <w:tabs>
          <w:tab w:leader="none" w:pos="1940" w:val="left"/>
        </w:tabs>
        <w:numPr>
          <w:ilvl w:val="0"/>
          <w:numId w:val="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Adviser registered under Section 203 of the Investment Advisers Act of 1940: see Rule 13d-1(b)(1)(ii)(E)</w:t>
      </w:r>
    </w:p>
    <w:p>
      <w:pPr>
        <w:spacing w:after="0" w:line="20" w:lineRule="exact"/>
        <w:rPr>
          <w:rFonts w:ascii="Arial" w:cs="Arial" w:eastAsia="Arial" w:hAnsi="Arial"/>
          <w:sz w:val="17"/>
          <w:szCs w:val="17"/>
          <w:color w:val="auto"/>
        </w:rPr>
      </w:pPr>
    </w:p>
    <w:p>
      <w:pPr>
        <w:ind w:left="1940" w:right="100" w:hanging="636"/>
        <w:spacing w:after="0" w:line="215" w:lineRule="exact"/>
        <w:tabs>
          <w:tab w:leader="none" w:pos="19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6440" w:type="dxa"/>
            <w:vAlign w:val="bottom"/>
            <w:tcBorders>
              <w:top w:val="single" w:sz="8" w:color="auto"/>
              <w:left w:val="single" w:sz="8" w:color="auto"/>
              <w:bottom w:val="single" w:sz="8" w:color="auto"/>
              <w:right w:val="single" w:sz="8" w:color="auto"/>
            </w:tcBorders>
          </w:tcPr>
          <w:p>
            <w:pPr>
              <w:ind w:left="2380"/>
              <w:spacing w:after="0"/>
              <w:rPr>
                <w:sz w:val="20"/>
                <w:szCs w:val="20"/>
                <w:color w:val="auto"/>
              </w:rPr>
            </w:pPr>
            <w:r>
              <w:rPr>
                <w:rFonts w:ascii="Arial" w:cs="Arial" w:eastAsia="Arial" w:hAnsi="Arial"/>
                <w:sz w:val="18"/>
                <w:szCs w:val="18"/>
                <w:b w:val="1"/>
                <w:bCs w:val="1"/>
                <w:color w:val="auto"/>
              </w:rPr>
              <w:t>CUSIP No. G76279101</w:t>
            </w:r>
          </w:p>
        </w:tc>
        <w:tc>
          <w:tcPr>
            <w:tcW w:w="160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13G</w:t>
            </w:r>
          </w:p>
        </w:tc>
        <w:tc>
          <w:tcPr>
            <w:tcW w:w="320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Page 16 of 23</w:t>
            </w:r>
          </w:p>
        </w:tc>
      </w:tr>
    </w:tbl>
    <w:p>
      <w:pPr>
        <w:spacing w:after="0" w:line="129" w:lineRule="exact"/>
        <w:rPr>
          <w:sz w:val="20"/>
          <w:szCs w:val="20"/>
          <w:color w:val="auto"/>
        </w:rPr>
      </w:pPr>
    </w:p>
    <w:p>
      <w:pPr>
        <w:ind w:left="1940" w:hanging="636"/>
        <w:spacing w:after="0" w:line="207" w:lineRule="exact"/>
        <w:tabs>
          <w:tab w:leader="none" w:pos="19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Rule 13d-1(b)(1)(ii)(G).</w:t>
      </w:r>
    </w:p>
    <w:p>
      <w:pPr>
        <w:spacing w:after="0" w:line="57" w:lineRule="exact"/>
        <w:rPr>
          <w:rFonts w:ascii="Arial" w:cs="Arial" w:eastAsia="Arial" w:hAnsi="Arial"/>
          <w:sz w:val="18"/>
          <w:szCs w:val="18"/>
          <w:color w:val="auto"/>
        </w:rPr>
      </w:pPr>
    </w:p>
    <w:p>
      <w:pPr>
        <w:ind w:left="1940" w:hanging="636"/>
        <w:spacing w:after="0" w:line="207" w:lineRule="exact"/>
        <w:tabs>
          <w:tab w:leader="none" w:pos="19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9" w:lineRule="exact"/>
        <w:rPr>
          <w:rFonts w:ascii="Arial" w:cs="Arial" w:eastAsia="Arial" w:hAnsi="Arial"/>
          <w:sz w:val="18"/>
          <w:szCs w:val="18"/>
          <w:color w:val="auto"/>
        </w:rPr>
      </w:pPr>
    </w:p>
    <w:p>
      <w:pPr>
        <w:ind w:left="1940" w:right="700" w:hanging="636"/>
        <w:spacing w:after="0" w:line="215" w:lineRule="exact"/>
        <w:tabs>
          <w:tab w:leader="none" w:pos="19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w:t>
      </w:r>
    </w:p>
    <w:p>
      <w:pPr>
        <w:ind w:left="1940" w:hanging="636"/>
        <w:spacing w:after="0" w:line="184" w:lineRule="exact"/>
        <w:tabs>
          <w:tab w:leader="none" w:pos="19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Non-U.S. institution in accordance with Rule 240.13d-1(b)(1)(ii)(J). If filing as a non-U.S. institution in accordance with Rule</w:t>
      </w:r>
    </w:p>
    <w:p>
      <w:pPr>
        <w:spacing w:after="0" w:line="33"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18"/>
          <w:szCs w:val="18"/>
          <w:color w:val="auto"/>
        </w:rPr>
        <w:t>240.13d-1(b)(1)(ii)(J), please specify the type of institution:</w:t>
      </w:r>
    </w:p>
    <w:p>
      <w:pPr>
        <w:spacing w:after="0" w:line="7" w:lineRule="exact"/>
        <w:rPr>
          <w:rFonts w:ascii="Arial" w:cs="Arial" w:eastAsia="Arial" w:hAnsi="Arial"/>
          <w:sz w:val="16"/>
          <w:szCs w:val="16"/>
          <w:color w:val="auto"/>
        </w:rPr>
      </w:pPr>
    </w:p>
    <w:p>
      <w:pPr>
        <w:ind w:left="1940" w:hanging="636"/>
        <w:spacing w:after="0" w:line="207" w:lineRule="exact"/>
        <w:tabs>
          <w:tab w:leader="none" w:pos="19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p>
    <w:p>
      <w:pPr>
        <w:spacing w:after="0" w:line="245" w:lineRule="exact"/>
        <w:rPr>
          <w:sz w:val="20"/>
          <w:szCs w:val="20"/>
          <w:color w:val="auto"/>
        </w:rPr>
      </w:pPr>
    </w:p>
    <w:p>
      <w:pPr>
        <w:ind w:left="1320" w:right="180"/>
        <w:spacing w:after="0"/>
        <w:rPr>
          <w:sz w:val="20"/>
          <w:szCs w:val="20"/>
          <w:color w:val="auto"/>
        </w:rPr>
      </w:pPr>
      <w:r>
        <w:rPr>
          <w:rFonts w:ascii="Arial" w:cs="Arial" w:eastAsia="Arial" w:hAnsi="Arial"/>
          <w:sz w:val="22"/>
          <w:szCs w:val="22"/>
          <w:color w:val="auto"/>
        </w:rPr>
        <w:t>The percentages set forth herein are based on 692,012,183 shares of Common Stock outstanding as of December 1, 2021, as reported by the Issuer in its prospectus on Form 424B3, filed with the U.S. Securities and Exchange Commission (the “Commission”) on January 4, 2022.</w:t>
      </w:r>
    </w:p>
    <w:p>
      <w:pPr>
        <w:spacing w:after="0" w:line="213" w:lineRule="exact"/>
        <w:rPr>
          <w:sz w:val="20"/>
          <w:szCs w:val="20"/>
          <w:color w:val="auto"/>
        </w:rPr>
      </w:pPr>
    </w:p>
    <w:p>
      <w:pPr>
        <w:ind w:left="920" w:hanging="264"/>
        <w:spacing w:after="0"/>
        <w:tabs>
          <w:tab w:leader="none" w:pos="920" w:val="left"/>
        </w:tabs>
        <w:numPr>
          <w:ilvl w:val="0"/>
          <w:numId w:val="4"/>
        </w:numPr>
        <w:rPr>
          <w:rFonts w:ascii="Arial" w:cs="Arial" w:eastAsia="Arial" w:hAnsi="Arial"/>
          <w:sz w:val="22"/>
          <w:szCs w:val="22"/>
          <w:color w:val="auto"/>
        </w:rPr>
      </w:pPr>
      <w:r>
        <w:rPr>
          <w:rFonts w:ascii="Arial" w:cs="Arial" w:eastAsia="Arial" w:hAnsi="Arial"/>
          <w:sz w:val="22"/>
          <w:szCs w:val="22"/>
          <w:color w:val="auto"/>
        </w:rPr>
        <w:t>VGI</w:t>
      </w:r>
    </w:p>
    <w:p>
      <w:pPr>
        <w:spacing w:after="0" w:line="240" w:lineRule="exact"/>
        <w:rPr>
          <w:rFonts w:ascii="Arial" w:cs="Arial" w:eastAsia="Arial" w:hAnsi="Arial"/>
          <w:sz w:val="22"/>
          <w:szCs w:val="22"/>
          <w:color w:val="auto"/>
        </w:rPr>
      </w:pPr>
    </w:p>
    <w:p>
      <w:pPr>
        <w:ind w:left="1820" w:hanging="570"/>
        <w:spacing w:after="0"/>
        <w:tabs>
          <w:tab w:leader="none" w:pos="1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beneficially owned: 88,238,700</w:t>
      </w:r>
    </w:p>
    <w:p>
      <w:pPr>
        <w:spacing w:after="0" w:line="225" w:lineRule="exact"/>
        <w:rPr>
          <w:rFonts w:ascii="Arial" w:cs="Arial" w:eastAsia="Arial" w:hAnsi="Arial"/>
          <w:sz w:val="18"/>
          <w:szCs w:val="18"/>
          <w:color w:val="auto"/>
        </w:rPr>
      </w:pPr>
    </w:p>
    <w:p>
      <w:pPr>
        <w:ind w:left="1820" w:hanging="570"/>
        <w:spacing w:after="0"/>
        <w:tabs>
          <w:tab w:leader="none" w:pos="1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12.8%</w:t>
      </w:r>
    </w:p>
    <w:p>
      <w:pPr>
        <w:spacing w:after="0" w:line="225" w:lineRule="exact"/>
        <w:rPr>
          <w:rFonts w:ascii="Arial" w:cs="Arial" w:eastAsia="Arial" w:hAnsi="Arial"/>
          <w:sz w:val="18"/>
          <w:szCs w:val="18"/>
          <w:color w:val="auto"/>
        </w:rPr>
      </w:pPr>
    </w:p>
    <w:p>
      <w:pPr>
        <w:ind w:left="1820" w:hanging="570"/>
        <w:spacing w:after="0"/>
        <w:tabs>
          <w:tab w:leader="none" w:pos="1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88,238,700</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88,238,700</w:t>
      </w:r>
    </w:p>
    <w:p>
      <w:pPr>
        <w:spacing w:after="0" w:line="245" w:lineRule="exact"/>
        <w:rPr>
          <w:sz w:val="20"/>
          <w:szCs w:val="20"/>
          <w:color w:val="auto"/>
        </w:rPr>
      </w:pPr>
    </w:p>
    <w:p>
      <w:pPr>
        <w:ind w:left="2120" w:right="160"/>
        <w:spacing w:after="0"/>
        <w:rPr>
          <w:sz w:val="20"/>
          <w:szCs w:val="20"/>
          <w:color w:val="auto"/>
        </w:rPr>
      </w:pPr>
      <w:r>
        <w:rPr>
          <w:rFonts w:ascii="Arial" w:cs="Arial" w:eastAsia="Arial" w:hAnsi="Arial"/>
          <w:sz w:val="22"/>
          <w:szCs w:val="22"/>
          <w:color w:val="auto"/>
        </w:rPr>
        <w:t>VGI provides managerial services to VGEII, VGEM, VLFM and VGOP. VGI has the authority to dispose of and vote the shares of Common Stock directly owned by VGEII, VGEM, VLFM and VGOP. VGI does not directly own any shares of Common Stock.</w:t>
      </w:r>
    </w:p>
    <w:p>
      <w:pPr>
        <w:spacing w:after="0" w:line="213" w:lineRule="exact"/>
        <w:rPr>
          <w:sz w:val="20"/>
          <w:szCs w:val="20"/>
          <w:color w:val="auto"/>
        </w:rPr>
      </w:pPr>
    </w:p>
    <w:p>
      <w:pPr>
        <w:ind w:left="2120" w:right="320"/>
        <w:spacing w:after="0"/>
        <w:rPr>
          <w:sz w:val="20"/>
          <w:szCs w:val="20"/>
          <w:color w:val="auto"/>
        </w:rPr>
      </w:pPr>
      <w:r>
        <w:rPr>
          <w:rFonts w:ascii="Arial" w:cs="Arial" w:eastAsia="Arial" w:hAnsi="Arial"/>
          <w:sz w:val="22"/>
          <w:szCs w:val="22"/>
          <w:color w:val="auto"/>
        </w:rPr>
        <w:t>Based on Rule 13d-3 of the Securities Exchange Act of 1934, as amended (the “Act”), VGI may be deemed to beneficially own the shares of Common Stock directly held by VGEII, VGEM, VLFM and VGOP.</w:t>
      </w:r>
    </w:p>
    <w:p>
      <w:pPr>
        <w:spacing w:after="0" w:line="213" w:lineRule="exact"/>
        <w:rPr>
          <w:sz w:val="20"/>
          <w:szCs w:val="20"/>
          <w:color w:val="auto"/>
        </w:rPr>
      </w:pPr>
    </w:p>
    <w:p>
      <w:pPr>
        <w:ind w:left="900" w:hanging="244"/>
        <w:spacing w:after="0"/>
        <w:tabs>
          <w:tab w:leader="none" w:pos="900" w:val="left"/>
        </w:tabs>
        <w:numPr>
          <w:ilvl w:val="0"/>
          <w:numId w:val="5"/>
        </w:numPr>
        <w:rPr>
          <w:rFonts w:ascii="Arial" w:cs="Arial" w:eastAsia="Arial" w:hAnsi="Arial"/>
          <w:sz w:val="22"/>
          <w:szCs w:val="22"/>
          <w:color w:val="auto"/>
        </w:rPr>
      </w:pPr>
      <w:r>
        <w:rPr>
          <w:rFonts w:ascii="Arial" w:cs="Arial" w:eastAsia="Arial" w:hAnsi="Arial"/>
          <w:sz w:val="22"/>
          <w:szCs w:val="22"/>
          <w:color w:val="auto"/>
        </w:rPr>
        <w:t>VGP</w:t>
      </w:r>
    </w:p>
    <w:p>
      <w:pPr>
        <w:spacing w:after="0" w:line="240" w:lineRule="exact"/>
        <w:rPr>
          <w:rFonts w:ascii="Arial" w:cs="Arial" w:eastAsia="Arial" w:hAnsi="Arial"/>
          <w:sz w:val="22"/>
          <w:szCs w:val="22"/>
          <w:color w:val="auto"/>
        </w:rPr>
      </w:pPr>
    </w:p>
    <w:p>
      <w:pPr>
        <w:ind w:left="1820" w:hanging="570"/>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beneficially owned: 37,588,321</w:t>
      </w:r>
    </w:p>
    <w:p>
      <w:pPr>
        <w:spacing w:after="0" w:line="225" w:lineRule="exact"/>
        <w:rPr>
          <w:rFonts w:ascii="Arial" w:cs="Arial" w:eastAsia="Arial" w:hAnsi="Arial"/>
          <w:sz w:val="18"/>
          <w:szCs w:val="18"/>
          <w:color w:val="auto"/>
        </w:rPr>
      </w:pPr>
    </w:p>
    <w:p>
      <w:pPr>
        <w:ind w:left="1820" w:hanging="570"/>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5.4%</w:t>
      </w:r>
    </w:p>
    <w:p>
      <w:pPr>
        <w:spacing w:after="0" w:line="225" w:lineRule="exact"/>
        <w:rPr>
          <w:rFonts w:ascii="Arial" w:cs="Arial" w:eastAsia="Arial" w:hAnsi="Arial"/>
          <w:sz w:val="18"/>
          <w:szCs w:val="18"/>
          <w:color w:val="auto"/>
        </w:rPr>
      </w:pPr>
    </w:p>
    <w:p>
      <w:pPr>
        <w:ind w:left="1820" w:hanging="570"/>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37,588,321</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37,588,321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p>
      <w:pPr>
        <w:ind w:left="1724"/>
        <w:spacing w:after="0"/>
        <w:tabs>
          <w:tab w:leader="none" w:pos="6384" w:val="left"/>
          <w:tab w:leader="none" w:pos="84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G76279101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17 of 23</w:t>
      </w:r>
    </w:p>
    <w:p>
      <w:pPr>
        <w:sectPr>
          <w:pgSz w:w="11900" w:h="16838" w:orient="portrait"/>
          <w:cols w:equalWidth="0" w:num="1">
            <w:col w:w="10524"/>
          </w:cols>
          <w:pgMar w:left="976" w:top="148" w:right="399" w:bottom="1440" w:gutter="0" w:footer="0" w:header="0"/>
        </w:sectPr>
      </w:pPr>
    </w:p>
    <w:p>
      <w:pPr>
        <w:spacing w:after="0" w:line="208" w:lineRule="exact"/>
        <w:rPr>
          <w:sz w:val="20"/>
          <w:szCs w:val="20"/>
          <w:color w:val="auto"/>
        </w:rPr>
      </w:pPr>
    </w:p>
    <w:p>
      <w:pPr>
        <w:ind w:left="1464" w:right="80"/>
        <w:spacing w:after="0" w:line="238" w:lineRule="auto"/>
        <w:rPr>
          <w:sz w:val="20"/>
          <w:szCs w:val="20"/>
          <w:color w:val="auto"/>
        </w:rPr>
      </w:pPr>
      <w:r>
        <w:rPr>
          <w:rFonts w:ascii="Arial" w:cs="Arial" w:eastAsia="Arial" w:hAnsi="Arial"/>
          <w:sz w:val="22"/>
          <w:szCs w:val="22"/>
          <w:color w:val="auto"/>
        </w:rPr>
        <w:t>VGP, as the general partner of VGEII, has the authority to dispose of and vote the shares of Common Stock directly owned by VGEII. VGP serves as investment manager to VGEM and has the authority to dispose of and vote the shares of Common Stock directly owned by VGEM. VGP does not directly own any shares of Common Stock.</w:t>
      </w:r>
    </w:p>
    <w:p>
      <w:pPr>
        <w:spacing w:after="0" w:line="212" w:lineRule="exact"/>
        <w:rPr>
          <w:sz w:val="20"/>
          <w:szCs w:val="20"/>
          <w:color w:val="auto"/>
        </w:rPr>
      </w:pPr>
    </w:p>
    <w:p>
      <w:pPr>
        <w:ind w:left="1464" w:right="100"/>
        <w:spacing w:after="0" w:line="250" w:lineRule="auto"/>
        <w:rPr>
          <w:sz w:val="20"/>
          <w:szCs w:val="20"/>
          <w:color w:val="auto"/>
        </w:rPr>
      </w:pPr>
      <w:r>
        <w:rPr>
          <w:rFonts w:ascii="Arial" w:cs="Arial" w:eastAsia="Arial" w:hAnsi="Arial"/>
          <w:sz w:val="22"/>
          <w:szCs w:val="22"/>
          <w:color w:val="auto"/>
        </w:rPr>
        <w:t>Based on Rule 13d-3 of the Act, VGP may be deemed to beneficially own the shares of Common Stock directly held by VGEII and VGEM.</w:t>
      </w:r>
    </w:p>
    <w:p>
      <w:pPr>
        <w:spacing w:after="0" w:line="202" w:lineRule="exact"/>
        <w:rPr>
          <w:sz w:val="20"/>
          <w:szCs w:val="20"/>
          <w:color w:val="auto"/>
        </w:rPr>
      </w:pPr>
    </w:p>
    <w:p>
      <w:pPr>
        <w:ind w:left="244" w:hanging="244"/>
        <w:spacing w:after="0"/>
        <w:tabs>
          <w:tab w:leader="none" w:pos="244" w:val="left"/>
        </w:tabs>
        <w:numPr>
          <w:ilvl w:val="0"/>
          <w:numId w:val="6"/>
        </w:numPr>
        <w:rPr>
          <w:rFonts w:ascii="Arial" w:cs="Arial" w:eastAsia="Arial" w:hAnsi="Arial"/>
          <w:sz w:val="22"/>
          <w:szCs w:val="22"/>
          <w:color w:val="auto"/>
        </w:rPr>
      </w:pPr>
      <w:r>
        <w:rPr>
          <w:rFonts w:ascii="Arial" w:cs="Arial" w:eastAsia="Arial" w:hAnsi="Arial"/>
          <w:sz w:val="22"/>
          <w:szCs w:val="22"/>
          <w:color w:val="auto"/>
        </w:rPr>
        <w:t>VGEII</w:t>
      </w:r>
    </w:p>
    <w:p>
      <w:pPr>
        <w:spacing w:after="0" w:line="240" w:lineRule="exact"/>
        <w:rPr>
          <w:rFonts w:ascii="Arial" w:cs="Arial" w:eastAsia="Arial" w:hAnsi="Arial"/>
          <w:sz w:val="22"/>
          <w:szCs w:val="22"/>
          <w:color w:val="auto"/>
        </w:rPr>
      </w:pPr>
    </w:p>
    <w:p>
      <w:pPr>
        <w:ind w:left="1164" w:hanging="570"/>
        <w:spacing w:after="0"/>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beneficially owned: 751,766</w:t>
      </w:r>
    </w:p>
    <w:p>
      <w:pPr>
        <w:spacing w:after="0" w:line="225" w:lineRule="exact"/>
        <w:rPr>
          <w:rFonts w:ascii="Arial" w:cs="Arial" w:eastAsia="Arial" w:hAnsi="Arial"/>
          <w:sz w:val="18"/>
          <w:szCs w:val="18"/>
          <w:color w:val="auto"/>
        </w:rPr>
      </w:pPr>
    </w:p>
    <w:p>
      <w:pPr>
        <w:ind w:left="1164" w:hanging="570"/>
        <w:spacing w:after="0"/>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0.1%</w:t>
      </w:r>
    </w:p>
    <w:p>
      <w:pPr>
        <w:spacing w:after="0" w:line="225" w:lineRule="exact"/>
        <w:rPr>
          <w:rFonts w:ascii="Arial" w:cs="Arial" w:eastAsia="Arial" w:hAnsi="Arial"/>
          <w:sz w:val="18"/>
          <w:szCs w:val="18"/>
          <w:color w:val="auto"/>
        </w:rPr>
      </w:pPr>
    </w:p>
    <w:p>
      <w:pPr>
        <w:ind w:left="1164" w:hanging="570"/>
        <w:spacing w:after="0"/>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751,766</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751,766</w:t>
      </w:r>
    </w:p>
    <w:p>
      <w:pPr>
        <w:spacing w:after="0" w:line="245" w:lineRule="exact"/>
        <w:rPr>
          <w:sz w:val="20"/>
          <w:szCs w:val="20"/>
          <w:color w:val="auto"/>
        </w:rPr>
      </w:pPr>
    </w:p>
    <w:p>
      <w:pPr>
        <w:ind w:left="1464" w:right="60"/>
        <w:spacing w:after="0"/>
        <w:rPr>
          <w:sz w:val="20"/>
          <w:szCs w:val="20"/>
          <w:color w:val="auto"/>
        </w:rPr>
      </w:pPr>
      <w:r>
        <w:rPr>
          <w:rFonts w:ascii="Arial" w:cs="Arial" w:eastAsia="Arial" w:hAnsi="Arial"/>
          <w:sz w:val="22"/>
          <w:szCs w:val="22"/>
          <w:color w:val="auto"/>
        </w:rPr>
        <w:t>VGEII has the authority to dispose of and vote the shares of Common Stock directly owned by it, which power may be exercised by its general partner, VGP, and by VGI, an affiliate of VGP, which provides managerial services to VGEII.</w:t>
      </w:r>
    </w:p>
    <w:p>
      <w:pPr>
        <w:spacing w:after="0" w:line="213" w:lineRule="exact"/>
        <w:rPr>
          <w:sz w:val="20"/>
          <w:szCs w:val="20"/>
          <w:color w:val="auto"/>
        </w:rPr>
      </w:pPr>
    </w:p>
    <w:p>
      <w:pPr>
        <w:ind w:left="264" w:hanging="264"/>
        <w:spacing w:after="0"/>
        <w:tabs>
          <w:tab w:leader="none" w:pos="264" w:val="left"/>
        </w:tabs>
        <w:numPr>
          <w:ilvl w:val="0"/>
          <w:numId w:val="7"/>
        </w:numPr>
        <w:rPr>
          <w:rFonts w:ascii="Arial" w:cs="Arial" w:eastAsia="Arial" w:hAnsi="Arial"/>
          <w:sz w:val="22"/>
          <w:szCs w:val="22"/>
          <w:color w:val="auto"/>
        </w:rPr>
      </w:pPr>
      <w:r>
        <w:rPr>
          <w:rFonts w:ascii="Arial" w:cs="Arial" w:eastAsia="Arial" w:hAnsi="Arial"/>
          <w:sz w:val="22"/>
          <w:szCs w:val="22"/>
          <w:color w:val="auto"/>
        </w:rPr>
        <w:t>VGEM</w:t>
      </w:r>
    </w:p>
    <w:p>
      <w:pPr>
        <w:spacing w:after="0" w:line="240" w:lineRule="exact"/>
        <w:rPr>
          <w:rFonts w:ascii="Arial" w:cs="Arial" w:eastAsia="Arial" w:hAnsi="Arial"/>
          <w:sz w:val="22"/>
          <w:szCs w:val="22"/>
          <w:color w:val="auto"/>
        </w:rPr>
      </w:pPr>
    </w:p>
    <w:p>
      <w:pPr>
        <w:ind w:left="1164" w:hanging="570"/>
        <w:spacing w:after="0"/>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beneficially owned: 36,836,555</w:t>
      </w:r>
    </w:p>
    <w:p>
      <w:pPr>
        <w:spacing w:after="0" w:line="225" w:lineRule="exact"/>
        <w:rPr>
          <w:rFonts w:ascii="Arial" w:cs="Arial" w:eastAsia="Arial" w:hAnsi="Arial"/>
          <w:sz w:val="18"/>
          <w:szCs w:val="18"/>
          <w:color w:val="auto"/>
        </w:rPr>
      </w:pPr>
    </w:p>
    <w:p>
      <w:pPr>
        <w:ind w:left="1164" w:hanging="570"/>
        <w:spacing w:after="0"/>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5.3%</w:t>
      </w:r>
    </w:p>
    <w:p>
      <w:pPr>
        <w:spacing w:after="0" w:line="225" w:lineRule="exact"/>
        <w:rPr>
          <w:rFonts w:ascii="Arial" w:cs="Arial" w:eastAsia="Arial" w:hAnsi="Arial"/>
          <w:sz w:val="18"/>
          <w:szCs w:val="18"/>
          <w:color w:val="auto"/>
        </w:rPr>
      </w:pPr>
    </w:p>
    <w:p>
      <w:pPr>
        <w:ind w:left="1164" w:hanging="570"/>
        <w:spacing w:after="0"/>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36,836,555</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36,836,555</w:t>
      </w:r>
    </w:p>
    <w:p>
      <w:pPr>
        <w:spacing w:after="0" w:line="245" w:lineRule="exact"/>
        <w:rPr>
          <w:sz w:val="20"/>
          <w:szCs w:val="20"/>
          <w:color w:val="auto"/>
        </w:rPr>
      </w:pPr>
    </w:p>
    <w:p>
      <w:pPr>
        <w:ind w:left="1464"/>
        <w:spacing w:after="0" w:line="271" w:lineRule="auto"/>
        <w:rPr>
          <w:sz w:val="20"/>
          <w:szCs w:val="20"/>
          <w:color w:val="auto"/>
        </w:rPr>
      </w:pPr>
      <w:r>
        <w:rPr>
          <w:rFonts w:ascii="Arial" w:cs="Arial" w:eastAsia="Arial" w:hAnsi="Arial"/>
          <w:sz w:val="19"/>
          <w:szCs w:val="19"/>
          <w:color w:val="auto"/>
        </w:rPr>
        <w:t>VGEM has the authority to dispose of and vote the shares of Common Stock directly owned by it, which power may be exercised by its investment manager, VGP, and by VGI, an affiliate of VGP, which provides managerial services to VGEM. Viking Global Equities LP (a Delaware limited partnership) and Viking Global Equities III Ltd. (a Cayman Islands exempted company), through its investment in VGE</w:t>
      </w:r>
    </w:p>
    <w:p>
      <w:pPr>
        <w:spacing w:after="0" w:line="3" w:lineRule="exact"/>
        <w:rPr>
          <w:sz w:val="20"/>
          <w:szCs w:val="20"/>
          <w:color w:val="auto"/>
        </w:rPr>
      </w:pPr>
    </w:p>
    <w:p>
      <w:pPr>
        <w:ind w:left="1464" w:right="140" w:hanging="6"/>
        <w:spacing w:after="0" w:line="236" w:lineRule="auto"/>
        <w:tabs>
          <w:tab w:leader="none" w:pos="1734" w:val="left"/>
        </w:tabs>
        <w:numPr>
          <w:ilvl w:val="0"/>
          <w:numId w:val="8"/>
        </w:numPr>
        <w:rPr>
          <w:rFonts w:ascii="Arial" w:cs="Arial" w:eastAsia="Arial" w:hAnsi="Arial"/>
          <w:sz w:val="22"/>
          <w:szCs w:val="22"/>
          <w:color w:val="auto"/>
        </w:rPr>
      </w:pPr>
      <w:r>
        <w:rPr>
          <w:rFonts w:ascii="Arial" w:cs="Arial" w:eastAsia="Arial" w:hAnsi="Arial"/>
          <w:sz w:val="22"/>
          <w:szCs w:val="22"/>
          <w:color w:val="auto"/>
        </w:rPr>
        <w:t>Portfolio Ltd. (a Cayman Islands exempted company), invest substantially all of their assets through VGEM.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269240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48" w:right="399" w:bottom="1440" w:gutter="0" w:footer="0" w:header="0"/>
          <w:type w:val="continuous"/>
        </w:sectPr>
      </w:pPr>
    </w:p>
    <w:bookmarkStart w:id="17" w:name="page18"/>
    <w:bookmarkEnd w:id="17"/>
    <w:tbl>
      <w:tblPr>
        <w:tblLayout w:type="fixed"/>
        <w:tblInd w:w="10" w:type="dxa"/>
        <w:tblCellMar>
          <w:top w:w="0" w:type="dxa"/>
          <w:left w:w="0" w:type="dxa"/>
          <w:bottom w:w="0" w:type="dxa"/>
          <w:right w:w="0" w:type="dxa"/>
        </w:tblCellMar>
      </w:tblPr>
      <w:tr>
        <w:trPr>
          <w:trHeight w:val="250"/>
        </w:trPr>
        <w:tc>
          <w:tcPr>
            <w:tcW w:w="6440" w:type="dxa"/>
            <w:vAlign w:val="bottom"/>
            <w:tcBorders>
              <w:top w:val="single" w:sz="8" w:color="auto"/>
              <w:left w:val="single" w:sz="8" w:color="auto"/>
              <w:bottom w:val="single" w:sz="8" w:color="auto"/>
              <w:right w:val="single" w:sz="8" w:color="auto"/>
            </w:tcBorders>
          </w:tcPr>
          <w:p>
            <w:pPr>
              <w:ind w:left="2380"/>
              <w:spacing w:after="0"/>
              <w:rPr>
                <w:sz w:val="20"/>
                <w:szCs w:val="20"/>
                <w:color w:val="auto"/>
              </w:rPr>
            </w:pPr>
            <w:r>
              <w:rPr>
                <w:rFonts w:ascii="Arial" w:cs="Arial" w:eastAsia="Arial" w:hAnsi="Arial"/>
                <w:sz w:val="18"/>
                <w:szCs w:val="18"/>
                <w:b w:val="1"/>
                <w:bCs w:val="1"/>
                <w:color w:val="auto"/>
              </w:rPr>
              <w:t>CUSIP No. G76279101</w:t>
            </w:r>
          </w:p>
        </w:tc>
        <w:tc>
          <w:tcPr>
            <w:tcW w:w="160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13G</w:t>
            </w:r>
          </w:p>
        </w:tc>
        <w:tc>
          <w:tcPr>
            <w:tcW w:w="320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Page 18 of 23</w:t>
            </w:r>
          </w:p>
        </w:tc>
      </w:tr>
    </w:tbl>
    <w:p>
      <w:pPr>
        <w:spacing w:after="0" w:line="154" w:lineRule="exact"/>
        <w:rPr>
          <w:sz w:val="20"/>
          <w:szCs w:val="20"/>
          <w:color w:val="auto"/>
        </w:rPr>
      </w:pPr>
    </w:p>
    <w:p>
      <w:pPr>
        <w:ind w:left="900" w:hanging="244"/>
        <w:spacing w:after="0"/>
        <w:tabs>
          <w:tab w:leader="none" w:pos="900" w:val="left"/>
        </w:tabs>
        <w:numPr>
          <w:ilvl w:val="0"/>
          <w:numId w:val="9"/>
        </w:numPr>
        <w:rPr>
          <w:rFonts w:ascii="Arial" w:cs="Arial" w:eastAsia="Arial" w:hAnsi="Arial"/>
          <w:sz w:val="22"/>
          <w:szCs w:val="22"/>
          <w:color w:val="auto"/>
        </w:rPr>
      </w:pPr>
      <w:r>
        <w:rPr>
          <w:rFonts w:ascii="Arial" w:cs="Arial" w:eastAsia="Arial" w:hAnsi="Arial"/>
          <w:sz w:val="22"/>
          <w:szCs w:val="22"/>
          <w:color w:val="auto"/>
        </w:rPr>
        <w:t>VLFGP</w:t>
      </w:r>
    </w:p>
    <w:p>
      <w:pPr>
        <w:spacing w:after="0" w:line="240" w:lineRule="exact"/>
        <w:rPr>
          <w:rFonts w:ascii="Arial" w:cs="Arial" w:eastAsia="Arial" w:hAnsi="Arial"/>
          <w:sz w:val="22"/>
          <w:szCs w:val="22"/>
          <w:color w:val="auto"/>
        </w:rPr>
      </w:pPr>
    </w:p>
    <w:p>
      <w:pPr>
        <w:ind w:left="1820" w:hanging="570"/>
        <w:spacing w:after="0"/>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Amount beneficially owned: 15,110,502</w:t>
      </w:r>
    </w:p>
    <w:p>
      <w:pPr>
        <w:spacing w:after="0" w:line="225" w:lineRule="exact"/>
        <w:rPr>
          <w:rFonts w:ascii="Arial" w:cs="Arial" w:eastAsia="Arial" w:hAnsi="Arial"/>
          <w:sz w:val="18"/>
          <w:szCs w:val="18"/>
          <w:color w:val="auto"/>
        </w:rPr>
      </w:pPr>
    </w:p>
    <w:p>
      <w:pPr>
        <w:ind w:left="1820" w:hanging="570"/>
        <w:spacing w:after="0"/>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2.2%</w:t>
      </w:r>
    </w:p>
    <w:p>
      <w:pPr>
        <w:spacing w:after="0" w:line="225" w:lineRule="exact"/>
        <w:rPr>
          <w:rFonts w:ascii="Arial" w:cs="Arial" w:eastAsia="Arial" w:hAnsi="Arial"/>
          <w:sz w:val="18"/>
          <w:szCs w:val="18"/>
          <w:color w:val="auto"/>
        </w:rPr>
      </w:pPr>
    </w:p>
    <w:p>
      <w:pPr>
        <w:ind w:left="1820" w:hanging="570"/>
        <w:spacing w:after="0"/>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15,110,502</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15,110,502</w:t>
      </w:r>
    </w:p>
    <w:p>
      <w:pPr>
        <w:spacing w:after="0" w:line="245" w:lineRule="exact"/>
        <w:rPr>
          <w:sz w:val="20"/>
          <w:szCs w:val="20"/>
          <w:color w:val="auto"/>
        </w:rPr>
      </w:pPr>
    </w:p>
    <w:p>
      <w:pPr>
        <w:ind w:left="2120" w:right="480"/>
        <w:spacing w:after="0"/>
        <w:rPr>
          <w:sz w:val="20"/>
          <w:szCs w:val="20"/>
          <w:color w:val="auto"/>
        </w:rPr>
      </w:pPr>
      <w:r>
        <w:rPr>
          <w:rFonts w:ascii="Arial" w:cs="Arial" w:eastAsia="Arial" w:hAnsi="Arial"/>
          <w:sz w:val="22"/>
          <w:szCs w:val="22"/>
          <w:color w:val="auto"/>
        </w:rPr>
        <w:t>VLFGP serves as the investment manager of VLFM and has the authority to dispose of and vote the shares of Common Stock directly owned by VLFM. VLFGP does not directly own any shares of Common Stock.</w:t>
      </w:r>
    </w:p>
    <w:p>
      <w:pPr>
        <w:spacing w:after="0" w:line="213" w:lineRule="exact"/>
        <w:rPr>
          <w:sz w:val="20"/>
          <w:szCs w:val="20"/>
          <w:color w:val="auto"/>
        </w:rPr>
      </w:pPr>
    </w:p>
    <w:p>
      <w:pPr>
        <w:ind w:left="2120" w:right="460"/>
        <w:spacing w:after="0" w:line="250" w:lineRule="auto"/>
        <w:rPr>
          <w:sz w:val="20"/>
          <w:szCs w:val="20"/>
          <w:color w:val="auto"/>
        </w:rPr>
      </w:pPr>
      <w:r>
        <w:rPr>
          <w:rFonts w:ascii="Arial" w:cs="Arial" w:eastAsia="Arial" w:hAnsi="Arial"/>
          <w:sz w:val="22"/>
          <w:szCs w:val="22"/>
          <w:color w:val="auto"/>
        </w:rPr>
        <w:t>Based on Rule 13d-3 of the Act, VLFGP may be deemed to beneficially own the shares of Common Stock directly held by VLFM.</w:t>
      </w:r>
    </w:p>
    <w:p>
      <w:pPr>
        <w:spacing w:after="0" w:line="202" w:lineRule="exact"/>
        <w:rPr>
          <w:sz w:val="20"/>
          <w:szCs w:val="20"/>
          <w:color w:val="auto"/>
        </w:rPr>
      </w:pPr>
    </w:p>
    <w:p>
      <w:pPr>
        <w:ind w:left="860" w:hanging="204"/>
        <w:spacing w:after="0"/>
        <w:tabs>
          <w:tab w:leader="none" w:pos="8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VLFM</w:t>
      </w:r>
    </w:p>
    <w:p>
      <w:pPr>
        <w:spacing w:after="0" w:line="240" w:lineRule="exact"/>
        <w:rPr>
          <w:rFonts w:ascii="Arial" w:cs="Arial" w:eastAsia="Arial" w:hAnsi="Arial"/>
          <w:sz w:val="22"/>
          <w:szCs w:val="22"/>
          <w:color w:val="auto"/>
        </w:rPr>
      </w:pPr>
    </w:p>
    <w:p>
      <w:pPr>
        <w:ind w:left="1820" w:hanging="570"/>
        <w:spacing w:after="0"/>
        <w:tabs>
          <w:tab w:leader="none" w:pos="1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Amount beneficially owned: 15,110,502</w:t>
      </w:r>
    </w:p>
    <w:p>
      <w:pPr>
        <w:spacing w:after="0" w:line="225" w:lineRule="exact"/>
        <w:rPr>
          <w:rFonts w:ascii="Arial" w:cs="Arial" w:eastAsia="Arial" w:hAnsi="Arial"/>
          <w:sz w:val="18"/>
          <w:szCs w:val="18"/>
          <w:color w:val="auto"/>
        </w:rPr>
      </w:pPr>
    </w:p>
    <w:p>
      <w:pPr>
        <w:ind w:left="1820" w:hanging="570"/>
        <w:spacing w:after="0"/>
        <w:tabs>
          <w:tab w:leader="none" w:pos="1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2.2%</w:t>
      </w:r>
    </w:p>
    <w:p>
      <w:pPr>
        <w:spacing w:after="0" w:line="225" w:lineRule="exact"/>
        <w:rPr>
          <w:rFonts w:ascii="Arial" w:cs="Arial" w:eastAsia="Arial" w:hAnsi="Arial"/>
          <w:sz w:val="18"/>
          <w:szCs w:val="18"/>
          <w:color w:val="auto"/>
        </w:rPr>
      </w:pPr>
    </w:p>
    <w:p>
      <w:pPr>
        <w:ind w:left="1820" w:hanging="570"/>
        <w:spacing w:after="0"/>
        <w:tabs>
          <w:tab w:leader="none" w:pos="1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15,110,502</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380" w:hanging="563"/>
        <w:spacing w:after="0"/>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15,110,502</w:t>
      </w:r>
    </w:p>
    <w:p>
      <w:pPr>
        <w:spacing w:after="0" w:line="245" w:lineRule="exact"/>
        <w:rPr>
          <w:sz w:val="20"/>
          <w:szCs w:val="20"/>
          <w:color w:val="auto"/>
        </w:rPr>
      </w:pPr>
    </w:p>
    <w:p>
      <w:pPr>
        <w:ind w:left="2120" w:right="100"/>
        <w:spacing w:after="0" w:line="235" w:lineRule="auto"/>
        <w:rPr>
          <w:sz w:val="20"/>
          <w:szCs w:val="20"/>
          <w:color w:val="auto"/>
        </w:rPr>
      </w:pPr>
      <w:r>
        <w:rPr>
          <w:rFonts w:ascii="Arial" w:cs="Arial" w:eastAsia="Arial" w:hAnsi="Arial"/>
          <w:sz w:val="22"/>
          <w:szCs w:val="22"/>
          <w:color w:val="auto"/>
        </w:rPr>
        <w:t>VLFM has the authority to dispose of and vote the shares of Common Stock directly owned by it, which power may be exercised by its investment manager, VLFGP, and by VGI, an affiliate of VLFGP, which provides managerial services to VLFM. Viking Long Fund LP (a Delaware limited partnership) and Viking Long Fund III Ltd. (a Cayman Islands exempted company), through its investment in Viking Long Fund Intermediate L.P. (a Cayman Islands limited partnership), invest substantially all of their assets through VLFM.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 Opportunities Parent</w:t>
      </w:r>
    </w:p>
    <w:p>
      <w:pPr>
        <w:spacing w:after="0" w:line="233" w:lineRule="exact"/>
        <w:rPr>
          <w:sz w:val="20"/>
          <w:szCs w:val="20"/>
          <w:color w:val="auto"/>
        </w:rPr>
      </w:pPr>
    </w:p>
    <w:p>
      <w:pPr>
        <w:ind w:left="1600" w:hanging="296"/>
        <w:spacing w:after="0"/>
        <w:tabs>
          <w:tab w:leader="none" w:pos="1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 35,539,877</w:t>
      </w:r>
    </w:p>
    <w:p>
      <w:pPr>
        <w:spacing w:after="0" w:line="233" w:lineRule="exact"/>
        <w:rPr>
          <w:rFonts w:ascii="Arial" w:cs="Arial" w:eastAsia="Arial" w:hAnsi="Arial"/>
          <w:sz w:val="22"/>
          <w:szCs w:val="22"/>
          <w:color w:val="auto"/>
        </w:rPr>
      </w:pPr>
    </w:p>
    <w:p>
      <w:pPr>
        <w:ind w:left="1600" w:hanging="296"/>
        <w:spacing w:after="0"/>
        <w:tabs>
          <w:tab w:leader="none" w:pos="1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5.1%</w:t>
      </w:r>
    </w:p>
    <w:p>
      <w:pPr>
        <w:spacing w:after="0" w:line="233" w:lineRule="exact"/>
        <w:rPr>
          <w:rFonts w:ascii="Arial" w:cs="Arial" w:eastAsia="Arial" w:hAnsi="Arial"/>
          <w:sz w:val="22"/>
          <w:szCs w:val="22"/>
          <w:color w:val="auto"/>
        </w:rPr>
      </w:pPr>
    </w:p>
    <w:p>
      <w:pPr>
        <w:ind w:left="1600" w:hanging="296"/>
        <w:spacing w:after="0"/>
        <w:tabs>
          <w:tab w:leader="none" w:pos="1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2220" w:hanging="268"/>
        <w:spacing w:after="0"/>
        <w:tabs>
          <w:tab w:leader="none" w:pos="222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233" w:lineRule="exact"/>
        <w:rPr>
          <w:rFonts w:ascii="Arial" w:cs="Arial" w:eastAsia="Arial" w:hAnsi="Arial"/>
          <w:sz w:val="22"/>
          <w:szCs w:val="22"/>
          <w:color w:val="auto"/>
        </w:rPr>
      </w:pPr>
    </w:p>
    <w:p>
      <w:pPr>
        <w:ind w:left="2280" w:hanging="328"/>
        <w:spacing w:after="0"/>
        <w:tabs>
          <w:tab w:leader="none" w:pos="228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vote or to direct the vote: 35,539,877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p>
      <w:pPr>
        <w:ind w:left="1720"/>
        <w:spacing w:after="0"/>
        <w:tabs>
          <w:tab w:leader="none" w:pos="6380" w:val="left"/>
          <w:tab w:leader="none" w:pos="8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G76279101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19 of 23</w:t>
      </w:r>
    </w:p>
    <w:p>
      <w:pPr>
        <w:sectPr>
          <w:pgSz w:w="11900" w:h="16838" w:orient="portrait"/>
          <w:cols w:equalWidth="0" w:num="1">
            <w:col w:w="10540"/>
          </w:cols>
          <w:pgMar w:left="980" w:top="148" w:right="379" w:bottom="1440" w:gutter="0" w:footer="0" w:header="0"/>
        </w:sectPr>
      </w:pPr>
    </w:p>
    <w:p>
      <w:pPr>
        <w:spacing w:after="0" w:line="208" w:lineRule="exact"/>
        <w:rPr>
          <w:sz w:val="20"/>
          <w:szCs w:val="20"/>
          <w:color w:val="auto"/>
        </w:rPr>
      </w:pPr>
    </w:p>
    <w:p>
      <w:pPr>
        <w:ind w:left="1680" w:hanging="388"/>
        <w:spacing w:after="0"/>
        <w:tabs>
          <w:tab w:leader="none" w:pos="16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233" w:lineRule="exact"/>
        <w:rPr>
          <w:rFonts w:ascii="Arial" w:cs="Arial" w:eastAsia="Arial" w:hAnsi="Arial"/>
          <w:sz w:val="22"/>
          <w:szCs w:val="22"/>
          <w:color w:val="auto"/>
        </w:rPr>
      </w:pPr>
    </w:p>
    <w:p>
      <w:pPr>
        <w:ind w:left="1660" w:hanging="368"/>
        <w:spacing w:after="0"/>
        <w:tabs>
          <w:tab w:leader="none" w:pos="1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35,539,877</w:t>
      </w:r>
    </w:p>
    <w:p>
      <w:pPr>
        <w:spacing w:after="0" w:line="233" w:lineRule="exact"/>
        <w:rPr>
          <w:sz w:val="20"/>
          <w:szCs w:val="20"/>
          <w:color w:val="auto"/>
        </w:rPr>
      </w:pPr>
    </w:p>
    <w:p>
      <w:pPr>
        <w:ind w:left="1300"/>
        <w:spacing w:after="0" w:line="238" w:lineRule="auto"/>
        <w:rPr>
          <w:sz w:val="20"/>
          <w:szCs w:val="20"/>
          <w:color w:val="auto"/>
        </w:rPr>
      </w:pPr>
      <w:r>
        <w:rPr>
          <w:rFonts w:ascii="Arial" w:cs="Arial" w:eastAsia="Arial" w:hAnsi="Arial"/>
          <w:sz w:val="22"/>
          <w:szCs w:val="22"/>
          <w:color w:val="auto"/>
        </w:rPr>
        <w:t>Opportunities Parent is the GP of Opportunities GP, which has the authority to dispose of and vote the shares of Common Stock controlled by Opportunities Portfolio GP, which consists of the shares of Common Stock directly held by VGOP. Opportunities Parent does not directly own any shares of Common Stock.</w:t>
      </w:r>
    </w:p>
    <w:p>
      <w:pPr>
        <w:spacing w:after="0" w:line="212" w:lineRule="exact"/>
        <w:rPr>
          <w:sz w:val="20"/>
          <w:szCs w:val="20"/>
          <w:color w:val="auto"/>
        </w:rPr>
      </w:pPr>
    </w:p>
    <w:p>
      <w:pPr>
        <w:ind w:left="1300" w:right="340"/>
        <w:spacing w:after="0" w:line="250" w:lineRule="auto"/>
        <w:rPr>
          <w:sz w:val="20"/>
          <w:szCs w:val="20"/>
          <w:color w:val="auto"/>
        </w:rPr>
      </w:pPr>
      <w:r>
        <w:rPr>
          <w:rFonts w:ascii="Arial" w:cs="Arial" w:eastAsia="Arial" w:hAnsi="Arial"/>
          <w:sz w:val="22"/>
          <w:szCs w:val="22"/>
          <w:color w:val="auto"/>
        </w:rPr>
        <w:t>Based on Rule 13d-3 of the Act, Opportunities Parent may be deemed to beneficially own the shares of Common Stock directly held by VGOP.</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H. Opportunities GP</w:t>
      </w:r>
    </w:p>
    <w:p>
      <w:pPr>
        <w:spacing w:after="0" w:line="240" w:lineRule="exact"/>
        <w:rPr>
          <w:sz w:val="20"/>
          <w:szCs w:val="20"/>
          <w:color w:val="auto"/>
        </w:rPr>
      </w:pPr>
    </w:p>
    <w:p>
      <w:pPr>
        <w:ind w:left="1160" w:hanging="57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35,539,877</w:t>
      </w:r>
    </w:p>
    <w:p>
      <w:pPr>
        <w:spacing w:after="0" w:line="225" w:lineRule="exact"/>
        <w:rPr>
          <w:rFonts w:ascii="Arial" w:cs="Arial" w:eastAsia="Arial" w:hAnsi="Arial"/>
          <w:sz w:val="18"/>
          <w:szCs w:val="18"/>
          <w:color w:val="auto"/>
        </w:rPr>
      </w:pPr>
    </w:p>
    <w:p>
      <w:pPr>
        <w:ind w:left="1160" w:hanging="57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5.1%</w:t>
      </w:r>
    </w:p>
    <w:p>
      <w:pPr>
        <w:spacing w:after="0" w:line="225" w:lineRule="exact"/>
        <w:rPr>
          <w:rFonts w:ascii="Arial" w:cs="Arial" w:eastAsia="Arial" w:hAnsi="Arial"/>
          <w:sz w:val="18"/>
          <w:szCs w:val="18"/>
          <w:color w:val="auto"/>
        </w:rPr>
      </w:pPr>
    </w:p>
    <w:p>
      <w:pPr>
        <w:ind w:left="1160" w:hanging="57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20" w:hanging="563"/>
        <w:spacing w:after="0"/>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720" w:hanging="563"/>
        <w:spacing w:after="0"/>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35,539,877</w:t>
      </w:r>
    </w:p>
    <w:p>
      <w:pPr>
        <w:spacing w:after="0" w:line="225" w:lineRule="exact"/>
        <w:rPr>
          <w:rFonts w:ascii="Arial" w:cs="Arial" w:eastAsia="Arial" w:hAnsi="Arial"/>
          <w:sz w:val="18"/>
          <w:szCs w:val="18"/>
          <w:color w:val="auto"/>
        </w:rPr>
      </w:pPr>
    </w:p>
    <w:p>
      <w:pPr>
        <w:ind w:left="1720" w:hanging="563"/>
        <w:spacing w:after="0"/>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720" w:hanging="563"/>
        <w:spacing w:after="0"/>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35,539,877</w:t>
      </w:r>
    </w:p>
    <w:p>
      <w:pPr>
        <w:spacing w:after="0" w:line="245" w:lineRule="exact"/>
        <w:rPr>
          <w:sz w:val="20"/>
          <w:szCs w:val="20"/>
          <w:color w:val="auto"/>
        </w:rPr>
      </w:pPr>
    </w:p>
    <w:p>
      <w:pPr>
        <w:ind w:left="1460" w:right="40"/>
        <w:spacing w:after="0" w:line="238" w:lineRule="auto"/>
        <w:rPr>
          <w:sz w:val="20"/>
          <w:szCs w:val="20"/>
          <w:color w:val="auto"/>
        </w:rPr>
      </w:pPr>
      <w:r>
        <w:rPr>
          <w:rFonts w:ascii="Arial" w:cs="Arial" w:eastAsia="Arial" w:hAnsi="Arial"/>
          <w:sz w:val="22"/>
          <w:szCs w:val="22"/>
          <w:color w:val="auto"/>
        </w:rPr>
        <w:t>Opportunities GP serves as the sole member of Opportunities Portfolio GP and has the authority to dispose of and vote the shares of Common Stock controlled by Opportunities Portfolio GP, which consists of the shares of Common Stock directly held by VGOP. Opportunities GP does not directly own any shares of Common Stock.</w:t>
      </w:r>
    </w:p>
    <w:p>
      <w:pPr>
        <w:spacing w:after="0" w:line="212" w:lineRule="exact"/>
        <w:rPr>
          <w:sz w:val="20"/>
          <w:szCs w:val="20"/>
          <w:color w:val="auto"/>
        </w:rPr>
      </w:pPr>
    </w:p>
    <w:p>
      <w:pPr>
        <w:ind w:left="1460" w:right="440"/>
        <w:spacing w:after="0" w:line="250" w:lineRule="auto"/>
        <w:rPr>
          <w:sz w:val="20"/>
          <w:szCs w:val="20"/>
          <w:color w:val="auto"/>
        </w:rPr>
      </w:pPr>
      <w:r>
        <w:rPr>
          <w:rFonts w:ascii="Arial" w:cs="Arial" w:eastAsia="Arial" w:hAnsi="Arial"/>
          <w:sz w:val="22"/>
          <w:szCs w:val="22"/>
          <w:color w:val="auto"/>
        </w:rPr>
        <w:t>Based on Rule 13d-3 of the Act, Opportunities GP may be deemed to beneficially own the shares of Common Stock directly held by VGOP.</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 Opportunities Portfolio GP</w:t>
      </w:r>
    </w:p>
    <w:p>
      <w:pPr>
        <w:spacing w:after="0" w:line="240" w:lineRule="exact"/>
        <w:rPr>
          <w:sz w:val="20"/>
          <w:szCs w:val="20"/>
          <w:color w:val="auto"/>
        </w:rPr>
      </w:pPr>
    </w:p>
    <w:p>
      <w:pPr>
        <w:ind w:left="1160" w:hanging="570"/>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 35,539,877</w:t>
      </w:r>
    </w:p>
    <w:p>
      <w:pPr>
        <w:spacing w:after="0" w:line="225" w:lineRule="exact"/>
        <w:rPr>
          <w:rFonts w:ascii="Arial" w:cs="Arial" w:eastAsia="Arial" w:hAnsi="Arial"/>
          <w:sz w:val="18"/>
          <w:szCs w:val="18"/>
          <w:color w:val="auto"/>
        </w:rPr>
      </w:pPr>
    </w:p>
    <w:p>
      <w:pPr>
        <w:ind w:left="1160" w:hanging="570"/>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5.1%</w:t>
      </w:r>
    </w:p>
    <w:p>
      <w:pPr>
        <w:spacing w:after="0" w:line="225" w:lineRule="exact"/>
        <w:rPr>
          <w:rFonts w:ascii="Arial" w:cs="Arial" w:eastAsia="Arial" w:hAnsi="Arial"/>
          <w:sz w:val="18"/>
          <w:szCs w:val="18"/>
          <w:color w:val="auto"/>
        </w:rPr>
      </w:pPr>
    </w:p>
    <w:p>
      <w:pPr>
        <w:ind w:left="1160" w:hanging="570"/>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20" w:hanging="563"/>
        <w:spacing w:after="0"/>
        <w:tabs>
          <w:tab w:leader="none" w:pos="1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720" w:hanging="563"/>
        <w:spacing w:after="0"/>
        <w:tabs>
          <w:tab w:leader="none" w:pos="1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35,539,877</w:t>
      </w:r>
    </w:p>
    <w:p>
      <w:pPr>
        <w:spacing w:after="0" w:line="225" w:lineRule="exact"/>
        <w:rPr>
          <w:rFonts w:ascii="Arial" w:cs="Arial" w:eastAsia="Arial" w:hAnsi="Arial"/>
          <w:sz w:val="18"/>
          <w:szCs w:val="18"/>
          <w:color w:val="auto"/>
        </w:rPr>
      </w:pPr>
    </w:p>
    <w:p>
      <w:pPr>
        <w:ind w:left="1720" w:hanging="563"/>
        <w:spacing w:after="0"/>
        <w:tabs>
          <w:tab w:leader="none" w:pos="1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720" w:hanging="563"/>
        <w:spacing w:after="0"/>
        <w:tabs>
          <w:tab w:leader="none" w:pos="1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35,539,877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48" w:right="379" w:bottom="1440" w:gutter="0" w:footer="0" w:header="0"/>
          <w:type w:val="continuous"/>
        </w:sectPr>
      </w:pPr>
    </w:p>
    <w:bookmarkStart w:id="19" w:name="page20"/>
    <w:bookmarkEnd w:id="19"/>
    <w:p>
      <w:pPr>
        <w:ind w:left="1724"/>
        <w:spacing w:after="0"/>
        <w:tabs>
          <w:tab w:leader="none" w:pos="6384" w:val="left"/>
          <w:tab w:leader="none" w:pos="84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G76279101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20 of 23</w:t>
      </w:r>
    </w:p>
    <w:p>
      <w:pPr>
        <w:sectPr>
          <w:pgSz w:w="11900" w:h="16838" w:orient="portrait"/>
          <w:cols w:equalWidth="0" w:num="1">
            <w:col w:w="10564"/>
          </w:cols>
          <w:pgMar w:left="976" w:top="148" w:right="359" w:bottom="1440" w:gutter="0" w:footer="0" w:header="0"/>
        </w:sectPr>
      </w:pPr>
    </w:p>
    <w:p>
      <w:pPr>
        <w:spacing w:after="0" w:line="208" w:lineRule="exact"/>
        <w:rPr>
          <w:sz w:val="20"/>
          <w:szCs w:val="20"/>
          <w:color w:val="auto"/>
        </w:rPr>
      </w:pPr>
    </w:p>
    <w:p>
      <w:pPr>
        <w:jc w:val="both"/>
        <w:ind w:left="1464" w:right="320" w:firstLine="54"/>
        <w:spacing w:after="0"/>
        <w:rPr>
          <w:sz w:val="20"/>
          <w:szCs w:val="20"/>
          <w:color w:val="auto"/>
        </w:rPr>
      </w:pPr>
      <w:r>
        <w:rPr>
          <w:rFonts w:ascii="Arial" w:cs="Arial" w:eastAsia="Arial" w:hAnsi="Arial"/>
          <w:sz w:val="22"/>
          <w:szCs w:val="22"/>
          <w:color w:val="auto"/>
        </w:rPr>
        <w:t>Opportunities Portfolio GP serves as the general partner of VGOP and has the authority to dispose of and vote the shares of Common Stock directly owned by VGOP. Opportunities Portfolio GP does not directly own any shares of Common Stock.</w:t>
      </w:r>
    </w:p>
    <w:p>
      <w:pPr>
        <w:spacing w:after="0" w:line="213" w:lineRule="exact"/>
        <w:rPr>
          <w:sz w:val="20"/>
          <w:szCs w:val="20"/>
          <w:color w:val="auto"/>
        </w:rPr>
      </w:pPr>
    </w:p>
    <w:p>
      <w:pPr>
        <w:ind w:left="1464" w:right="480"/>
        <w:spacing w:after="0" w:line="239" w:lineRule="auto"/>
        <w:rPr>
          <w:sz w:val="20"/>
          <w:szCs w:val="20"/>
          <w:color w:val="auto"/>
        </w:rPr>
      </w:pPr>
      <w:r>
        <w:rPr>
          <w:rFonts w:ascii="Arial" w:cs="Arial" w:eastAsia="Arial" w:hAnsi="Arial"/>
          <w:sz w:val="22"/>
          <w:szCs w:val="22"/>
          <w:color w:val="auto"/>
        </w:rPr>
        <w:t>Based on Rule 13d-3 of the Act, Opportunities Portfolio GP may be deemed to beneficially own the shares of Common Stock directly held by VGOP.</w:t>
      </w:r>
    </w:p>
    <w:p>
      <w:pPr>
        <w:ind w:left="184" w:hanging="184"/>
        <w:spacing w:after="0"/>
        <w:tabs>
          <w:tab w:leader="none" w:pos="184" w:val="left"/>
        </w:tabs>
        <w:numPr>
          <w:ilvl w:val="0"/>
          <w:numId w:val="15"/>
        </w:numPr>
        <w:rPr>
          <w:rFonts w:ascii="Arial" w:cs="Arial" w:eastAsia="Arial" w:hAnsi="Arial"/>
          <w:sz w:val="22"/>
          <w:szCs w:val="22"/>
          <w:color w:val="auto"/>
        </w:rPr>
      </w:pPr>
      <w:r>
        <w:rPr>
          <w:rFonts w:ascii="Arial" w:cs="Arial" w:eastAsia="Arial" w:hAnsi="Arial"/>
          <w:sz w:val="22"/>
          <w:szCs w:val="22"/>
          <w:color w:val="auto"/>
        </w:rPr>
        <w:t>VGOP</w:t>
      </w:r>
    </w:p>
    <w:p>
      <w:pPr>
        <w:spacing w:after="0" w:line="222" w:lineRule="exact"/>
        <w:rPr>
          <w:rFonts w:ascii="Arial" w:cs="Arial" w:eastAsia="Arial" w:hAnsi="Arial"/>
          <w:sz w:val="22"/>
          <w:szCs w:val="22"/>
          <w:color w:val="auto"/>
        </w:rPr>
      </w:pPr>
    </w:p>
    <w:p>
      <w:pPr>
        <w:ind w:left="1164" w:hanging="570"/>
        <w:spacing w:after="0"/>
        <w:tabs>
          <w:tab w:leader="none" w:pos="11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Amount beneficially owned: 35,539,877</w:t>
      </w:r>
    </w:p>
    <w:p>
      <w:pPr>
        <w:spacing w:after="0" w:line="225" w:lineRule="exact"/>
        <w:rPr>
          <w:rFonts w:ascii="Arial" w:cs="Arial" w:eastAsia="Arial" w:hAnsi="Arial"/>
          <w:sz w:val="18"/>
          <w:szCs w:val="18"/>
          <w:color w:val="auto"/>
        </w:rPr>
      </w:pPr>
    </w:p>
    <w:p>
      <w:pPr>
        <w:ind w:left="1164" w:hanging="570"/>
        <w:spacing w:after="0"/>
        <w:tabs>
          <w:tab w:leader="none" w:pos="11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5.1%</w:t>
      </w:r>
    </w:p>
    <w:p>
      <w:pPr>
        <w:spacing w:after="0" w:line="225" w:lineRule="exact"/>
        <w:rPr>
          <w:rFonts w:ascii="Arial" w:cs="Arial" w:eastAsia="Arial" w:hAnsi="Arial"/>
          <w:sz w:val="18"/>
          <w:szCs w:val="18"/>
          <w:color w:val="auto"/>
        </w:rPr>
      </w:pPr>
    </w:p>
    <w:p>
      <w:pPr>
        <w:ind w:left="1164" w:hanging="570"/>
        <w:spacing w:after="0"/>
        <w:tabs>
          <w:tab w:leader="none" w:pos="11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35,539,877</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35,539,877</w:t>
      </w:r>
    </w:p>
    <w:p>
      <w:pPr>
        <w:spacing w:after="0" w:line="245" w:lineRule="exact"/>
        <w:rPr>
          <w:sz w:val="20"/>
          <w:szCs w:val="20"/>
          <w:color w:val="auto"/>
        </w:rPr>
      </w:pPr>
    </w:p>
    <w:p>
      <w:pPr>
        <w:ind w:left="1464" w:right="100"/>
        <w:spacing w:after="0" w:line="257" w:lineRule="auto"/>
        <w:rPr>
          <w:sz w:val="20"/>
          <w:szCs w:val="20"/>
          <w:color w:val="auto"/>
        </w:rPr>
      </w:pPr>
      <w:r>
        <w:rPr>
          <w:rFonts w:ascii="Arial" w:cs="Arial" w:eastAsia="Arial" w:hAnsi="Arial"/>
          <w:sz w:val="21"/>
          <w:szCs w:val="21"/>
          <w:color w:val="auto"/>
        </w:rPr>
        <w:t>VGOP has the authority to dispose of and vote the shares of Common Stock directly owned by it, which power may be exercised by its general partner, Opportunities Portfolio GP, and by VGI, an affiliate of Opportunities Portfolio GP, which provides managerial services to VGOP.</w:t>
      </w:r>
    </w:p>
    <w:p>
      <w:pPr>
        <w:spacing w:after="0" w:line="196" w:lineRule="exact"/>
        <w:rPr>
          <w:sz w:val="20"/>
          <w:szCs w:val="20"/>
          <w:color w:val="auto"/>
        </w:rPr>
      </w:pPr>
    </w:p>
    <w:p>
      <w:pPr>
        <w:ind w:left="1464"/>
        <w:spacing w:after="0" w:line="236" w:lineRule="auto"/>
        <w:rPr>
          <w:sz w:val="20"/>
          <w:szCs w:val="20"/>
          <w:color w:val="auto"/>
        </w:rPr>
      </w:pPr>
      <w:r>
        <w:rPr>
          <w:rFonts w:ascii="Arial" w:cs="Arial" w:eastAsia="Arial" w:hAnsi="Arial"/>
          <w:sz w:val="22"/>
          <w:szCs w:val="22"/>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K. O. Andreas Halvorsen, David C. Ott and Rose S. Shabet</w:t>
      </w:r>
    </w:p>
    <w:p>
      <w:pPr>
        <w:spacing w:after="0" w:line="240" w:lineRule="exact"/>
        <w:rPr>
          <w:sz w:val="20"/>
          <w:szCs w:val="20"/>
          <w:color w:val="auto"/>
        </w:rPr>
      </w:pPr>
    </w:p>
    <w:p>
      <w:pPr>
        <w:ind w:left="1164" w:hanging="570"/>
        <w:spacing w:after="0"/>
        <w:tabs>
          <w:tab w:leader="none" w:pos="11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88,238,700</w:t>
      </w:r>
    </w:p>
    <w:p>
      <w:pPr>
        <w:spacing w:after="0" w:line="225" w:lineRule="exact"/>
        <w:rPr>
          <w:rFonts w:ascii="Arial" w:cs="Arial" w:eastAsia="Arial" w:hAnsi="Arial"/>
          <w:sz w:val="18"/>
          <w:szCs w:val="18"/>
          <w:color w:val="auto"/>
        </w:rPr>
      </w:pPr>
    </w:p>
    <w:p>
      <w:pPr>
        <w:ind w:left="1164" w:hanging="570"/>
        <w:spacing w:after="0"/>
        <w:tabs>
          <w:tab w:leader="none" w:pos="11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12.8%</w:t>
      </w:r>
    </w:p>
    <w:p>
      <w:pPr>
        <w:spacing w:after="0" w:line="225" w:lineRule="exact"/>
        <w:rPr>
          <w:rFonts w:ascii="Arial" w:cs="Arial" w:eastAsia="Arial" w:hAnsi="Arial"/>
          <w:sz w:val="18"/>
          <w:szCs w:val="18"/>
          <w:color w:val="auto"/>
        </w:rPr>
      </w:pPr>
    </w:p>
    <w:p>
      <w:pPr>
        <w:ind w:left="1164" w:hanging="570"/>
        <w:spacing w:after="0"/>
        <w:tabs>
          <w:tab w:leader="none" w:pos="11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88,238,700</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724" w:hanging="563"/>
        <w:spacing w:after="0"/>
        <w:tabs>
          <w:tab w:leader="none" w:pos="17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88,238,700</w:t>
      </w:r>
    </w:p>
    <w:p>
      <w:pPr>
        <w:spacing w:after="0" w:line="245" w:lineRule="exact"/>
        <w:rPr>
          <w:sz w:val="20"/>
          <w:szCs w:val="20"/>
          <w:color w:val="auto"/>
        </w:rPr>
      </w:pPr>
    </w:p>
    <w:p>
      <w:pPr>
        <w:ind w:left="1464" w:right="160"/>
        <w:spacing w:after="0" w:line="287" w:lineRule="auto"/>
        <w:rPr>
          <w:sz w:val="20"/>
          <w:szCs w:val="20"/>
          <w:color w:val="auto"/>
        </w:rPr>
      </w:pPr>
      <w:r>
        <w:rPr>
          <w:rFonts w:ascii="Arial" w:cs="Arial" w:eastAsia="Arial" w:hAnsi="Arial"/>
          <w:sz w:val="19"/>
          <w:szCs w:val="19"/>
          <w:color w:val="auto"/>
        </w:rPr>
        <w:t>Mr. Halvorsen, Mr. Ott and Ms. Shabet, as Executive Committee Members of Viking Global Partners LLC (general partner of VGI), VGP, VLFGP and Opportunities Parent have shared authority to dispose of and vote the shares of Common Stock beneficially owned by VGI, VGP, VLFGP and Opportunities Parent. None of Mr. Halvorsen, Mr. Ott and Ms. Shabet directly owns any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241300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48" w:right="359" w:bottom="1440" w:gutter="0" w:footer="0" w:header="0"/>
          <w:type w:val="continuous"/>
        </w:sectPr>
      </w:pPr>
    </w:p>
    <w:bookmarkStart w:id="20" w:name="page21"/>
    <w:bookmarkEnd w:id="20"/>
    <w:p>
      <w:pPr>
        <w:ind w:left="2380"/>
        <w:spacing w:after="0"/>
        <w:tabs>
          <w:tab w:leader="none" w:pos="7040" w:val="left"/>
          <w:tab w:leader="none" w:pos="9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G76279101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21 of 23</w:t>
      </w:r>
    </w:p>
    <w:p>
      <w:pPr>
        <w:sectPr>
          <w:pgSz w:w="11900" w:h="16838" w:orient="portrait"/>
          <w:cols w:equalWidth="0" w:num="1">
            <w:col w:w="11100"/>
          </w:cols>
          <w:pgMar w:left="320" w:top="148" w:right="479" w:bottom="1440" w:gutter="0" w:footer="0" w:header="0"/>
        </w:sectPr>
      </w:pPr>
    </w:p>
    <w:p>
      <w:pPr>
        <w:spacing w:after="0" w:line="208" w:lineRule="exact"/>
        <w:rPr>
          <w:sz w:val="20"/>
          <w:szCs w:val="20"/>
          <w:color w:val="auto"/>
        </w:rPr>
      </w:pPr>
    </w:p>
    <w:p>
      <w:pPr>
        <w:ind w:left="2120" w:right="60"/>
        <w:spacing w:after="0" w:line="250" w:lineRule="auto"/>
        <w:rPr>
          <w:sz w:val="20"/>
          <w:szCs w:val="20"/>
          <w:color w:val="auto"/>
        </w:rPr>
      </w:pPr>
      <w:r>
        <w:rPr>
          <w:rFonts w:ascii="Arial" w:cs="Arial" w:eastAsia="Arial" w:hAnsi="Arial"/>
          <w:sz w:val="22"/>
          <w:szCs w:val="22"/>
          <w:color w:val="auto"/>
        </w:rPr>
        <w:t>Based on Rule 13d-3 of the Act, each may be deemed to beneficially own the shares of Common Stock directly held by VGEII, VGEM, VLFM and VGOP.</w:t>
      </w:r>
    </w:p>
    <w:p>
      <w:pPr>
        <w:spacing w:after="0" w:line="202" w:lineRule="exact"/>
        <w:rPr>
          <w:sz w:val="20"/>
          <w:szCs w:val="20"/>
          <w:color w:val="auto"/>
        </w:rPr>
      </w:pPr>
    </w:p>
    <w:p>
      <w:pPr>
        <w:ind w:left="2120"/>
        <w:spacing w:after="0" w:line="249" w:lineRule="auto"/>
        <w:rPr>
          <w:sz w:val="20"/>
          <w:szCs w:val="20"/>
          <w:color w:val="auto"/>
        </w:rPr>
      </w:pPr>
      <w:r>
        <w:rPr>
          <w:rFonts w:ascii="Arial" w:cs="Arial" w:eastAsia="Arial" w:hAnsi="Arial"/>
          <w:sz w:val="21"/>
          <w:szCs w:val="21"/>
          <w:color w:val="auto"/>
        </w:rPr>
        <w:t>Mr. Halvorsen, Mr. Ott and Ms. Shabet each beneficially own 88,238,700 shares of Common Stock consisting of (i) 751,766 shares of Common Stock directly and beneficially owned by VGEII, (ii) 36,836,555 shares of Common Stock directly and beneficially owned by VGEM, (iii) 15,110,502 shares of Common Stock directly and beneficially owned by VLFM and (iv) 35,539,877 shares of Common Stock directly and beneficially owned by VGOP.</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45"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Persons have ceased to be the beneficial owner of more than five percent of the class of securities, check the following [ ].</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 Person.</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The response to Item 4 is incorporated by reference herein.</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 xml:space="preserve">Certification. </w:t>
      </w:r>
      <w:r>
        <w:rPr>
          <w:rFonts w:ascii="Arial" w:cs="Arial" w:eastAsia="Arial" w:hAnsi="Arial"/>
          <w:sz w:val="17"/>
          <w:szCs w:val="17"/>
          <w:color w:val="auto"/>
        </w:rPr>
        <w:t>(if filing pursuant to Rule 13d-1(d))</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8" w:right="479" w:bottom="1440" w:gutter="0" w:footer="0" w:header="0"/>
          <w:type w:val="continuous"/>
        </w:sectPr>
      </w:pPr>
    </w:p>
    <w:bookmarkStart w:id="21" w:name="page22"/>
    <w:bookmarkEnd w:id="21"/>
    <w:p>
      <w:pPr>
        <w:ind w:left="2380"/>
        <w:spacing w:after="0"/>
        <w:tabs>
          <w:tab w:leader="none" w:pos="7040" w:val="left"/>
          <w:tab w:leader="none" w:pos="9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G76279101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22 of 23</w:t>
      </w:r>
    </w:p>
    <w:p>
      <w:pPr>
        <w:sectPr>
          <w:pgSz w:w="11900" w:h="16838" w:orient="portrait"/>
          <w:cols w:equalWidth="0" w:num="1">
            <w:col w:w="11220"/>
          </w:cols>
          <w:pgMar w:left="320" w:top="148" w:right="35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SIGNATURES</w:t>
      </w:r>
    </w:p>
    <w:p>
      <w:pPr>
        <w:spacing w:after="0" w:line="239"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After reasonable inquiry and to the best of our knowledge and belief, the undersigned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2022</w:t>
      </w:r>
    </w:p>
    <w:p>
      <w:pPr>
        <w:spacing w:after="0" w:line="240"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11"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Scott M. Hendler on behalf of David C. Ott (2)</w:t>
      </w:r>
    </w:p>
    <w:p>
      <w:pPr>
        <w:spacing w:after="0" w:line="211"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Scott M. Hendler on behalf of Rose S. Shabet (3)</w:t>
      </w:r>
    </w:p>
    <w:p>
      <w:pPr>
        <w:spacing w:after="0" w:line="231" w:lineRule="exact"/>
        <w:rPr>
          <w:sz w:val="20"/>
          <w:szCs w:val="20"/>
          <w:color w:val="auto"/>
        </w:rPr>
      </w:pPr>
    </w:p>
    <w:p>
      <w:pPr>
        <w:ind w:right="140" w:firstLine="8"/>
        <w:spacing w:after="0" w:line="274" w:lineRule="auto"/>
        <w:tabs>
          <w:tab w:leader="none" w:pos="306" w:val="left"/>
        </w:tabs>
        <w:numPr>
          <w:ilvl w:val="0"/>
          <w:numId w:val="17"/>
        </w:numPr>
        <w:rPr>
          <w:rFonts w:ascii="Arial" w:cs="Arial" w:eastAsia="Arial" w:hAnsi="Arial"/>
          <w:sz w:val="19"/>
          <w:szCs w:val="19"/>
          <w:color w:val="auto"/>
        </w:rPr>
      </w:pPr>
      <w:r>
        <w:rPr>
          <w:rFonts w:ascii="Arial" w:cs="Arial" w:eastAsia="Arial" w:hAnsi="Arial"/>
          <w:sz w:val="19"/>
          <w:szCs w:val="19"/>
          <w:color w:val="auto"/>
        </w:rPr>
        <w:t>Scott M. Hendler is signing on behalf of O. Andreas Halvorsen,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85" w:lineRule="exact"/>
        <w:rPr>
          <w:rFonts w:ascii="Arial" w:cs="Arial" w:eastAsia="Arial" w:hAnsi="Arial"/>
          <w:sz w:val="19"/>
          <w:szCs w:val="19"/>
          <w:color w:val="auto"/>
        </w:rPr>
      </w:pPr>
    </w:p>
    <w:p>
      <w:pPr>
        <w:ind w:firstLine="8"/>
        <w:spacing w:after="0" w:line="245" w:lineRule="auto"/>
        <w:tabs>
          <w:tab w:leader="none" w:pos="306" w:val="left"/>
        </w:tabs>
        <w:numPr>
          <w:ilvl w:val="0"/>
          <w:numId w:val="17"/>
        </w:numPr>
        <w:rPr>
          <w:rFonts w:ascii="Arial" w:cs="Arial" w:eastAsia="Arial" w:hAnsi="Arial"/>
          <w:sz w:val="21"/>
          <w:szCs w:val="21"/>
          <w:color w:val="auto"/>
        </w:rPr>
      </w:pPr>
      <w:r>
        <w:rPr>
          <w:rFonts w:ascii="Arial" w:cs="Arial" w:eastAsia="Arial" w:hAnsi="Arial"/>
          <w:sz w:val="21"/>
          <w:szCs w:val="21"/>
          <w:color w:val="auto"/>
        </w:rPr>
        <w:t>Scott M. Hendler is signing on behalf of David C. Ott,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1" w:lineRule="exact"/>
        <w:rPr>
          <w:rFonts w:ascii="Arial" w:cs="Arial" w:eastAsia="Arial" w:hAnsi="Arial"/>
          <w:sz w:val="21"/>
          <w:szCs w:val="21"/>
          <w:color w:val="auto"/>
        </w:rPr>
      </w:pPr>
    </w:p>
    <w:p>
      <w:pPr>
        <w:ind w:firstLine="8"/>
        <w:spacing w:after="0" w:line="274" w:lineRule="auto"/>
        <w:tabs>
          <w:tab w:leader="none" w:pos="306" w:val="left"/>
        </w:tabs>
        <w:numPr>
          <w:ilvl w:val="0"/>
          <w:numId w:val="17"/>
        </w:numPr>
        <w:rPr>
          <w:rFonts w:ascii="Arial" w:cs="Arial" w:eastAsia="Arial" w:hAnsi="Arial"/>
          <w:sz w:val="19"/>
          <w:szCs w:val="19"/>
          <w:color w:val="auto"/>
        </w:rPr>
      </w:pPr>
      <w:r>
        <w:rPr>
          <w:rFonts w:ascii="Arial" w:cs="Arial" w:eastAsia="Arial" w:hAnsi="Arial"/>
          <w:sz w:val="19"/>
          <w:szCs w:val="19"/>
          <w:color w:val="auto"/>
        </w:rPr>
        <w:t>Scott M. Hendler is signing on behalf of Rose S. Shabet,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type w:val="continuous"/>
        </w:sectPr>
      </w:pPr>
    </w:p>
    <w:bookmarkStart w:id="22" w:name="page23"/>
    <w:bookmarkEnd w:id="22"/>
    <w:tbl>
      <w:tblPr>
        <w:tblLayout w:type="fixed"/>
        <w:tblInd w:w="10" w:type="dxa"/>
        <w:tblCellMar>
          <w:top w:w="0" w:type="dxa"/>
          <w:left w:w="0" w:type="dxa"/>
          <w:bottom w:w="0" w:type="dxa"/>
          <w:right w:w="0" w:type="dxa"/>
        </w:tblCellMar>
      </w:tblPr>
      <w:tr>
        <w:trPr>
          <w:trHeight w:val="250"/>
        </w:trPr>
        <w:tc>
          <w:tcPr>
            <w:tcW w:w="6440" w:type="dxa"/>
            <w:vAlign w:val="bottom"/>
            <w:tcBorders>
              <w:top w:val="single" w:sz="8" w:color="auto"/>
              <w:left w:val="single" w:sz="8" w:color="auto"/>
              <w:bottom w:val="single" w:sz="8" w:color="auto"/>
              <w:right w:val="single" w:sz="8" w:color="auto"/>
            </w:tcBorders>
          </w:tcPr>
          <w:p>
            <w:pPr>
              <w:ind w:left="2380"/>
              <w:spacing w:after="0"/>
              <w:rPr>
                <w:sz w:val="20"/>
                <w:szCs w:val="20"/>
                <w:color w:val="auto"/>
              </w:rPr>
            </w:pPr>
            <w:r>
              <w:rPr>
                <w:rFonts w:ascii="Arial" w:cs="Arial" w:eastAsia="Arial" w:hAnsi="Arial"/>
                <w:sz w:val="18"/>
                <w:szCs w:val="18"/>
                <w:b w:val="1"/>
                <w:bCs w:val="1"/>
                <w:color w:val="auto"/>
              </w:rPr>
              <w:t>CUSIP No. G76279101</w:t>
            </w:r>
          </w:p>
        </w:tc>
        <w:tc>
          <w:tcPr>
            <w:tcW w:w="160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13G</w:t>
            </w:r>
          </w:p>
        </w:tc>
        <w:tc>
          <w:tcPr>
            <w:tcW w:w="320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Page 23 of 23</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 - JOINT FILING AGREEMENT</w:t>
      </w:r>
    </w:p>
    <w:p>
      <w:pPr>
        <w:spacing w:after="0" w:line="233" w:lineRule="exact"/>
        <w:rPr>
          <w:sz w:val="20"/>
          <w:szCs w:val="20"/>
          <w:color w:val="auto"/>
        </w:rPr>
      </w:pPr>
    </w:p>
    <w:p>
      <w:pPr>
        <w:ind w:right="60" w:firstLine="824"/>
        <w:spacing w:after="0" w:line="215" w:lineRule="auto"/>
        <w:rPr>
          <w:sz w:val="20"/>
          <w:szCs w:val="20"/>
          <w:color w:val="auto"/>
        </w:rPr>
      </w:pPr>
      <w:r>
        <w:rPr>
          <w:rFonts w:ascii="Arial" w:cs="Arial" w:eastAsia="Arial" w:hAnsi="Arial"/>
          <w:sz w:val="22"/>
          <w:szCs w:val="22"/>
          <w:color w:val="auto"/>
        </w:rPr>
        <w:t>This joint filing agreement is made and entered into as of this 14</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February, 2022, by and among VIKING GLOBAL INVESTORS LP, VIKING GLOBAL PERFORMANCE LLC, VIKING GLOBAL EQUITIES II LP, VIKING GLOBAL EQUITIES MASTER LTD., VIKING LONG FUND GP LLC, VIKING LONG FUND MASTER LTD., VIKING GLOBAL OPPORTUNITIES PARENT GP LLC, VIKING GLOBAL OPPORTUNITIES GP LLC, VIKING GLOBAL OPPORTUNITIES PORTFOLIO GP LLC, VIKING GLOBAL OPPORTUNITIES ILLIQUID INVESTMENTS SUB-MASTER LP, O. Andreas Halvorsen, David C. Ott and Rose S. Shabet.</w:t>
      </w:r>
    </w:p>
    <w:p>
      <w:pPr>
        <w:spacing w:after="0" w:line="214" w:lineRule="exact"/>
        <w:rPr>
          <w:sz w:val="20"/>
          <w:szCs w:val="20"/>
          <w:color w:val="auto"/>
        </w:rPr>
      </w:pPr>
    </w:p>
    <w:p>
      <w:pPr>
        <w:ind w:firstLine="824"/>
        <w:spacing w:after="0" w:line="236" w:lineRule="auto"/>
        <w:rPr>
          <w:sz w:val="20"/>
          <w:szCs w:val="20"/>
          <w:color w:val="auto"/>
        </w:rPr>
      </w:pPr>
      <w:r>
        <w:rPr>
          <w:rFonts w:ascii="Arial" w:cs="Arial" w:eastAsia="Arial" w:hAnsi="Arial"/>
          <w:sz w:val="22"/>
          <w:szCs w:val="22"/>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21"/>
          <w:szCs w:val="21"/>
          <w:color w:val="auto"/>
        </w:rPr>
        <w:t>IN WITNESS WHEREOF, the parties hereto have executed this agreement as of the date first set forth above.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2022</w:t>
      </w:r>
    </w:p>
    <w:p>
      <w:pPr>
        <w:spacing w:after="0" w:line="223" w:lineRule="exact"/>
        <w:rPr>
          <w:sz w:val="20"/>
          <w:szCs w:val="20"/>
          <w:color w:val="auto"/>
        </w:rPr>
      </w:pPr>
    </w:p>
    <w:tbl>
      <w:tblPr>
        <w:tblLayout w:type="fixed"/>
        <w:tblInd w:w="508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spacing w:after="0"/>
              <w:rPr>
                <w:sz w:val="20"/>
                <w:szCs w:val="20"/>
                <w:color w:val="auto"/>
              </w:rPr>
            </w:pPr>
            <w:r>
              <w:rPr>
                <w:rFonts w:ascii="Arial" w:cs="Arial" w:eastAsia="Arial" w:hAnsi="Arial"/>
                <w:sz w:val="18"/>
                <w:szCs w:val="18"/>
                <w:color w:val="auto"/>
              </w:rPr>
              <w:t>/s/ Scott M. Hendler</w:t>
            </w:r>
          </w:p>
        </w:tc>
      </w:tr>
      <w:tr>
        <w:trPr>
          <w:trHeight w:val="20"/>
        </w:trPr>
        <w:tc>
          <w:tcPr>
            <w:tcW w:w="5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60" w:type="dxa"/>
            <w:vAlign w:val="bottom"/>
            <w:gridSpan w:val="2"/>
          </w:tcPr>
          <w:p>
            <w:pPr>
              <w:spacing w:after="0"/>
              <w:rPr>
                <w:sz w:val="20"/>
                <w:szCs w:val="20"/>
                <w:color w:val="auto"/>
              </w:rPr>
            </w:pPr>
            <w:r>
              <w:rPr>
                <w:rFonts w:ascii="Arial" w:cs="Arial" w:eastAsia="Arial" w:hAnsi="Arial"/>
                <w:sz w:val="18"/>
                <w:szCs w:val="18"/>
                <w:color w:val="auto"/>
                <w:w w:val="91"/>
              </w:rPr>
              <w:t>Scott M. Hendler on behalf of O. Andreas Halvorsen (1)</w:t>
            </w:r>
          </w:p>
        </w:tc>
      </w:tr>
      <w:tr>
        <w:trPr>
          <w:trHeight w:val="39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spacing w:after="0"/>
              <w:rPr>
                <w:sz w:val="20"/>
                <w:szCs w:val="20"/>
                <w:color w:val="auto"/>
              </w:rPr>
            </w:pPr>
            <w:r>
              <w:rPr>
                <w:rFonts w:ascii="Arial" w:cs="Arial" w:eastAsia="Arial" w:hAnsi="Arial"/>
                <w:sz w:val="18"/>
                <w:szCs w:val="18"/>
                <w:color w:val="auto"/>
              </w:rPr>
              <w:t>/s/ Scott M. Hendler</w:t>
            </w:r>
          </w:p>
        </w:tc>
      </w:tr>
      <w:tr>
        <w:trPr>
          <w:trHeight w:val="20"/>
        </w:trPr>
        <w:tc>
          <w:tcPr>
            <w:tcW w:w="5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60" w:type="dxa"/>
            <w:vAlign w:val="bottom"/>
            <w:gridSpan w:val="2"/>
          </w:tcPr>
          <w:p>
            <w:pPr>
              <w:spacing w:after="0"/>
              <w:rPr>
                <w:sz w:val="20"/>
                <w:szCs w:val="20"/>
                <w:color w:val="auto"/>
              </w:rPr>
            </w:pPr>
            <w:r>
              <w:rPr>
                <w:rFonts w:ascii="Arial" w:cs="Arial" w:eastAsia="Arial" w:hAnsi="Arial"/>
                <w:sz w:val="18"/>
                <w:szCs w:val="18"/>
                <w:color w:val="auto"/>
              </w:rPr>
              <w:t>Scott M. Hendler on behalf of David C. Ott (2)</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spacing w:after="0"/>
              <w:rPr>
                <w:sz w:val="20"/>
                <w:szCs w:val="20"/>
                <w:color w:val="auto"/>
              </w:rPr>
            </w:pPr>
            <w:r>
              <w:rPr>
                <w:rFonts w:ascii="Arial" w:cs="Arial" w:eastAsia="Arial" w:hAnsi="Arial"/>
                <w:sz w:val="18"/>
                <w:szCs w:val="18"/>
                <w:color w:val="auto"/>
              </w:rPr>
              <w:t>/s/ Scott M. Hendler</w:t>
            </w:r>
          </w:p>
        </w:tc>
      </w:tr>
      <w:tr>
        <w:trPr>
          <w:trHeight w:val="20"/>
        </w:trPr>
        <w:tc>
          <w:tcPr>
            <w:tcW w:w="5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60" w:type="dxa"/>
            <w:vAlign w:val="bottom"/>
            <w:gridSpan w:val="2"/>
          </w:tcPr>
          <w:p>
            <w:pPr>
              <w:spacing w:after="0"/>
              <w:rPr>
                <w:sz w:val="20"/>
                <w:szCs w:val="20"/>
                <w:color w:val="auto"/>
              </w:rPr>
            </w:pPr>
            <w:r>
              <w:rPr>
                <w:rFonts w:ascii="Arial" w:cs="Arial" w:eastAsia="Arial" w:hAnsi="Arial"/>
                <w:sz w:val="18"/>
                <w:szCs w:val="18"/>
                <w:color w:val="auto"/>
              </w:rPr>
              <w:t>Scott M. Hendler on behalf of Rose S. Shabet (3)</w:t>
            </w:r>
          </w:p>
        </w:tc>
      </w:tr>
    </w:tbl>
    <w:p>
      <w:pPr>
        <w:spacing w:after="0" w:line="222" w:lineRule="exact"/>
        <w:rPr>
          <w:sz w:val="20"/>
          <w:szCs w:val="20"/>
          <w:color w:val="auto"/>
        </w:rPr>
      </w:pPr>
    </w:p>
    <w:p>
      <w:pPr>
        <w:ind w:right="160" w:firstLine="8"/>
        <w:spacing w:after="0" w:line="274" w:lineRule="auto"/>
        <w:tabs>
          <w:tab w:leader="none" w:pos="306" w:val="left"/>
        </w:tabs>
        <w:numPr>
          <w:ilvl w:val="0"/>
          <w:numId w:val="18"/>
        </w:numPr>
        <w:rPr>
          <w:rFonts w:ascii="Arial" w:cs="Arial" w:eastAsia="Arial" w:hAnsi="Arial"/>
          <w:sz w:val="19"/>
          <w:szCs w:val="19"/>
          <w:color w:val="auto"/>
        </w:rPr>
      </w:pPr>
      <w:r>
        <w:rPr>
          <w:rFonts w:ascii="Arial" w:cs="Arial" w:eastAsia="Arial" w:hAnsi="Arial"/>
          <w:sz w:val="19"/>
          <w:szCs w:val="19"/>
          <w:color w:val="auto"/>
        </w:rPr>
        <w:t>Scott M. Hendler is signing on behalf of O. Andreas Halvorsen,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85" w:lineRule="exact"/>
        <w:rPr>
          <w:rFonts w:ascii="Arial" w:cs="Arial" w:eastAsia="Arial" w:hAnsi="Arial"/>
          <w:sz w:val="19"/>
          <w:szCs w:val="19"/>
          <w:color w:val="auto"/>
        </w:rPr>
      </w:pPr>
    </w:p>
    <w:p>
      <w:pPr>
        <w:ind w:right="20" w:firstLine="8"/>
        <w:spacing w:after="0" w:line="245" w:lineRule="auto"/>
        <w:tabs>
          <w:tab w:leader="none" w:pos="306" w:val="left"/>
        </w:tabs>
        <w:numPr>
          <w:ilvl w:val="0"/>
          <w:numId w:val="18"/>
        </w:numPr>
        <w:rPr>
          <w:rFonts w:ascii="Arial" w:cs="Arial" w:eastAsia="Arial" w:hAnsi="Arial"/>
          <w:sz w:val="21"/>
          <w:szCs w:val="21"/>
          <w:color w:val="auto"/>
        </w:rPr>
      </w:pPr>
      <w:r>
        <w:rPr>
          <w:rFonts w:ascii="Arial" w:cs="Arial" w:eastAsia="Arial" w:hAnsi="Arial"/>
          <w:sz w:val="21"/>
          <w:szCs w:val="21"/>
          <w:color w:val="auto"/>
        </w:rPr>
        <w:t>Scott M. Hendler is signing on behalf of David C. Ott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1" w:lineRule="exact"/>
        <w:rPr>
          <w:rFonts w:ascii="Arial" w:cs="Arial" w:eastAsia="Arial" w:hAnsi="Arial"/>
          <w:sz w:val="21"/>
          <w:szCs w:val="21"/>
          <w:color w:val="auto"/>
        </w:rPr>
      </w:pPr>
    </w:p>
    <w:p>
      <w:pPr>
        <w:ind w:right="20" w:firstLine="8"/>
        <w:spacing w:after="0" w:line="274" w:lineRule="auto"/>
        <w:tabs>
          <w:tab w:leader="none" w:pos="306" w:val="left"/>
        </w:tabs>
        <w:numPr>
          <w:ilvl w:val="0"/>
          <w:numId w:val="18"/>
        </w:numPr>
        <w:rPr>
          <w:rFonts w:ascii="Arial" w:cs="Arial" w:eastAsia="Arial" w:hAnsi="Arial"/>
          <w:sz w:val="19"/>
          <w:szCs w:val="19"/>
          <w:color w:val="auto"/>
        </w:rPr>
      </w:pPr>
      <w:r>
        <w:rPr>
          <w:rFonts w:ascii="Arial" w:cs="Arial" w:eastAsia="Arial" w:hAnsi="Arial"/>
          <w:sz w:val="19"/>
          <w:szCs w:val="19"/>
          <w:color w:val="auto"/>
        </w:rPr>
        <w:t>Scott M. Hendler is signing on behalf of Rose S. Shabet,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lowerLetter"/>
      <w:start w:val="7"/>
    </w:lvl>
  </w:abstractNum>
  <w:abstractNum w:abstractNumId="3">
    <w:nsid w:val="1F16E9E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
    <w:nsid w:val="1190CDE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
    <w:nsid w:val="66EF438D"/>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6">
    <w:nsid w:val="140E0F76"/>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7">
    <w:nsid w:val="3352255A"/>
    <w:multiLevelType w:val="hybridMultilevel"/>
    <w:lvl w:ilvl="0">
      <w:lvlJc w:val="left"/>
      <w:lvlText w:val="%1"/>
      <w:numFmt w:val="upperLetter"/>
      <w:start w:val="61"/>
    </w:lvl>
  </w:abstractNum>
  <w:abstractNum w:abstractNumId="8">
    <w:nsid w:val="109CF92E"/>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9">
    <w:nsid w:val="DED7263"/>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10">
    <w:nsid w:val="7FDCC233"/>
    <w:multiLevelType w:val="hybridMultilevel"/>
    <w:lvl w:ilvl="0">
      <w:lvlJc w:val="left"/>
      <w:lvlText w:val="(%1)"/>
      <w:numFmt w:val="lowerLetter"/>
      <w:start w:val="1"/>
    </w:lvl>
    <w:lvl w:ilvl="1">
      <w:lvlJc w:val="left"/>
      <w:lvlText w:val="(%2)"/>
      <w:numFmt w:val="lowerRoman"/>
      <w:start w:val="1"/>
    </w:lvl>
  </w:abstractNum>
  <w:abstractNum w:abstractNumId="11">
    <w:nsid w:val="1BEFD79F"/>
    <w:multiLevelType w:val="hybridMultilevel"/>
    <w:lvl w:ilvl="0">
      <w:lvlJc w:val="left"/>
      <w:lvlText w:val="(%1)"/>
      <w:numFmt w:val="lowerRoman"/>
      <w:start w:val="3"/>
    </w:lvl>
  </w:abstractNum>
  <w:abstractNum w:abstractNumId="12">
    <w:nsid w:val="41A7C4C9"/>
    <w:multiLevelType w:val="hybridMultilevel"/>
    <w:lvl w:ilvl="0">
      <w:lvlJc w:val="left"/>
      <w:lvlText w:val="(%1)"/>
      <w:numFmt w:val="lowerLetter"/>
      <w:start w:val="1"/>
    </w:lvl>
    <w:lvl w:ilvl="1">
      <w:lvlJc w:val="left"/>
      <w:lvlText w:val="(%2)"/>
      <w:numFmt w:val="lowerRoman"/>
      <w:start w:val="1"/>
    </w:lvl>
  </w:abstractNum>
  <w:abstractNum w:abstractNumId="13">
    <w:nsid w:val="6B68079A"/>
    <w:multiLevelType w:val="hybridMultilevel"/>
    <w:lvl w:ilvl="0">
      <w:lvlJc w:val="left"/>
      <w:lvlText w:val="(%1)"/>
      <w:numFmt w:val="lowerLetter"/>
      <w:start w:val="1"/>
    </w:lvl>
    <w:lvl w:ilvl="1">
      <w:lvlJc w:val="left"/>
      <w:lvlText w:val="(%2)"/>
      <w:numFmt w:val="lowerRoman"/>
      <w:start w:val="1"/>
    </w:lvl>
  </w:abstractNum>
  <w:abstractNum w:abstractNumId="14">
    <w:nsid w:val="4E6AFB66"/>
    <w:multiLevelType w:val="hybridMultilevel"/>
    <w:lvl w:ilvl="0">
      <w:lvlJc w:val="left"/>
      <w:lvlText w:val="%1."/>
      <w:numFmt w:val="upperLetter"/>
      <w:start w:val="10"/>
    </w:lvl>
    <w:lvl w:ilvl="1">
      <w:lvlJc w:val="left"/>
      <w:lvlText w:val="(%2)"/>
      <w:numFmt w:val="lowerLetter"/>
      <w:start w:val="1"/>
    </w:lvl>
    <w:lvl w:ilvl="2">
      <w:lvlJc w:val="left"/>
      <w:lvlText w:val="(%3)"/>
      <w:numFmt w:val="lowerRoman"/>
      <w:start w:val="1"/>
    </w:lvl>
  </w:abstractNum>
  <w:abstractNum w:abstractNumId="15">
    <w:nsid w:val="25E45D32"/>
    <w:multiLevelType w:val="hybridMultilevel"/>
    <w:lvl w:ilvl="0">
      <w:lvlJc w:val="left"/>
      <w:lvlText w:val="(%1)"/>
      <w:numFmt w:val="lowerLetter"/>
      <w:start w:val="1"/>
    </w:lvl>
    <w:lvl w:ilvl="1">
      <w:lvlJc w:val="left"/>
      <w:lvlText w:val="(%2)"/>
      <w:numFmt w:val="lowerRoman"/>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2022-02-14T16:33:36Z</dcterms:created>
  <dcterms:modified xsi:type="dcterms:W3CDTF">2022-02-14T16:33:36Z</dcterms:modified>
</cp:coreProperties>
</file>