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Arbutus Biopharma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no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87911B209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Roivant Sciences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(441) 295-5950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25,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260" w:firstLine="324"/>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right="120" w:firstLine="332"/>
        <w:spacing w:after="0" w:line="277" w:lineRule="auto"/>
        <w:tabs>
          <w:tab w:leader="none" w:pos="45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tabs>
          <w:tab w:leader="none" w:pos="10120" w:val="left"/>
        </w:tabs>
        <w:rPr>
          <w:sz w:val="20"/>
          <w:szCs w:val="20"/>
          <w:color w:val="auto"/>
        </w:rPr>
      </w:pPr>
      <w:r>
        <w:rPr>
          <w:rFonts w:ascii="Arial" w:cs="Arial" w:eastAsia="Arial" w:hAnsi="Arial"/>
          <w:sz w:val="18"/>
          <w:szCs w:val="18"/>
          <w:color w:val="auto"/>
        </w:rPr>
        <w:t>CUSIP No. 87911B209</w:t>
      </w:r>
      <w:r>
        <w:rPr>
          <w:sz w:val="20"/>
          <w:szCs w:val="20"/>
          <w:color w:val="auto"/>
        </w:rPr>
        <w:tab/>
      </w:r>
      <w:r>
        <w:rPr>
          <w:rFonts w:ascii="Arial" w:cs="Arial" w:eastAsia="Arial" w:hAnsi="Arial"/>
          <w:sz w:val="15"/>
          <w:szCs w:val="15"/>
          <w:color w:val="auto"/>
        </w:rPr>
        <w:t>Page 2 of 5 Pages</w:t>
      </w:r>
    </w:p>
    <w:p>
      <w:pPr>
        <w:spacing w:after="0" w:line="200" w:lineRule="exact"/>
        <w:rPr>
          <w:sz w:val="20"/>
          <w:szCs w:val="20"/>
          <w:color w:val="auto"/>
        </w:rPr>
      </w:pPr>
    </w:p>
    <w:p>
      <w:pPr>
        <w:spacing w:after="0" w:line="255" w:lineRule="exact"/>
        <w:rPr>
          <w:sz w:val="20"/>
          <w:szCs w:val="20"/>
          <w:color w:val="auto"/>
        </w:rPr>
      </w:pPr>
    </w:p>
    <w:p>
      <w:pPr>
        <w:ind w:left="820" w:right="8800" w:hanging="655"/>
        <w:spacing w:after="0" w:line="291" w:lineRule="auto"/>
        <w:tabs>
          <w:tab w:leader="none" w:pos="775"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Roivant Sciences Ltd.</w:t>
      </w:r>
    </w:p>
    <w:p>
      <w:pPr>
        <w:ind w:left="760" w:hanging="59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760" w:hanging="59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60" w:right="9520" w:hanging="595"/>
        <w:spacing w:after="0" w:line="432"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Source of funds OO - other</w:t>
      </w:r>
    </w:p>
    <w:p>
      <w:pPr>
        <w:ind w:left="760" w:hanging="595"/>
        <w:spacing w:after="0" w:line="207" w:lineRule="exact"/>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 2(e) or 2(f)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760" w:hanging="59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-1819910</wp:posOffset>
            </wp:positionV>
            <wp:extent cx="7246620" cy="5342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342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Bermuda</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7.</w:t>
            </w:r>
          </w:p>
        </w:tc>
        <w:tc>
          <w:tcPr>
            <w:tcW w:w="94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2"/>
        </w:trPr>
        <w:tc>
          <w:tcPr>
            <w:tcW w:w="1060" w:type="dxa"/>
            <w:vAlign w:val="bottom"/>
          </w:tcPr>
          <w:p>
            <w:pPr>
              <w:jc w:val="center"/>
              <w:ind w:right="130"/>
              <w:spacing w:after="0"/>
              <w:rPr>
                <w:sz w:val="20"/>
                <w:szCs w:val="20"/>
                <w:color w:val="auto"/>
              </w:rPr>
            </w:pPr>
            <w:r>
              <w:rPr>
                <w:rFonts w:ascii="Arial" w:cs="Arial" w:eastAsia="Arial" w:hAnsi="Arial"/>
                <w:sz w:val="18"/>
                <w:szCs w:val="18"/>
                <w:color w:val="auto"/>
                <w:w w:val="95"/>
              </w:rPr>
              <w:t>Number of</w:t>
            </w:r>
          </w:p>
        </w:tc>
        <w:tc>
          <w:tcPr>
            <w:tcW w:w="580" w:type="dxa"/>
            <w:vAlign w:val="bottom"/>
          </w:tcPr>
          <w:p>
            <w:pPr>
              <w:spacing w:after="0"/>
              <w:rPr>
                <w:sz w:val="24"/>
                <w:szCs w:val="24"/>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81"/>
              </w:rPr>
              <w:t>shares</w:t>
            </w:r>
          </w:p>
        </w:tc>
        <w:tc>
          <w:tcPr>
            <w:tcW w:w="580" w:type="dxa"/>
            <w:vAlign w:val="bottom"/>
            <w:tcBorders>
              <w:bottom w:val="single" w:sz="8" w:color="auto"/>
            </w:tcBorders>
          </w:tcPr>
          <w:p>
            <w:pPr>
              <w:spacing w:after="0"/>
              <w:rPr>
                <w:sz w:val="9"/>
                <w:szCs w:val="9"/>
                <w:color w:val="auto"/>
              </w:rPr>
            </w:pPr>
          </w:p>
        </w:tc>
        <w:tc>
          <w:tcPr>
            <w:tcW w:w="9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6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beneficially</w:t>
            </w:r>
          </w:p>
        </w:tc>
        <w:tc>
          <w:tcPr>
            <w:tcW w:w="580" w:type="dxa"/>
            <w:vAlign w:val="bottom"/>
            <w:vMerge w:val="continue"/>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0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30"/>
              <w:spacing w:after="0"/>
              <w:rPr>
                <w:sz w:val="20"/>
                <w:szCs w:val="20"/>
                <w:color w:val="auto"/>
              </w:rPr>
            </w:pPr>
            <w:r>
              <w:rPr>
                <w:rFonts w:ascii="Arial" w:cs="Arial" w:eastAsia="Arial" w:hAnsi="Arial"/>
                <w:sz w:val="18"/>
                <w:szCs w:val="18"/>
                <w:color w:val="auto"/>
                <w:w w:val="93"/>
              </w:rPr>
              <w:t>owned by</w:t>
            </w:r>
          </w:p>
        </w:tc>
        <w:tc>
          <w:tcPr>
            <w:tcW w:w="580" w:type="dxa"/>
            <w:vAlign w:val="bottom"/>
          </w:tcPr>
          <w:p>
            <w:pPr>
              <w:spacing w:after="0"/>
              <w:rPr>
                <w:sz w:val="18"/>
                <w:szCs w:val="18"/>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16,013,540 Shares (see Item 5)</w:t>
            </w:r>
          </w:p>
        </w:tc>
        <w:tc>
          <w:tcPr>
            <w:tcW w:w="0" w:type="dxa"/>
            <w:vAlign w:val="bottom"/>
          </w:tcPr>
          <w:p>
            <w:pPr>
              <w:spacing w:after="0"/>
              <w:rPr>
                <w:sz w:val="1"/>
                <w:szCs w:val="1"/>
                <w:color w:val="auto"/>
              </w:rPr>
            </w:pPr>
          </w:p>
        </w:tc>
      </w:tr>
      <w:tr>
        <w:trPr>
          <w:trHeight w:val="122"/>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81"/>
              </w:rPr>
              <w:t>each</w:t>
            </w:r>
          </w:p>
        </w:tc>
        <w:tc>
          <w:tcPr>
            <w:tcW w:w="58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060" w:type="dxa"/>
            <w:vAlign w:val="bottom"/>
            <w:vMerge w:val="continue"/>
          </w:tcPr>
          <w:p>
            <w:pPr>
              <w:spacing w:after="0"/>
              <w:rPr>
                <w:sz w:val="6"/>
                <w:szCs w:val="6"/>
                <w:color w:val="auto"/>
              </w:rPr>
            </w:pP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6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30"/>
              <w:spacing w:after="0"/>
              <w:rPr>
                <w:sz w:val="20"/>
                <w:szCs w:val="20"/>
                <w:color w:val="auto"/>
              </w:rPr>
            </w:pPr>
            <w:r>
              <w:rPr>
                <w:rFonts w:ascii="Arial" w:cs="Arial" w:eastAsia="Arial" w:hAnsi="Arial"/>
                <w:sz w:val="18"/>
                <w:szCs w:val="18"/>
                <w:color w:val="auto"/>
                <w:w w:val="87"/>
              </w:rPr>
              <w:t>person</w:t>
            </w:r>
          </w:p>
        </w:tc>
        <w:tc>
          <w:tcPr>
            <w:tcW w:w="580" w:type="dxa"/>
            <w:vAlign w:val="bottom"/>
          </w:tcPr>
          <w:p>
            <w:pPr>
              <w:spacing w:after="0"/>
              <w:rPr>
                <w:sz w:val="18"/>
                <w:szCs w:val="18"/>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580" w:type="dxa"/>
            <w:vAlign w:val="bottom"/>
            <w:tcBorders>
              <w:bottom w:val="single" w:sz="8" w:color="auto"/>
            </w:tcBorders>
          </w:tcPr>
          <w:p>
            <w:pPr>
              <w:spacing w:after="0"/>
              <w:rPr>
                <w:sz w:val="11"/>
                <w:szCs w:val="11"/>
                <w:color w:val="auto"/>
              </w:rPr>
            </w:pPr>
          </w:p>
        </w:tc>
        <w:tc>
          <w:tcPr>
            <w:tcW w:w="9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10.</w:t>
            </w: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16,013,540 Shares (see Item 5)</w:t>
      </w:r>
    </w:p>
    <w:p>
      <w:pPr>
        <w:spacing w:after="0" w:line="23"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16,013,540 Shares (see Item 5)</w:t>
      </w:r>
    </w:p>
    <w:p>
      <w:pPr>
        <w:spacing w:after="0" w:line="23" w:lineRule="exact"/>
        <w:rPr>
          <w:sz w:val="20"/>
          <w:szCs w:val="20"/>
          <w:color w:val="auto"/>
        </w:rPr>
      </w:pPr>
    </w:p>
    <w:p>
      <w:pPr>
        <w:ind w:left="160"/>
        <w:spacing w:after="0" w:line="207" w:lineRule="exact"/>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38"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Percent of class represented by amount in Row (11)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29.5% (see Item 5)</w:t>
      </w:r>
    </w:p>
    <w:p>
      <w:pPr>
        <w:spacing w:after="0" w:line="23"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spacing w:after="0"/>
        <w:tabs>
          <w:tab w:leader="none" w:pos="10120" w:val="left"/>
        </w:tabs>
        <w:rPr>
          <w:sz w:val="20"/>
          <w:szCs w:val="20"/>
          <w:color w:val="auto"/>
        </w:rPr>
      </w:pPr>
      <w:r>
        <w:rPr>
          <w:rFonts w:ascii="Arial" w:cs="Arial" w:eastAsia="Arial" w:hAnsi="Arial"/>
          <w:sz w:val="18"/>
          <w:szCs w:val="18"/>
          <w:color w:val="auto"/>
        </w:rPr>
        <w:t>CUSIP No. 87911B209</w:t>
      </w:r>
      <w:r>
        <w:rPr>
          <w:sz w:val="20"/>
          <w:szCs w:val="20"/>
          <w:color w:val="auto"/>
        </w:rPr>
        <w:tab/>
      </w:r>
      <w:r>
        <w:rPr>
          <w:rFonts w:ascii="Arial" w:cs="Arial" w:eastAsia="Arial" w:hAnsi="Arial"/>
          <w:sz w:val="15"/>
          <w:szCs w:val="15"/>
          <w:color w:val="auto"/>
        </w:rPr>
        <w:t>Page 3 of 5 Pages</w:t>
      </w:r>
    </w:p>
    <w:p>
      <w:pPr>
        <w:spacing w:after="0" w:line="200" w:lineRule="exact"/>
        <w:rPr>
          <w:sz w:val="20"/>
          <w:szCs w:val="20"/>
          <w:color w:val="auto"/>
        </w:rPr>
      </w:pPr>
    </w:p>
    <w:p>
      <w:pPr>
        <w:spacing w:after="0" w:line="255" w:lineRule="exact"/>
        <w:rPr>
          <w:sz w:val="20"/>
          <w:szCs w:val="20"/>
          <w:color w:val="auto"/>
        </w:rPr>
      </w:pPr>
    </w:p>
    <w:p>
      <w:pPr>
        <w:ind w:left="760" w:right="8800" w:hanging="595"/>
        <w:spacing w:after="0" w:line="291"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 Vivek Ramaswamy</w:t>
      </w:r>
    </w:p>
    <w:p>
      <w:pPr>
        <w:ind w:left="760" w:hanging="595"/>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760" w:hanging="595"/>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60" w:right="9520" w:hanging="595"/>
        <w:spacing w:after="0" w:line="43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Source of funds OO - other</w:t>
      </w:r>
    </w:p>
    <w:p>
      <w:pPr>
        <w:ind w:left="760" w:hanging="595"/>
        <w:spacing w:after="0" w:line="207" w:lineRule="exact"/>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 2(e) or 2(f) </w:t>
      </w:r>
      <w:r>
        <w:rPr>
          <w:rFonts w:ascii="MS PGothic" w:cs="MS PGothic" w:eastAsia="MS PGothic" w:hAnsi="MS PGothic"/>
          <w:sz w:val="18"/>
          <w:szCs w:val="18"/>
          <w:color w:val="auto"/>
        </w:rPr>
        <w:t>☐</w:t>
      </w:r>
    </w:p>
    <w:p>
      <w:pPr>
        <w:spacing w:after="0" w:line="237" w:lineRule="exact"/>
        <w:rPr>
          <w:rFonts w:ascii="Arial" w:cs="Arial" w:eastAsia="Arial" w:hAnsi="Arial"/>
          <w:sz w:val="18"/>
          <w:szCs w:val="18"/>
          <w:color w:val="auto"/>
        </w:rPr>
      </w:pPr>
    </w:p>
    <w:p>
      <w:pPr>
        <w:ind w:left="760" w:hanging="595"/>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-1819910</wp:posOffset>
            </wp:positionV>
            <wp:extent cx="7246620" cy="5342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342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7.</w:t>
            </w:r>
          </w:p>
        </w:tc>
        <w:tc>
          <w:tcPr>
            <w:tcW w:w="94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2"/>
        </w:trPr>
        <w:tc>
          <w:tcPr>
            <w:tcW w:w="1060" w:type="dxa"/>
            <w:vAlign w:val="bottom"/>
          </w:tcPr>
          <w:p>
            <w:pPr>
              <w:jc w:val="center"/>
              <w:ind w:right="130"/>
              <w:spacing w:after="0"/>
              <w:rPr>
                <w:sz w:val="20"/>
                <w:szCs w:val="20"/>
                <w:color w:val="auto"/>
              </w:rPr>
            </w:pPr>
            <w:r>
              <w:rPr>
                <w:rFonts w:ascii="Arial" w:cs="Arial" w:eastAsia="Arial" w:hAnsi="Arial"/>
                <w:sz w:val="18"/>
                <w:szCs w:val="18"/>
                <w:color w:val="auto"/>
                <w:w w:val="95"/>
              </w:rPr>
              <w:t>Number of</w:t>
            </w:r>
          </w:p>
        </w:tc>
        <w:tc>
          <w:tcPr>
            <w:tcW w:w="580" w:type="dxa"/>
            <w:vAlign w:val="bottom"/>
          </w:tcPr>
          <w:p>
            <w:pPr>
              <w:spacing w:after="0"/>
              <w:rPr>
                <w:sz w:val="24"/>
                <w:szCs w:val="24"/>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62,415 Shares (see Item 5)</w:t>
            </w:r>
          </w:p>
        </w:tc>
        <w:tc>
          <w:tcPr>
            <w:tcW w:w="0" w:type="dxa"/>
            <w:vAlign w:val="bottom"/>
          </w:tcPr>
          <w:p>
            <w:pPr>
              <w:spacing w:after="0"/>
              <w:rPr>
                <w:sz w:val="1"/>
                <w:szCs w:val="1"/>
                <w:color w:val="auto"/>
              </w:rPr>
            </w:pPr>
          </w:p>
        </w:tc>
      </w:tr>
      <w:tr>
        <w:trPr>
          <w:trHeight w:val="109"/>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81"/>
              </w:rPr>
              <w:t>shares</w:t>
            </w:r>
          </w:p>
        </w:tc>
        <w:tc>
          <w:tcPr>
            <w:tcW w:w="580" w:type="dxa"/>
            <w:vAlign w:val="bottom"/>
            <w:tcBorders>
              <w:bottom w:val="single" w:sz="8" w:color="auto"/>
            </w:tcBorders>
          </w:tcPr>
          <w:p>
            <w:pPr>
              <w:spacing w:after="0"/>
              <w:rPr>
                <w:sz w:val="9"/>
                <w:szCs w:val="9"/>
                <w:color w:val="auto"/>
              </w:rPr>
            </w:pPr>
          </w:p>
        </w:tc>
        <w:tc>
          <w:tcPr>
            <w:tcW w:w="9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6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beneficially</w:t>
            </w:r>
          </w:p>
        </w:tc>
        <w:tc>
          <w:tcPr>
            <w:tcW w:w="580" w:type="dxa"/>
            <w:vAlign w:val="bottom"/>
            <w:vMerge w:val="continue"/>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0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30"/>
              <w:spacing w:after="0"/>
              <w:rPr>
                <w:sz w:val="20"/>
                <w:szCs w:val="20"/>
                <w:color w:val="auto"/>
              </w:rPr>
            </w:pPr>
            <w:r>
              <w:rPr>
                <w:rFonts w:ascii="Arial" w:cs="Arial" w:eastAsia="Arial" w:hAnsi="Arial"/>
                <w:sz w:val="18"/>
                <w:szCs w:val="18"/>
                <w:color w:val="auto"/>
                <w:w w:val="93"/>
              </w:rPr>
              <w:t>owned by</w:t>
            </w:r>
          </w:p>
        </w:tc>
        <w:tc>
          <w:tcPr>
            <w:tcW w:w="580" w:type="dxa"/>
            <w:vAlign w:val="bottom"/>
          </w:tcPr>
          <w:p>
            <w:pPr>
              <w:spacing w:after="0"/>
              <w:rPr>
                <w:sz w:val="18"/>
                <w:szCs w:val="18"/>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16,013,540 Shares (see Item 5)</w:t>
            </w:r>
          </w:p>
        </w:tc>
        <w:tc>
          <w:tcPr>
            <w:tcW w:w="0" w:type="dxa"/>
            <w:vAlign w:val="bottom"/>
          </w:tcPr>
          <w:p>
            <w:pPr>
              <w:spacing w:after="0"/>
              <w:rPr>
                <w:sz w:val="1"/>
                <w:szCs w:val="1"/>
                <w:color w:val="auto"/>
              </w:rPr>
            </w:pPr>
          </w:p>
        </w:tc>
      </w:tr>
      <w:tr>
        <w:trPr>
          <w:trHeight w:val="122"/>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81"/>
              </w:rPr>
              <w:t>each</w:t>
            </w:r>
          </w:p>
        </w:tc>
        <w:tc>
          <w:tcPr>
            <w:tcW w:w="580" w:type="dxa"/>
            <w:vAlign w:val="bottom"/>
            <w:tcBorders>
              <w:bottom w:val="single" w:sz="8" w:color="auto"/>
            </w:tcBorders>
          </w:tcPr>
          <w:p>
            <w:pPr>
              <w:spacing w:after="0"/>
              <w:rPr>
                <w:sz w:val="10"/>
                <w:szCs w:val="10"/>
                <w:color w:val="auto"/>
              </w:rPr>
            </w:pPr>
          </w:p>
        </w:tc>
        <w:tc>
          <w:tcPr>
            <w:tcW w:w="94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060" w:type="dxa"/>
            <w:vAlign w:val="bottom"/>
            <w:vMerge w:val="continue"/>
          </w:tcPr>
          <w:p>
            <w:pPr>
              <w:spacing w:after="0"/>
              <w:rPr>
                <w:sz w:val="6"/>
                <w:szCs w:val="6"/>
                <w:color w:val="auto"/>
              </w:rPr>
            </w:pP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6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reporting</w:t>
            </w:r>
          </w:p>
        </w:tc>
        <w:tc>
          <w:tcPr>
            <w:tcW w:w="58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30"/>
              <w:spacing w:after="0"/>
              <w:rPr>
                <w:sz w:val="20"/>
                <w:szCs w:val="20"/>
                <w:color w:val="auto"/>
              </w:rPr>
            </w:pPr>
            <w:r>
              <w:rPr>
                <w:rFonts w:ascii="Arial" w:cs="Arial" w:eastAsia="Arial" w:hAnsi="Arial"/>
                <w:sz w:val="18"/>
                <w:szCs w:val="18"/>
                <w:color w:val="auto"/>
                <w:w w:val="87"/>
              </w:rPr>
              <w:t>person</w:t>
            </w:r>
          </w:p>
        </w:tc>
        <w:tc>
          <w:tcPr>
            <w:tcW w:w="580" w:type="dxa"/>
            <w:vAlign w:val="bottom"/>
          </w:tcPr>
          <w:p>
            <w:pPr>
              <w:spacing w:after="0"/>
              <w:rPr>
                <w:sz w:val="18"/>
                <w:szCs w:val="18"/>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62,415 Shares (see Item 5)</w:t>
            </w:r>
          </w:p>
        </w:tc>
        <w:tc>
          <w:tcPr>
            <w:tcW w:w="0" w:type="dxa"/>
            <w:vAlign w:val="bottom"/>
          </w:tcPr>
          <w:p>
            <w:pPr>
              <w:spacing w:after="0"/>
              <w:rPr>
                <w:sz w:val="1"/>
                <w:szCs w:val="1"/>
                <w:color w:val="auto"/>
              </w:rPr>
            </w:pPr>
          </w:p>
        </w:tc>
      </w:tr>
      <w:tr>
        <w:trPr>
          <w:trHeight w:val="136"/>
        </w:trPr>
        <w:tc>
          <w:tcPr>
            <w:tcW w:w="106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580" w:type="dxa"/>
            <w:vAlign w:val="bottom"/>
            <w:tcBorders>
              <w:bottom w:val="single" w:sz="8" w:color="auto"/>
            </w:tcBorders>
          </w:tcPr>
          <w:p>
            <w:pPr>
              <w:spacing w:after="0"/>
              <w:rPr>
                <w:sz w:val="11"/>
                <w:szCs w:val="11"/>
                <w:color w:val="auto"/>
              </w:rPr>
            </w:pPr>
          </w:p>
        </w:tc>
        <w:tc>
          <w:tcPr>
            <w:tcW w:w="9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60" w:type="dxa"/>
            <w:vAlign w:val="bottom"/>
            <w:vMerge w:val="continue"/>
          </w:tcPr>
          <w:p>
            <w:pPr>
              <w:spacing w:after="0"/>
              <w:rPr>
                <w:sz w:val="6"/>
                <w:szCs w:val="6"/>
                <w:color w:val="auto"/>
              </w:rPr>
            </w:pP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10.</w:t>
            </w: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16,013,540 Shares (see Item 5)</w:t>
      </w:r>
    </w:p>
    <w:p>
      <w:pPr>
        <w:spacing w:after="0" w:line="23"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16,075,955 Shares (see Item 5)</w:t>
      </w:r>
    </w:p>
    <w:p>
      <w:pPr>
        <w:spacing w:after="0" w:line="23" w:lineRule="exact"/>
        <w:rPr>
          <w:sz w:val="20"/>
          <w:szCs w:val="20"/>
          <w:color w:val="auto"/>
        </w:rPr>
      </w:pPr>
    </w:p>
    <w:p>
      <w:pPr>
        <w:ind w:left="160"/>
        <w:spacing w:after="0" w:line="207" w:lineRule="exact"/>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38"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Percent of class represented by amount in Row (11)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29.6% (see Item 5)</w:t>
      </w:r>
    </w:p>
    <w:p>
      <w:pPr>
        <w:spacing w:after="0" w:line="23"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Pursuant to Rule 13d-2 of the Securities Exchange Act of 1934, as amended, this Amendment No. 1 amends certain items of the Schedule 13D filed with the Securities and Exchange Commission on March 16, 2015 (the “Schedule 13D”). This Amendment No. 1 is being filed to report the decrease in beneficial ownership of the Reporting Persons solely due to an increase in the aggregate number of Common Shares outstanding following the issuance and sale of 7,500,000 Common Shares on March 25, 2015 by the Issuer in an underwritten public offering, and to furnish the additional information set forth herein. All capitalized terms contained herein but not otherwise defined shall have the meanings ascribed to such terms in the Schedule 13D.</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SECURITIES AND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1 of the Schedule 13D is hereby amended and restated in its entirety as follows:</w:t>
      </w:r>
    </w:p>
    <w:p>
      <w:pPr>
        <w:spacing w:after="0" w:line="225" w:lineRule="exact"/>
        <w:rPr>
          <w:sz w:val="20"/>
          <w:szCs w:val="20"/>
          <w:color w:val="auto"/>
        </w:rPr>
      </w:pPr>
    </w:p>
    <w:p>
      <w:pPr>
        <w:ind w:left="980" w:right="20"/>
        <w:spacing w:after="0" w:line="279" w:lineRule="auto"/>
        <w:rPr>
          <w:sz w:val="20"/>
          <w:szCs w:val="20"/>
          <w:color w:val="auto"/>
        </w:rPr>
      </w:pPr>
      <w:r>
        <w:rPr>
          <w:rFonts w:ascii="Arial" w:cs="Arial" w:eastAsia="Arial" w:hAnsi="Arial"/>
          <w:sz w:val="17"/>
          <w:szCs w:val="17"/>
          <w:color w:val="auto"/>
        </w:rPr>
        <w:t>This Schedule 13D relates to the common shares, no par value (the “Common Shares”), of the Issuer. The address of the Issuer’s principal executive offices is at 100-8900 Glenlyon Parkway, Burnaby, British Columbia, Canada, V5J 5J8. Effective July 31, 2015, the Issuer’s corporate name changed from Tekmira Pharmaceuticals Corporation to Arbutus Biopharma Corporation. Also effective July 31, 2015, the corporate name of the Issuer’s wholly owned subsidiary, OnCore Biopharma, Inc., changed to Arbutus Biopharma Inc.</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3 of the Schedule 13D is hereby amended by adding the following as the penultimate paragraph thereto:</w:t>
      </w:r>
    </w:p>
    <w:p>
      <w:pPr>
        <w:spacing w:after="0" w:line="225"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On August 12, 2015, Vivek Ramaswamy received an option to purchase 7,500 Common Shares of the Issuer, exercisable at a price of $9.11 per share, in connection with his service on the Board. The Common Shares underlying the option were fully vested and immediately exercisable as of the date of grant.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70" w:lineRule="exact"/>
        <w:rPr>
          <w:sz w:val="20"/>
          <w:szCs w:val="20"/>
          <w:color w:val="auto"/>
        </w:rPr>
      </w:pPr>
    </w:p>
    <w:p>
      <w:pPr>
        <w:ind w:left="980" w:right="300" w:hanging="972"/>
        <w:spacing w:after="0" w:line="279" w:lineRule="auto"/>
        <w:tabs>
          <w:tab w:leader="none" w:pos="252" w:val="left"/>
        </w:tabs>
        <w:numPr>
          <w:ilvl w:val="0"/>
          <w:numId w:val="4"/>
        </w:numPr>
        <w:rPr>
          <w:rFonts w:ascii="Arial" w:cs="Arial" w:eastAsia="Arial" w:hAnsi="Arial"/>
          <w:sz w:val="18"/>
          <w:szCs w:val="18"/>
          <w:color w:val="auto"/>
        </w:rPr>
      </w:pPr>
      <w:r>
        <w:rPr>
          <w:rFonts w:ascii="Arial" w:cs="Arial" w:eastAsia="Arial" w:hAnsi="Arial"/>
          <w:sz w:val="18"/>
          <w:szCs w:val="18"/>
          <w:color w:val="auto"/>
        </w:rPr>
        <w:t>– (b)</w:t>
      </w:r>
      <w:r>
        <w:rPr>
          <w:rFonts w:ascii="Arial" w:cs="Arial" w:eastAsia="Arial" w:hAnsi="Arial"/>
          <w:sz w:val="17"/>
          <w:szCs w:val="17"/>
          <w:color w:val="auto"/>
        </w:rPr>
        <w:t>Aggregate number and percentage of Common Shares beneficially owned by Roivant as of the date hereof: 16,013,540 Common Shares (the “Roivant Shares”). Voting and dispositive decisions of Roivant require unanimous approval by the three directors of Roivant. Accordingly, Vivek Ramaswamy may be deemed to have the power to vote and dispose of the Roivant Shares. Vivek Ramaswamy disclaims beneficial ownership of the shares owned by Roivant, except to the extent of their pecuniary interest therein.</w:t>
      </w:r>
    </w:p>
    <w:p>
      <w:pPr>
        <w:spacing w:after="0" w:line="171" w:lineRule="exact"/>
        <w:rPr>
          <w:sz w:val="20"/>
          <w:szCs w:val="20"/>
          <w:color w:val="auto"/>
        </w:rPr>
      </w:pPr>
    </w:p>
    <w:p>
      <w:pPr>
        <w:ind w:left="980" w:right="520"/>
        <w:spacing w:after="0" w:line="308" w:lineRule="auto"/>
        <w:rPr>
          <w:sz w:val="20"/>
          <w:szCs w:val="20"/>
          <w:color w:val="auto"/>
        </w:rPr>
      </w:pPr>
      <w:r>
        <w:rPr>
          <w:rFonts w:ascii="Arial" w:cs="Arial" w:eastAsia="Arial" w:hAnsi="Arial"/>
          <w:sz w:val="17"/>
          <w:szCs w:val="17"/>
          <w:color w:val="auto"/>
        </w:rPr>
        <w:t>In addition to the Roivant Shares, Vivek Ramaswamy individually owns 54,915 Common Shares as of the date hereof and has the right to acquire 7,500 Common Shares issuable pursuant to a stock option exercisable within 60 days of the date hereof.</w:t>
      </w:r>
    </w:p>
    <w:p>
      <w:pPr>
        <w:spacing w:after="0" w:line="147" w:lineRule="exact"/>
        <w:rPr>
          <w:sz w:val="20"/>
          <w:szCs w:val="20"/>
          <w:color w:val="auto"/>
        </w:rPr>
      </w:pPr>
    </w:p>
    <w:p>
      <w:pPr>
        <w:ind w:left="980" w:right="60"/>
        <w:spacing w:after="0" w:line="259" w:lineRule="auto"/>
        <w:rPr>
          <w:sz w:val="20"/>
          <w:szCs w:val="20"/>
          <w:color w:val="auto"/>
        </w:rPr>
      </w:pPr>
      <w:r>
        <w:rPr>
          <w:rFonts w:ascii="Arial" w:cs="Arial" w:eastAsia="Arial" w:hAnsi="Arial"/>
          <w:sz w:val="18"/>
          <w:szCs w:val="18"/>
          <w:color w:val="auto"/>
        </w:rPr>
        <w:t>The percentage of outstanding Common Shares of the Issuer that may be deemed to be beneficially owned by each Reporting Person is set forth on Line 13 of such Reporting Person’s cover sheet. Such percentage was calculated for each Reporting Person based on an aggregate of 54,328,414 Common Shares issued and outstanding as of July 31, 2015 reported on the Issuer’s quarterly report on Form 10-Q, filed with the SEC on August 7, 2015.</w:t>
      </w:r>
    </w:p>
    <w:p>
      <w:pPr>
        <w:spacing w:after="0" w:line="187"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Except as disclosed in this Schedule 13D, none of the Reporting Persons beneficially owns any Common Shares or has the right to acquire any Common Shares.</w:t>
      </w:r>
    </w:p>
    <w:p>
      <w:pPr>
        <w:spacing w:after="0" w:line="170" w:lineRule="exact"/>
        <w:rPr>
          <w:sz w:val="20"/>
          <w:szCs w:val="20"/>
          <w:color w:val="auto"/>
        </w:rPr>
      </w:pPr>
    </w:p>
    <w:p>
      <w:pPr>
        <w:ind w:left="980" w:right="300"/>
        <w:spacing w:after="0" w:line="277" w:lineRule="auto"/>
        <w:rPr>
          <w:sz w:val="20"/>
          <w:szCs w:val="20"/>
          <w:color w:val="auto"/>
        </w:rPr>
      </w:pPr>
      <w:r>
        <w:rPr>
          <w:rFonts w:ascii="Arial" w:cs="Arial" w:eastAsia="Arial" w:hAnsi="Arial"/>
          <w:sz w:val="18"/>
          <w:szCs w:val="18"/>
          <w:color w:val="auto"/>
        </w:rPr>
        <w:t>Except as disclosed in this Schedule 13D, none of the Reporting Persons presently has the power to vote or to direct the vote or to dispose or direct the disposition of any of the Shares that they may be deemed to beneficially own.</w:t>
      </w:r>
    </w:p>
    <w:p>
      <w:pPr>
        <w:spacing w:after="0" w:line="170" w:lineRule="exact"/>
        <w:rPr>
          <w:sz w:val="20"/>
          <w:szCs w:val="20"/>
          <w:color w:val="auto"/>
        </w:rPr>
      </w:pPr>
    </w:p>
    <w:p>
      <w:pPr>
        <w:ind w:left="980" w:right="180" w:hanging="97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described in this Schedule 13D, none of the Reporting Persons has effected any transactions in shares of the Common Shares during the last 60 days.</w:t>
      </w:r>
    </w:p>
    <w:p>
      <w:pPr>
        <w:spacing w:after="0" w:line="170" w:lineRule="exact"/>
        <w:rPr>
          <w:rFonts w:ascii="Arial" w:cs="Arial" w:eastAsia="Arial" w:hAnsi="Arial"/>
          <w:sz w:val="18"/>
          <w:szCs w:val="18"/>
          <w:color w:val="auto"/>
        </w:rPr>
      </w:pPr>
    </w:p>
    <w:p>
      <w:pPr>
        <w:ind w:left="980" w:right="120" w:hanging="97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the best knowledge of the Reporting Persons, no other person has the right to receive or the power to direct the receipt of dividends from, or the proceeds from the sale of, the Common Shares beneficially owned by the Reporting Persons.</w:t>
      </w:r>
    </w:p>
    <w:p>
      <w:pPr>
        <w:spacing w:after="0" w:line="170" w:lineRule="exact"/>
        <w:rPr>
          <w:rFonts w:ascii="Arial" w:cs="Arial" w:eastAsia="Arial" w:hAnsi="Arial"/>
          <w:sz w:val="18"/>
          <w:szCs w:val="18"/>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right="-5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Roivant Sciences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Marianne Romeo Dinsmore</w:t>
            </w:r>
          </w:p>
        </w:tc>
      </w:tr>
      <w:tr>
        <w:trPr>
          <w:trHeight w:val="195"/>
        </w:trPr>
        <w:tc>
          <w:tcPr>
            <w:tcW w:w="58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Name: Marianne Romeo Dinsmore</w:t>
            </w:r>
          </w:p>
        </w:tc>
      </w:tr>
      <w:tr>
        <w:trPr>
          <w:trHeight w:val="230"/>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Vivek Ramaswamy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Vivek Ramaswamy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Vivek Ramaswamy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1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60"/>
      </w:cols>
      <w:pgMar w:left="240" w:top="88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2019-12-08T22:07:54Z</dcterms:created>
  <dcterms:modified xsi:type="dcterms:W3CDTF">2019-12-08T22:07:54Z</dcterms:modified>
</cp:coreProperties>
</file>