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fiscal year ended March 31, 2022</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7"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sz w:val="24"/>
          <w:szCs w:val="24"/>
          <w:color w:val="auto"/>
        </w:rPr>
      </w:pPr>
    </w:p>
    <w:tbl>
      <w:tblPr>
        <w:tblLayout w:type="fixed"/>
        <w:tblInd w:w="386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72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720" w:type="dxa"/>
            <w:vAlign w:val="bottom"/>
            <w:tcBorders>
              <w:bottom w:val="single" w:sz="8" w:color="auto"/>
            </w:tcBorders>
          </w:tcPr>
          <w:p>
            <w:pPr>
              <w:spacing w:after="0"/>
              <w:rPr>
                <w:sz w:val="13"/>
                <w:szCs w:val="13"/>
                <w:color w:val="auto"/>
              </w:rPr>
            </w:pPr>
          </w:p>
        </w:tc>
      </w:tr>
      <w:tr>
        <w:trPr>
          <w:trHeight w:val="213"/>
        </w:trPr>
        <w:tc>
          <w:tcPr>
            <w:tcW w:w="35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Commission File Number: 001-40782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ROIVANT SCIENCES LTD.</w:t>
      </w:r>
    </w:p>
    <w:p>
      <w:pPr>
        <w:spacing w:after="0" w:line="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740" w:type="dxa"/>
            <w:vAlign w:val="bottom"/>
          </w:tcPr>
          <w:p>
            <w:pPr>
              <w:jc w:val="center"/>
              <w:ind w:left="1728"/>
              <w:spacing w:after="0"/>
              <w:rPr>
                <w:sz w:val="20"/>
                <w:szCs w:val="20"/>
                <w:color w:val="auto"/>
              </w:rPr>
            </w:pPr>
            <w:r>
              <w:rPr>
                <w:rFonts w:ascii="Times New Roman" w:cs="Times New Roman" w:eastAsia="Times New Roman" w:hAnsi="Times New Roman"/>
                <w:sz w:val="14"/>
                <w:szCs w:val="14"/>
                <w:b w:val="1"/>
                <w:bCs w:val="1"/>
                <w:color w:val="auto"/>
              </w:rPr>
              <w:t>Bermuda</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80" w:type="dxa"/>
            <w:vAlign w:val="bottom"/>
            <w:gridSpan w:val="2"/>
          </w:tcPr>
          <w:p>
            <w:pPr>
              <w:jc w:val="center"/>
              <w:ind w:right="1709"/>
              <w:spacing w:after="0"/>
              <w:rPr>
                <w:sz w:val="20"/>
                <w:szCs w:val="20"/>
                <w:color w:val="auto"/>
              </w:rPr>
            </w:pPr>
            <w:r>
              <w:rPr>
                <w:rFonts w:ascii="Times New Roman" w:cs="Times New Roman" w:eastAsia="Times New Roman" w:hAnsi="Times New Roman"/>
                <w:sz w:val="14"/>
                <w:szCs w:val="14"/>
                <w:b w:val="1"/>
                <w:bCs w:val="1"/>
                <w:color w:val="auto"/>
              </w:rPr>
              <w:t>98-1173944</w:t>
            </w:r>
          </w:p>
        </w:tc>
        <w:tc>
          <w:tcPr>
            <w:tcW w:w="0" w:type="dxa"/>
            <w:vAlign w:val="bottom"/>
          </w:tcPr>
          <w:p>
            <w:pPr>
              <w:spacing w:after="0"/>
              <w:rPr>
                <w:sz w:val="1"/>
                <w:szCs w:val="1"/>
                <w:color w:val="auto"/>
              </w:rPr>
            </w:pPr>
          </w:p>
        </w:tc>
      </w:tr>
      <w:tr>
        <w:trPr>
          <w:trHeight w:val="148"/>
        </w:trPr>
        <w:tc>
          <w:tcPr>
            <w:tcW w:w="3740" w:type="dxa"/>
            <w:vAlign w:val="bottom"/>
          </w:tcPr>
          <w:p>
            <w:pPr>
              <w:jc w:val="center"/>
              <w:ind w:left="174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40" w:type="dxa"/>
            <w:vAlign w:val="bottom"/>
          </w:tcPr>
          <w:p>
            <w:pPr>
              <w:jc w:val="center"/>
              <w:ind w:right="174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40" w:type="dxa"/>
            <w:vAlign w:val="bottom"/>
          </w:tcPr>
          <w:p>
            <w:pPr>
              <w:jc w:val="center"/>
              <w:ind w:left="17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40" w:type="dxa"/>
            <w:vAlign w:val="bottom"/>
          </w:tcPr>
          <w:p>
            <w:pPr>
              <w:jc w:val="center"/>
              <w:ind w:right="174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74"/>
        </w:trPr>
        <w:tc>
          <w:tcPr>
            <w:tcW w:w="3740" w:type="dxa"/>
            <w:vAlign w:val="bottom"/>
          </w:tcPr>
          <w:p>
            <w:pPr>
              <w:jc w:val="center"/>
              <w:ind w:left="1748"/>
              <w:spacing w:after="0"/>
              <w:rPr>
                <w:sz w:val="20"/>
                <w:szCs w:val="20"/>
                <w:color w:val="auto"/>
              </w:rPr>
            </w:pPr>
            <w:r>
              <w:rPr>
                <w:rFonts w:ascii="Times New Roman" w:cs="Times New Roman" w:eastAsia="Times New Roman" w:hAnsi="Times New Roman"/>
                <w:sz w:val="14"/>
                <w:szCs w:val="14"/>
                <w:b w:val="1"/>
                <w:bCs w:val="1"/>
                <w:color w:val="auto"/>
              </w:rPr>
              <w:t>Suite 1, 3rd Floor</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40" w:type="dxa"/>
            <w:vAlign w:val="bottom"/>
          </w:tcPr>
          <w:p>
            <w:pPr>
              <w:jc w:val="center"/>
              <w:ind w:left="1748"/>
              <w:spacing w:after="0" w:line="149" w:lineRule="exact"/>
              <w:rPr>
                <w:sz w:val="20"/>
                <w:szCs w:val="20"/>
                <w:color w:val="auto"/>
              </w:rPr>
            </w:pPr>
            <w:r>
              <w:rPr>
                <w:rFonts w:ascii="Times New Roman" w:cs="Times New Roman" w:eastAsia="Times New Roman" w:hAnsi="Times New Roman"/>
                <w:sz w:val="14"/>
                <w:szCs w:val="14"/>
                <w:b w:val="1"/>
                <w:bCs w:val="1"/>
                <w:color w:val="auto"/>
              </w:rPr>
              <w:t>11-12 St. James’s Square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jc w:val="center"/>
              <w:ind w:left="1728"/>
              <w:spacing w:after="0" w:line="149" w:lineRule="exact"/>
              <w:rPr>
                <w:sz w:val="20"/>
                <w:szCs w:val="20"/>
                <w:color w:val="auto"/>
              </w:rPr>
            </w:pPr>
            <w:r>
              <w:rPr>
                <w:rFonts w:ascii="Times New Roman" w:cs="Times New Roman" w:eastAsia="Times New Roman" w:hAnsi="Times New Roman"/>
                <w:sz w:val="14"/>
                <w:szCs w:val="14"/>
                <w:b w:val="1"/>
                <w:bCs w:val="1"/>
                <w:color w:val="auto"/>
              </w:rPr>
              <w:t>London SW1Y 4LB</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tcPr>
          <w:p>
            <w:pPr>
              <w:jc w:val="center"/>
              <w:ind w:left="1748"/>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40" w:type="dxa"/>
            <w:vAlign w:val="bottom"/>
          </w:tcPr>
          <w:p>
            <w:pPr>
              <w:jc w:val="center"/>
              <w:ind w:right="174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0" w:type="dxa"/>
            <w:vAlign w:val="bottom"/>
          </w:tcPr>
          <w:p>
            <w:pPr>
              <w:spacing w:after="0"/>
              <w:rPr>
                <w:sz w:val="1"/>
                <w:szCs w:val="1"/>
                <w:color w:val="auto"/>
              </w:rPr>
            </w:pPr>
          </w:p>
        </w:tc>
      </w:tr>
      <w:tr>
        <w:trPr>
          <w:trHeight w:val="190"/>
        </w:trPr>
        <w:tc>
          <w:tcPr>
            <w:tcW w:w="6880" w:type="dxa"/>
            <w:vAlign w:val="bottom"/>
            <w:gridSpan w:val="5"/>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40" w:type="dxa"/>
            <w:vAlign w:val="bottom"/>
          </w:tcPr>
          <w:p>
            <w:pPr>
              <w:jc w:val="center"/>
              <w:ind w:right="174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3"/>
                <w:szCs w:val="13"/>
                <w:color w:val="auto"/>
              </w:rPr>
            </w:pPr>
          </w:p>
        </w:tc>
        <w:tc>
          <w:tcPr>
            <w:tcW w:w="292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+44 207 400 3347</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7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37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17"/>
        </w:trPr>
        <w:tc>
          <w:tcPr>
            <w:tcW w:w="3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Shares, $0.0000000341740141 per share</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5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ROIV</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Global Market</w:t>
            </w:r>
          </w:p>
        </w:tc>
        <w:tc>
          <w:tcPr>
            <w:tcW w:w="0" w:type="dxa"/>
            <w:vAlign w:val="bottom"/>
          </w:tcPr>
          <w:p>
            <w:pPr>
              <w:spacing w:after="0"/>
              <w:rPr>
                <w:sz w:val="1"/>
                <w:szCs w:val="1"/>
                <w:color w:val="auto"/>
              </w:rPr>
            </w:pPr>
          </w:p>
        </w:tc>
      </w:tr>
      <w:tr>
        <w:trPr>
          <w:trHeight w:val="148"/>
        </w:trPr>
        <w:tc>
          <w:tcPr>
            <w:tcW w:w="3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Redeemable Warrants, each whole warrant exercisable for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ROIVW</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Nasdaq Global Market</w:t>
            </w:r>
          </w:p>
        </w:tc>
        <w:tc>
          <w:tcPr>
            <w:tcW w:w="0" w:type="dxa"/>
            <w:vAlign w:val="bottom"/>
          </w:tcPr>
          <w:p>
            <w:pPr>
              <w:spacing w:after="0"/>
              <w:rPr>
                <w:sz w:val="1"/>
                <w:szCs w:val="1"/>
                <w:color w:val="auto"/>
              </w:rPr>
            </w:pPr>
          </w:p>
        </w:tc>
      </w:tr>
      <w:tr>
        <w:trPr>
          <w:trHeight w:val="190"/>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one Common Share at an exercise price of $11.50 per share</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40" w:type="dxa"/>
            <w:vAlign w:val="bottom"/>
            <w:gridSpan w:val="7"/>
          </w:tcPr>
          <w:p>
            <w:pPr>
              <w:jc w:val="center"/>
              <w:ind w:left="350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340" w:type="dxa"/>
            <w:vAlign w:val="bottom"/>
            <w:gridSpan w:val="3"/>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580" w:type="dxa"/>
            <w:vAlign w:val="bottom"/>
            <w:gridSpan w:val="2"/>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0"/>
        </w:trPr>
        <w:tc>
          <w:tcPr>
            <w:tcW w:w="68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gridSpan w:val="2"/>
            <w:vMerge w:val="continue"/>
          </w:tcPr>
          <w:p>
            <w:pPr>
              <w:spacing w:after="0"/>
              <w:rPr>
                <w:sz w:val="20"/>
                <w:szCs w:val="20"/>
                <w:color w:val="auto"/>
              </w:rPr>
            </w:pPr>
          </w:p>
        </w:tc>
        <w:tc>
          <w:tcPr>
            <w:tcW w:w="3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40" w:type="dxa"/>
            <w:vAlign w:val="bottom"/>
          </w:tcPr>
          <w:p>
            <w:pPr>
              <w:spacing w:after="0"/>
              <w:rPr>
                <w:sz w:val="19"/>
                <w:szCs w:val="19"/>
                <w:color w:val="auto"/>
              </w:rPr>
            </w:pPr>
          </w:p>
        </w:tc>
        <w:tc>
          <w:tcPr>
            <w:tcW w:w="354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left="120" w:right="2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3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1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 w:lineRule="exact"/>
        <w:rPr>
          <w:sz w:val="24"/>
          <w:szCs w:val="24"/>
          <w:color w:val="auto"/>
        </w:rPr>
      </w:pPr>
    </w:p>
    <w:p>
      <w:pPr>
        <w:ind w:left="120" w:right="3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3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120"/>
        <w:spacing w:after="0" w:line="161" w:lineRule="exact"/>
        <w:tabs>
          <w:tab w:leader="none" w:pos="6160" w:val="left"/>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upon the closing price of the registrant’s common shares, par value</w:t>
      </w:r>
    </w:p>
    <w:p>
      <w:pPr>
        <w:spacing w:after="0" w:line="4" w:lineRule="exact"/>
        <w:rPr>
          <w:sz w:val="24"/>
          <w:szCs w:val="24"/>
          <w:color w:val="auto"/>
        </w:rPr>
      </w:pPr>
    </w:p>
    <w:p>
      <w:pPr>
        <w:ind w:left="120" w:right="40"/>
        <w:spacing w:after="0" w:line="228" w:lineRule="auto"/>
        <w:rPr>
          <w:sz w:val="20"/>
          <w:szCs w:val="20"/>
          <w:color w:val="auto"/>
        </w:rPr>
      </w:pPr>
      <w:r>
        <w:rPr>
          <w:rFonts w:ascii="Times New Roman" w:cs="Times New Roman" w:eastAsia="Times New Roman" w:hAnsi="Times New Roman"/>
          <w:sz w:val="14"/>
          <w:szCs w:val="14"/>
          <w:color w:val="auto"/>
        </w:rPr>
        <w:t>$0.0000000341740141 per share (the “Common Shares”), on The Nasdaq Global Market on October 1, 2021 was approximately $1,115,587,985. The registrant has elected to use October 1, 2021, which was the initial trading date for the registrant’s Common Shares on The Nasdaq Global Market, as the calculation date because on September 30, 2021 (the last business day of the registrant’s most recently completed second fiscal quarter) the registrant was a privately held company. Common Shares held by each executive officer and director and by each other person who may be deemed an affiliate of the registrant have been excluded from this computation. The determination of affiliate status for this purpose is not necessarily a conclusive determination for other purposes.</w:t>
      </w:r>
    </w:p>
    <w:p>
      <w:pPr>
        <w:spacing w:after="0" w:line="1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As of June 21, 2022 there were 700,765,918 Common Shares outstanding.</w:t>
      </w:r>
    </w:p>
    <w:p>
      <w:pPr>
        <w:spacing w:after="0" w:line="4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ind w:left="120" w:right="460"/>
        <w:spacing w:after="0" w:line="241" w:lineRule="auto"/>
        <w:rPr>
          <w:sz w:val="20"/>
          <w:szCs w:val="20"/>
          <w:color w:val="auto"/>
        </w:rPr>
      </w:pPr>
      <w:r>
        <w:rPr>
          <w:rFonts w:ascii="Times New Roman" w:cs="Times New Roman" w:eastAsia="Times New Roman" w:hAnsi="Times New Roman"/>
          <w:sz w:val="14"/>
          <w:szCs w:val="14"/>
          <w:color w:val="auto"/>
        </w:rPr>
        <w:t>Specified portions of the registrant’s proxy statement to be issued in conjunction with the registrant’s 2022 Annual Meeting of Stockholders, which is expected to be filed not later than 120 days after the registrant’s fiscal year ended March 31, 2022, are incorporated by reference into Part III of this Annual Report on Form 10-K. Except as expressly incorporated by reference, the registrant’s proxy statement shall not be deemed to be a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40" w:type="dxa"/>
            <w:vAlign w:val="bottom"/>
            <w:gridSpan w:val="11"/>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b w:val="1"/>
                <w:bCs w:val="1"/>
                <w:color w:val="000000"/>
              </w:rPr>
              <w: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08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80" w:type="dxa"/>
            <w:vAlign w:val="bottom"/>
            <w:gridSpan w:val="2"/>
          </w:tcPr>
          <w:p>
            <w:pPr>
              <w:spacing w:after="0"/>
              <w:rPr>
                <w:sz w:val="24"/>
                <w:szCs w:val="24"/>
                <w:color w:val="auto"/>
              </w:rPr>
            </w:pP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8920" w:type="dxa"/>
            <w:vAlign w:val="bottom"/>
            <w:gridSpan w:val="23"/>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1B.</w:t>
            </w:r>
          </w:p>
        </w:tc>
        <w:tc>
          <w:tcPr>
            <w:tcW w:w="9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752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8220" w:type="dxa"/>
            <w:vAlign w:val="bottom"/>
            <w:gridSpan w:val="18"/>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r>
              <w:rPr>
                <w:rFonts w:ascii="Times New Roman" w:cs="Times New Roman" w:eastAsia="Times New Roman" w:hAnsi="Times New Roman"/>
                <w:sz w:val="18"/>
                <w:szCs w:val="18"/>
                <w:b w:val="1"/>
                <w:bCs w:val="1"/>
                <w:color w:val="000000"/>
              </w:rPr>
              <w:t>.</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420" w:type="dxa"/>
            <w:vAlign w:val="bottom"/>
          </w:tcPr>
          <w:p>
            <w:pPr>
              <w:spacing w:after="0"/>
              <w:rPr>
                <w:sz w:val="24"/>
                <w:szCs w:val="24"/>
                <w:color w:val="auto"/>
              </w:rPr>
            </w:pPr>
          </w:p>
        </w:tc>
        <w:tc>
          <w:tcPr>
            <w:tcW w:w="9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[Reserved]</w:t>
            </w:r>
          </w:p>
        </w:tc>
        <w:tc>
          <w:tcPr>
            <w:tcW w:w="15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7A.</w:t>
            </w:r>
          </w:p>
        </w:tc>
        <w:tc>
          <w:tcPr>
            <w:tcW w:w="9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26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08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9A.</w:t>
            </w:r>
          </w:p>
        </w:tc>
        <w:tc>
          <w:tcPr>
            <w:tcW w:w="9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24"/>
                <w:szCs w:val="24"/>
                <w:color w:val="auto"/>
              </w:rPr>
            </w:pPr>
          </w:p>
        </w:tc>
        <w:tc>
          <w:tcPr>
            <w:tcW w:w="780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9C.</w:t>
            </w:r>
          </w:p>
        </w:tc>
        <w:tc>
          <w:tcPr>
            <w:tcW w:w="9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III</w:t>
            </w:r>
            <w:r>
              <w:rPr>
                <w:rFonts w:ascii="Times New Roman" w:cs="Times New Roman" w:eastAsia="Times New Roman" w:hAnsi="Times New Roman"/>
                <w:sz w:val="18"/>
                <w:szCs w:val="18"/>
                <w:b w:val="1"/>
                <w:bCs w:val="1"/>
                <w:color w:val="000000"/>
              </w:rPr>
              <w:t>.</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6"/>
              </w:rPr>
              <w:t>Item 10.</w:t>
            </w:r>
          </w:p>
        </w:tc>
        <w:tc>
          <w:tcPr>
            <w:tcW w:w="480" w:type="dxa"/>
            <w:vAlign w:val="bottom"/>
            <w:gridSpan w:val="2"/>
          </w:tcPr>
          <w:p>
            <w:pPr>
              <w:spacing w:after="0"/>
              <w:rPr>
                <w:sz w:val="24"/>
                <w:szCs w:val="24"/>
                <w:color w:val="auto"/>
              </w:rPr>
            </w:pPr>
          </w:p>
        </w:tc>
        <w:tc>
          <w:tcPr>
            <w:tcW w:w="9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6"/>
          </w:tcPr>
          <w:p>
            <w:pPr>
              <w:spacing w:after="0"/>
              <w:rPr>
                <w:sz w:val="24"/>
                <w:szCs w:val="24"/>
                <w:color w:val="auto"/>
              </w:rPr>
            </w:pPr>
          </w:p>
        </w:tc>
        <w:tc>
          <w:tcPr>
            <w:tcW w:w="5480" w:type="dxa"/>
            <w:vAlign w:val="bottom"/>
            <w:gridSpan w:val="9"/>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w:t>
            </w:r>
          </w:p>
        </w:tc>
        <w:tc>
          <w:tcPr>
            <w:tcW w:w="9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28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41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IV</w:t>
            </w:r>
            <w:r>
              <w:rPr>
                <w:rFonts w:ascii="Times New Roman" w:cs="Times New Roman" w:eastAsia="Times New Roman" w:hAnsi="Times New Roman"/>
                <w:sz w:val="18"/>
                <w:szCs w:val="18"/>
                <w:b w:val="1"/>
                <w:bCs w:val="1"/>
                <w:color w:val="000000"/>
              </w:rPr>
              <w:t>.</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660" w:type="dxa"/>
            <w:vAlign w:val="bottom"/>
            <w:gridSpan w:val="1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666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304"/>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16.</w:t>
            </w:r>
          </w:p>
        </w:tc>
        <w:tc>
          <w:tcPr>
            <w:tcW w:w="9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0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8"/>
          </w:tcPr>
          <w:p>
            <w:pPr>
              <w:jc w:val="center"/>
              <w:ind w:right="5020"/>
              <w:spacing w:after="0"/>
              <w:rPr>
                <w:sz w:val="20"/>
                <w:szCs w:val="20"/>
                <w:color w:val="auto"/>
              </w:rPr>
            </w:pPr>
            <w:r>
              <w:rPr>
                <w:rFonts w:ascii="Times New Roman" w:cs="Times New Roman" w:eastAsia="Times New Roman" w:hAnsi="Times New Roman"/>
                <w:sz w:val="18"/>
                <w:szCs w:val="18"/>
                <w:color w:val="auto"/>
                <w:w w:val="78"/>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should consider carefully the risks described under “Risk Factors” in Part I, Item 1A of this Annual Report on Form 10-K. Unless the context otherwise requires, references in this section to “we,” “us,” “our,” “Roivant” and the “Company” refer to Roivant Sciences Ltd. and its subsidiaries and affiliates, as the context requires. A summary of the risks that could materially and adversely affect our business, financial condition, operating results and prospects include the following: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35" w:lineRule="exact"/>
        <w:rPr>
          <w:sz w:val="20"/>
          <w:szCs w:val="20"/>
          <w:color w:val="auto"/>
        </w:rPr>
      </w:pPr>
    </w:p>
    <w:p>
      <w:pPr>
        <w:ind w:left="1080" w:right="3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the inherent uncertainties and risks involved in biopharmaceutical product development may make it difficult for us to execute on our business model and for you to assess our future viability.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never achieve or maintain profitability.</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fund our operations, and if we fail to obtain necessary financing, we may not be able to successfully market our products, acquire or in-license new products or product candidates, complete the development and commercialization of our products and product candidates and continue to pursue our drug discovery efforts.</w:t>
      </w:r>
    </w:p>
    <w:p>
      <w:pPr>
        <w:spacing w:after="0" w:line="80" w:lineRule="exact"/>
        <w:rPr>
          <w:rFonts w:ascii="Times New Roman" w:cs="Times New Roman" w:eastAsia="Times New Roman" w:hAnsi="Times New Roman"/>
          <w:sz w:val="18"/>
          <w:szCs w:val="18"/>
          <w:color w:val="auto"/>
        </w:rPr>
      </w:pPr>
    </w:p>
    <w:p>
      <w:pPr>
        <w:ind w:left="1080" w:right="140" w:hanging="424"/>
        <w:spacing w:after="0" w:line="21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as a commercial company and the marketing and sale of VTAMA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(tapinarof) or any future products may be unsuccessful or less successful than anticipated.</w:t>
      </w:r>
    </w:p>
    <w:p>
      <w:pPr>
        <w:spacing w:after="0" w:line="10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acquire, in-license or discover new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allocation of capital and personnel across our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Vant structure.</w:t>
      </w:r>
    </w:p>
    <w:p>
      <w:pPr>
        <w:spacing w:after="0" w:line="130" w:lineRule="exact"/>
        <w:rPr>
          <w:rFonts w:ascii="Times New Roman" w:cs="Times New Roman" w:eastAsia="Times New Roman" w:hAnsi="Times New Roman"/>
          <w:sz w:val="18"/>
          <w:szCs w:val="18"/>
          <w:color w:val="auto"/>
        </w:rPr>
      </w:pPr>
    </w:p>
    <w:p>
      <w:pPr>
        <w:ind w:left="1080" w:right="600" w:hanging="424"/>
        <w:spacing w:after="0" w:line="312"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pandemic resulting from the outbreak of the novel strain of coronavirus, SARS-CoV-2, which causes COVID-19, could adversely impact our business, including the marketing of our products and our ongoing clinical trials and preclinical studies.</w:t>
      </w:r>
    </w:p>
    <w:p>
      <w:pPr>
        <w:spacing w:after="0" w:line="45" w:lineRule="exact"/>
        <w:rPr>
          <w:rFonts w:ascii="Times New Roman" w:cs="Times New Roman" w:eastAsia="Times New Roman" w:hAnsi="Times New Roman"/>
          <w:sz w:val="17"/>
          <w:szCs w:val="17"/>
          <w:color w:val="auto"/>
        </w:rPr>
      </w:pPr>
    </w:p>
    <w:p>
      <w:pPr>
        <w:ind w:left="1080" w:right="66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and preclinical studies are very expensive, time-consuming, difficult to design and implement and involve uncertain outcomes. We may encounter substantial delays in clinical trials, or may not be able to conduct or complete clinical trials</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preclinical studies on the expected timelines, if at all.</w:t>
      </w:r>
    </w:p>
    <w:p>
      <w:pPr>
        <w:spacing w:after="0" w:line="112"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from our small molecule discovery engine is unproven, which makes it difficult to predict the time, cost of development and likelihood of successfully developing any product candidates from these platforms.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product candidates are novel, complex and difficult to manufacture.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of a new drug is an extensive, lengthy, expensive and inherently uncertain process, and the FDA or another regulator may delay, limit or deny approval.</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knowledge and skills of our senior leaders and may not be able to manage our business effectively if we are unable to attract and retain key personnel.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expand our organization and may experience difficulties in managing this growth, which could disrupt operations.</w:t>
      </w:r>
    </w:p>
    <w:p>
      <w:pPr>
        <w:spacing w:after="0" w:line="130" w:lineRule="exact"/>
        <w:rPr>
          <w:rFonts w:ascii="Times New Roman" w:cs="Times New Roman" w:eastAsia="Times New Roman" w:hAnsi="Times New Roman"/>
          <w:sz w:val="18"/>
          <w:szCs w:val="18"/>
          <w:color w:val="auto"/>
        </w:rPr>
      </w:pPr>
    </w:p>
    <w:p>
      <w:pPr>
        <w:jc w:val="both"/>
        <w:ind w:left="1080" w:right="7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products and product candidates or if the scope of the intellectual property protection obtained is not sufficiently broad, we may not be able to compete effectively in our markets.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patent applications we hold or have in-licensed with respect to our products or product candidates fail to issue, if their breadth or strength of protection is threatened, or if they fail to provide meaningful exclusivity for our current and future products or product candidates, it could dissuade companies from collaborating with us to develop product candidates, and threaten our ability to commercialize our products.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and their scope may be inadequate to protect our competitive position on current and future products and product candidates for an adequate amount of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Securities, Our Jurisdiction of Incorporation and Certain Tax Matters</w:t>
      </w:r>
    </w:p>
    <w:p>
      <w:pPr>
        <w:spacing w:after="0" w:line="135"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performance does not meet market expectations, the price of our securities may decline.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increased costs as a result of operating as a public company and our management has devoted and will continue to devote a substantial amount of time to new compliance initiatives.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timely and effectively implement controls and procedures required by Section 404(a) of the Sarbanes-Oxley Act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memorandum of association, bye-laws and Bermuda law could delay or prevent a change in control, limit the price investors may be willing to pay in the future for our Common Shares and could entrench management.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shareholders and certain members of our management own a significant percentage of our Common Shares and will be able to exert significant control over matters subject to shareholder approval.</w:t>
      </w: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statements, including matters discussed under Part I, Item 1A. “Risk Factors,” Part I, Item 3. “Legal Proceedings” and Part II, Item 7. “Management’s Discussion and Analysis of Financial Condition and Results of Operations” and in other sections of this report, that are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89" w:lineRule="exact"/>
        <w:rPr>
          <w:sz w:val="20"/>
          <w:szCs w:val="20"/>
          <w:color w:val="auto"/>
        </w:rPr>
      </w:pPr>
    </w:p>
    <w:p>
      <w:pPr>
        <w:ind w:left="5540" w:right="3420" w:hanging="4884"/>
        <w:spacing w:after="0" w:line="454" w:lineRule="auto"/>
        <w:tabs>
          <w:tab w:leader="none" w:pos="10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risks involved in biopharmaceutical product development; iii</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as a commercial-stage company and ability to successfully commercialize VTAMA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(tapinarof);</w:t>
      </w:r>
    </w:p>
    <w:p>
      <w:pPr>
        <w:spacing w:after="0" w:line="5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business on acceptable terms or at all;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will likely incur significant operating losses for the foreseeable future;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outbreaks, epidemics or pandemics (such as the COVID-19 pandemic) on our business (including our clinical trials and preclinical studies), operations and financial condition and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in-license or discover new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Vant structure and the potential that we may fail to capitalize on certain development opportunities;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and preclinical studies, which are very expensive, time-consuming, difficult to design and implement and involve uncertain outcomes;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unproven nature of our approach to the discovery and development of product candidates from our small molecule discovery engine;</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novelty, complexity and difficulty of manufacturing certain of our products and product candidates, including any manufacturing problems that result in delays in development or commercialization of our products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we may face in enrolling and retaining patients in clinical trials and/or clinical development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not supporting our proposed claims for a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interim, top-line and/or preliminary data from our clinical trials changing as more data becoming available or being delayed due to audit and verification process;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manufacturing or formulation that could lead to the incurrence of costs or delays;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third-party we contract with to conduct, supervise and monitor our clinical trials to perform in a satisfactory manner or to comply with applicable requirements;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obtaining approvals for new drugs is a lengthy, extensive, expensive and unpredictable process that may end with our inability to obtain regulatory approval by the FDA or other regulatory agencies in other jurisdictions;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clinical trials to demonstrate substantial evidence of the safety and efficacy of our products and product candidates, including, but not limited to, scenarios in which our products and product candidates may cause adverse effects that could delay regulatory approval, discontinue clinical trials, limit the scope of approval or generally result in negative media coverage of us;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regulatory approval for a product or product candidate in certain jurisdictions, even if we are able to obtain approval in certain other jurisdictions;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growth and to attract and retain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legal, regulatory, political, operational, financial and economic risks associated with conducting business globally;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other intellectual property protection for our technology, products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inadequacy of patent terms and their scope to protect our competitive position;</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issue (or the threatening of their breadth or strength of protection) or provide meaningful exclusivity for our current and future products and product candidates of our patent applications that we hold or have in-licensed;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do not currently and may not in the future own or license any issued composition of matter patents covering certain of our products and product candidates and our inability to be certain that any of our other issued patents will provide adequate protection for such products and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potential litigation, including but not limited to our expectations regarding the outcome of any such litigation and costs and expenses associated with such litigation;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risks and uncertainties, including those described under Part I, Item 1A. “Risk Factors.”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60"/>
          </w:cols>
          <w:pgMar w:left="320" w:top="482"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9"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“Roivant,” “the Company,” “we,” “us” or “our” in the following section refer to Roivant Sciences Ltd. and its subsidiaries, unless the context otherwise requires.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are building the next-generation “big pharma” company, organized to harness modern technologies and computational tools as well as the entrepreneurial spirit of nimble biotechnology companies at scale. Our mission is to improve the delivery of healthcare to patients by treating every inefficiency as an opportunity.</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leading computational physics and machine learning (“ML”) capabilities for in silico drug design.</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develop drugs and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the Roivant platform and technologies that are built to address inefficiencies in the drug discovery, development and commercialization process.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agile Vant model has allowed us to rapidly add capabilities in diverse therapeutic areas, including immunology, dermatology and oncology, and modalities, including biologics, topicals and bifunctional small molecules. We have launched and taken public multiple Vants, resulting in an aggregate ownership stake of approximately $589 million in our publicly-traded Vants as of March 31, 2022 (inclusive of the value of certain shares of Myovant Sciences Ltd. as to which Roivant has a return right under certain circumstances).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our founding in 2014, we have:</w:t>
      </w:r>
    </w:p>
    <w:p>
      <w:pPr>
        <w:spacing w:after="0" w:line="130"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launched VTAMA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(tapinarof) cream 1% for the treatment of plaque psoriasis in adults;</w:t>
      </w:r>
    </w:p>
    <w:p>
      <w:pPr>
        <w:spacing w:after="0" w:line="5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nine international Phase 3 trials, the last eight of which have been successful;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consummated a $3 billion upfront partnership with Sumitomo Pharma (“Sumitomo”);</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five FDA approvals for drugs developed by Vants launched by Roivant, including VTAMA and four drugs that received FDA approval after their transfer to Sumitomo;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a broad and differentiated pipeline of drugs and drug candidates ranging from early discovery to commercial stage; and</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Roivant Discovery, our small molecule discovery engine, consisting of a collection of advanced computational physics capabilities, integrated with an in-house wet lab facility.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82"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selected commercial and development-stage pipeline products and product candidates.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Product/Product Candidate</w:t>
            </w:r>
          </w:p>
        </w:tc>
        <w:tc>
          <w:tcPr>
            <w:tcW w:w="1140" w:type="dxa"/>
            <w:vAlign w:val="bottom"/>
          </w:tcPr>
          <w:p>
            <w:pPr>
              <w:spacing w:after="0"/>
              <w:rPr>
                <w:sz w:val="16"/>
                <w:szCs w:val="16"/>
                <w:color w:val="auto"/>
              </w:rPr>
            </w:pPr>
          </w:p>
        </w:tc>
        <w:tc>
          <w:tcPr>
            <w:tcW w:w="382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0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Vant</w:t>
            </w: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Modality</w:t>
            </w:r>
          </w:p>
        </w:tc>
        <w:tc>
          <w:tcPr>
            <w:tcW w:w="12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Phase</w:t>
            </w:r>
          </w:p>
        </w:tc>
      </w:tr>
      <w:tr>
        <w:trPr>
          <w:trHeight w:val="184"/>
        </w:trPr>
        <w:tc>
          <w:tcPr>
            <w:tcW w:w="172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VTAMA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5"/>
                <w:szCs w:val="15"/>
                <w:color w:val="auto"/>
              </w:rPr>
              <w:t xml:space="preserve"> (tapinarof)</w:t>
            </w:r>
          </w:p>
        </w:tc>
        <w:tc>
          <w:tcPr>
            <w:tcW w:w="1140" w:type="dxa"/>
            <w:vAlign w:val="bottom"/>
          </w:tcPr>
          <w:p>
            <w:pPr>
              <w:spacing w:after="0"/>
              <w:rPr>
                <w:sz w:val="16"/>
                <w:szCs w:val="16"/>
                <w:color w:val="auto"/>
              </w:rPr>
            </w:pPr>
          </w:p>
        </w:tc>
        <w:tc>
          <w:tcPr>
            <w:tcW w:w="382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Psoriasis</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Dermavant</w:t>
            </w:r>
          </w:p>
        </w:tc>
        <w:tc>
          <w:tcPr>
            <w:tcW w:w="100" w:type="dxa"/>
            <w:vAlign w:val="bottom"/>
          </w:tcPr>
          <w:p>
            <w:pPr>
              <w:spacing w:after="0"/>
              <w:rPr>
                <w:sz w:val="16"/>
                <w:szCs w:val="16"/>
                <w:color w:val="auto"/>
              </w:rPr>
            </w:pPr>
          </w:p>
        </w:tc>
        <w:tc>
          <w:tcPr>
            <w:tcW w:w="1540" w:type="dxa"/>
            <w:vAlign w:val="bottom"/>
            <w:tcBorders>
              <w:top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Topical</w:t>
            </w: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Commercial</w:t>
            </w:r>
          </w:p>
        </w:tc>
      </w:tr>
      <w:tr>
        <w:trPr>
          <w:trHeight w:val="217"/>
        </w:trPr>
        <w:tc>
          <w:tcPr>
            <w:tcW w:w="1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VTAMA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(tapinarof)</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Atopic Dermatitis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Dermavant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Topical</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Batoclimab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Myasthenia Gravis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Immunovant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Batoclimab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Thyroid Eye Disease</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Immunovant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Batoclimab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Warm Autoimmune Hemolytic Anemia</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Immunovant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2 or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Batoclimab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Indications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Immunovant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2 or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Dermatomyositis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Molecule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Systemic Lupus Erythematosus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Molecule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Indications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Molecule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Namilumab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Sarcoidosis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Kinevant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RVT-2001</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Transfusion-Dependent Anemia in</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Hemavant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Molecule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1/2</w:t>
            </w:r>
          </w:p>
        </w:tc>
      </w:tr>
      <w:tr>
        <w:trPr>
          <w:trHeight w:val="216"/>
        </w:trPr>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Patients with Lower-Risk MDS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AFVT-2101</w:t>
            </w:r>
          </w:p>
        </w:tc>
        <w:tc>
          <w:tcPr>
            <w:tcW w:w="11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Solid Tumors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Affivant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Preclinical</w:t>
            </w:r>
          </w:p>
        </w:tc>
      </w:tr>
    </w:tbl>
    <w:p>
      <w:pPr>
        <w:spacing w:after="0" w:line="196"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i w:val="1"/>
          <w:iCs w:val="1"/>
          <w:color w:val="auto"/>
        </w:rPr>
        <w:t>Note: All preclinical and clinical stage drugs in our current pipeline are investigational and subject to health authority approval. Pipeline reflects both ongoing preclinical and clinical trials and expected upcoming trials.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Reflects an ongoing trial that is designed to serve as one of two potentially registrational trials for brepocitinib.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172720</wp:posOffset>
            </wp:positionV>
            <wp:extent cx="4286250" cy="3086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8625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We have elected to wind down the development of Aruvant’s ARU-1801 after considering the future development costs of the program, the current market environment and the clinical and commercial profile of the drug. For more information on our cost optimization and pipeline reprioritization initiative, refer to “Management’s Discussion and Analysis of Financial Condition and Results of Operations—Recent Developments.”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As part of our mission to redefine “big pharma,” we aim to develop transformative medicines faster for diseases for which there are no approved therapies or the current standard of care treatment has significant limitations or drawbacks. We believe we are uniquely positioned to accomplish this by:</w:t>
      </w:r>
    </w:p>
    <w:p>
      <w:pPr>
        <w:spacing w:after="0" w:line="41" w:lineRule="exact"/>
        <w:rPr>
          <w:sz w:val="20"/>
          <w:szCs w:val="20"/>
          <w:color w:val="auto"/>
        </w:rPr>
      </w:pPr>
    </w:p>
    <w:p>
      <w:pPr>
        <w:ind w:left="1080" w:right="60" w:hanging="424"/>
        <w:spacing w:after="0" w:line="259"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complementary approaches to identify or discover promising drug candidates: </w:t>
      </w:r>
      <w:r>
        <w:rPr>
          <w:rFonts w:ascii="Times New Roman" w:cs="Times New Roman" w:eastAsia="Times New Roman" w:hAnsi="Times New Roman"/>
          <w:sz w:val="18"/>
          <w:szCs w:val="18"/>
          <w:color w:val="auto"/>
        </w:rPr>
        <w:t>We assembled our current development-stage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 pipeline by leveraging our business development expertise and vast network of industry relationships to relentlessly pursue opportunities to in-license or acquire programs where we believe we can deliver successful outcomes on accelerated timelines. In addition, our small molecule discovery engine allows us to design, optimize and validate our own novel product candidates, providing us with another avenue to pursue compelling targets or pathways and further expand our pipeline.</w:t>
      </w:r>
    </w:p>
    <w:p>
      <w:pPr>
        <w:spacing w:after="0" w:line="84" w:lineRule="exact"/>
        <w:rPr>
          <w:rFonts w:ascii="Times New Roman" w:cs="Times New Roman" w:eastAsia="Times New Roman" w:hAnsi="Times New Roman"/>
          <w:sz w:val="18"/>
          <w:szCs w:val="18"/>
          <w:color w:val="auto"/>
        </w:rPr>
      </w:pPr>
    </w:p>
    <w:p>
      <w:pPr>
        <w:ind w:left="1080" w:right="140" w:hanging="424"/>
        <w:spacing w:after="0" w:line="259"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Creating nimble, entrepreneurial Vants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Vants operate similarly to independent biotechnology companies where each management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focused on its respective mission and is economically incentivized to maximize value through Vant-specific equity grants. Each of our Vant teams is built with deep relevant expertise to ensure successful execution of its particular development strategy. The Vant model is designed to facilitate rapid decision making and calculated risk taking, by empowering, aligning and incentivizing Vant teams around the outcomes of their specific products or product candidates.</w:t>
      </w:r>
    </w:p>
    <w:p>
      <w:pPr>
        <w:spacing w:after="0" w:line="84" w:lineRule="exact"/>
        <w:rPr>
          <w:rFonts w:ascii="Times New Roman" w:cs="Times New Roman" w:eastAsia="Times New Roman" w:hAnsi="Times New Roman"/>
          <w:sz w:val="18"/>
          <w:szCs w:val="18"/>
          <w:color w:val="auto"/>
        </w:rPr>
      </w:pPr>
    </w:p>
    <w:p>
      <w:pPr>
        <w:jc w:val="both"/>
        <w:ind w:left="1080" w:right="200" w:hanging="424"/>
        <w:spacing w:after="0" w:line="259"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Developing and deploying proprietary technologies: </w:t>
      </w:r>
      <w:r>
        <w:rPr>
          <w:rFonts w:ascii="Times New Roman" w:cs="Times New Roman" w:eastAsia="Times New Roman" w:hAnsi="Times New Roman"/>
          <w:sz w:val="18"/>
          <w:szCs w:val="18"/>
          <w:color w:val="auto"/>
        </w:rPr>
        <w:t>We believe we are able to develop transformative medicines faster by building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applying computational tools to drug discovery, development and commercialization. We occupy a unique position at the intersection of biopharma and technology, having built our capabilities in parallel, optimizing each for synergy with the other, in contrast to big pharma who have added software tools to legacy workflows or technology startups that lack experience developing drugs. Vants have access to, and are supported by, these technologies.</w:t>
      </w:r>
    </w:p>
    <w:p>
      <w:pPr>
        <w:spacing w:after="0" w:line="84" w:lineRule="exact"/>
        <w:rPr>
          <w:rFonts w:ascii="Times New Roman" w:cs="Times New Roman" w:eastAsia="Times New Roman" w:hAnsi="Times New Roman"/>
          <w:sz w:val="18"/>
          <w:szCs w:val="18"/>
          <w:color w:val="auto"/>
        </w:rPr>
      </w:pPr>
    </w:p>
    <w:p>
      <w:pPr>
        <w:ind w:left="1080" w:right="20" w:hanging="424"/>
        <w:spacing w:after="0" w:line="259"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Allocating capital to maximize R&amp;D efficiency: </w:t>
      </w:r>
      <w:r>
        <w:rPr>
          <w:rFonts w:ascii="Times New Roman" w:cs="Times New Roman" w:eastAsia="Times New Roman" w:hAnsi="Times New Roman"/>
          <w:sz w:val="18"/>
          <w:szCs w:val="18"/>
          <w:color w:val="auto"/>
        </w:rPr>
        <w:t>We apply an objective, rigorous decision framework across the drug development process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ensure resources and capital are continuously directed towards programs we believe have a higher probability of success and away from those that fail to meet our internal hurdles. We centralize capital allocation decisions at the Roivant level, while distributing operational decisions to the Vants, allowing us to strategically deploy capital in high growth areas, regardless of potentially competing operational priorities.</w:t>
      </w:r>
    </w:p>
    <w:p>
      <w:pPr>
        <w:spacing w:after="0" w:line="84"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Maintaining a diversified pipeline with various risk profiles: </w:t>
      </w:r>
      <w:r>
        <w:rPr>
          <w:rFonts w:ascii="Times New Roman" w:cs="Times New Roman" w:eastAsia="Times New Roman" w:hAnsi="Times New Roman"/>
          <w:sz w:val="18"/>
          <w:szCs w:val="18"/>
          <w:color w:val="auto"/>
        </w:rPr>
        <w:t>We have built a broad and differentiated pipeline that includes a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drug and several drug candidates across different therapeutic areas, phases of development, modalities and geographies. This approach limits our exposure to several concentrated scientific and biological risks and allows us to pursue multiple innovative hypotheses across our portfolio as we seek to develop therapies for patient populations with high unmet need.</w:t>
      </w:r>
    </w:p>
    <w:p>
      <w:pPr>
        <w:spacing w:after="0" w:line="81"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Designing creative “win-win” deal structures: </w:t>
      </w:r>
      <w:r>
        <w:rPr>
          <w:rFonts w:ascii="Times New Roman" w:cs="Times New Roman" w:eastAsia="Times New Roman" w:hAnsi="Times New Roman"/>
          <w:sz w:val="18"/>
          <w:szCs w:val="18"/>
          <w:color w:val="auto"/>
        </w:rPr>
        <w:t>We structure our partnerships to balance risk and the potential for future value creation.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ensure that a significant proportion of near-term expenses go toward development, allowing us to stage our investment and align incentives as well as limit losses in the event of a setback. Our scale and proven track record of developing successful product candidates assures partners that we are uniquely capable of maximizing value for patients and investors.</w:t>
      </w:r>
    </w:p>
    <w:p>
      <w:pPr>
        <w:spacing w:after="0" w:line="81"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Providing operating leverage through centralized support functions: </w:t>
      </w:r>
      <w:r>
        <w:rPr>
          <w:rFonts w:ascii="Times New Roman" w:cs="Times New Roman" w:eastAsia="Times New Roman" w:hAnsi="Times New Roman"/>
          <w:sz w:val="18"/>
          <w:szCs w:val="18"/>
          <w:color w:val="auto"/>
        </w:rPr>
        <w:t>Our model allows us to accelerate Vant formation and maturation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centralizing and sharing certain support functions across various Vants. Vants also benefit from access to our vast network of scientific experts, physicians and technologists to help optimize their clinical development and plans for commercialization.</w:t>
      </w:r>
    </w:p>
    <w:p>
      <w:pPr>
        <w:spacing w:after="0" w:line="17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Through continued investment in our model, we believe we are well-positioned to advance our current pipeline through regulatory approval and commercialization, expand our pipeline through novel drug discovery and in-licensing and acquisition transactions, and execute on our vision of transforming the delivery of healthcare to patients.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Process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Discover</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focus on developing potentially transformative medicines that address areas of significant unmet medical need. We take a hypothesis-driven approach, focusing on compelling pathways, targets and drug classes that we believe lack established leaders, and we proactively pursue or discover drugs that align with our hypotheses. We focus on building diversification and varied risk profiles into our pipeline and are agnostic to therapeutic area, stage of development and drug modality. We leverage internally developed technologies as well as a multi-disciplinary team with diverse backgrounds to evaluate the universe of targets and biological pathways that we deem compelling. Once we have built conviction around a specific target or biological pathway, we look for assets to in-license or acquire, and/or design novel drugs through our small molecule discovery engine.</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ability to rapidly identify and execute in-licensing opportunities is underpinned by our diverse business development team, which consists of former investment professionals and experienced R&amp;D and data scientists. Our track record in R&amp;D and our ability to implement creative deal structures ensures that we are a favored development partner and are able to acquire assets on attractive terms with shared risk and aligned incentives. We have been successful in-licensing drugs from global pharmaceutical companies, small biotech startups and academic centers around the world, and we are proud of our deep network of academic and industry partners. Our goal is to add multiple potentially category-creating or category-leading drugs to our pipeline each year through this in-licensing strategy, a pace which is consistent with our track record over the past several years.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As a complement to our in-licensing strategy, we also apply our hypothesis-driven approach to our small molecule discovery engine, ensuring we direct our efforts toward high value pathways, targets and drug classes. We have world-leading capabilities in computational physics for drug design, with an advanced computational physics platform integrated with a proprietary supercomputing cluster and a wet-lab facility equipped for generating a broad range of experimental data. We have also built a ML platform, VantAI, tailored to the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design and optimization of novel protein degraders in development at Proteovant.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small molecule discovery engine has broad capabilities across multiple categories of small molecules and has three initial areas of focus:</w:t>
      </w:r>
    </w:p>
    <w:p>
      <w:pPr>
        <w:spacing w:after="0" w:line="127" w:lineRule="exact"/>
        <w:rPr>
          <w:sz w:val="20"/>
          <w:szCs w:val="20"/>
          <w:color w:val="auto"/>
        </w:rPr>
      </w:pPr>
    </w:p>
    <w:p>
      <w:pPr>
        <w:ind w:left="1080" w:right="60" w:hanging="424"/>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Heterobifunctionals and molecular glues: </w:t>
      </w:r>
      <w:r>
        <w:rPr>
          <w:rFonts w:ascii="Times New Roman" w:cs="Times New Roman" w:eastAsia="Times New Roman" w:hAnsi="Times New Roman"/>
          <w:sz w:val="18"/>
          <w:szCs w:val="18"/>
          <w:color w:val="auto"/>
        </w:rPr>
        <w:t>We are building an end-to-end platform for the discovery of protein degraders, a therapeutic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with broad potential applicability to diseases associated with protein overactivity and with no incumbent leader. Our capabilities in targeted protein degradation include a long-term partnership with a leading academic lab, the ability to optimize our degraders using both computational physics and ML and our well-established clinical development capabilities.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59"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Covalency: </w:t>
      </w:r>
      <w:r>
        <w:rPr>
          <w:rFonts w:ascii="Times New Roman" w:cs="Times New Roman" w:eastAsia="Times New Roman" w:hAnsi="Times New Roman"/>
          <w:sz w:val="18"/>
          <w:szCs w:val="18"/>
          <w:color w:val="auto"/>
        </w:rPr>
        <w:t>We have assembled a team of experts in the field of chemoproteomics to build a proprietary human Disease Reactome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database enabled by translational disease models to better understand the areas and opportunities around discovering and developing covalent binders of proteins. The combination of experimental data with physics-based computational methods allows us to assess relative pocket ligandability and protein high order structure to predict optimal covalent adduct structures and optimize molecules with desired reactivity.</w:t>
      </w:r>
    </w:p>
    <w:p>
      <w:pPr>
        <w:spacing w:after="0" w:line="84" w:lineRule="exact"/>
        <w:rPr>
          <w:rFonts w:ascii="Times New Roman" w:cs="Times New Roman" w:eastAsia="Times New Roman" w:hAnsi="Times New Roman"/>
          <w:sz w:val="18"/>
          <w:szCs w:val="18"/>
          <w:color w:val="auto"/>
        </w:rPr>
      </w:pPr>
    </w:p>
    <w:p>
      <w:pPr>
        <w:ind w:left="1080" w:right="60" w:hanging="424"/>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Deficiency to best-in-class: </w:t>
      </w:r>
      <w:r>
        <w:rPr>
          <w:rFonts w:ascii="Times New Roman" w:cs="Times New Roman" w:eastAsia="Times New Roman" w:hAnsi="Times New Roman"/>
          <w:sz w:val="18"/>
          <w:szCs w:val="18"/>
          <w:color w:val="auto"/>
        </w:rPr>
        <w:t>We also use our physics-based capabilities to evaluate existing small molecules—either development stage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commercially available—that have already demonstrated therapeutic potential but have well understood limitations, such as off-target effects or binding limitations, which we believe may enable us to rapidly optimize these small molecules and bring them into the clinic as potentially best-in-class candidates.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our small molecule discovery engine will expand our development-stage pipeline by generating candidates to advance through the launch of potential new Vants, or to integrate with existing Vants if there is appropriate therapeutic area overlap, in either case taking advantage of Roivant’s established clinical development capabilities.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82"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Develop</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the Vant model accelerates successful execution due to three key factors: nimble teams, incentive alignment and robust governance. We build Vant teams with deep, relevant expertise to promote successful execution of development strategy. By keeping Vant teams focused and generally small, we strive to eliminate excessive bureaucracy, thereby facilitating rapid decision-making and ultimately accelerating outcomes. Vants are built as entrepreneurial biotech companies, where each Vant leader is compensated with significant upside potential in the form of Vant equity. By aligning employee incentives with successful Vant outcomes, we encourage Vant leaders to take calculated risks and implement strategies that we believe differentiate the speed and creativity of their development capabilities from legacy large pharmaceutical companies, where drug developers may face asymmetric downside in the event of failure and where upside equity, if granted, is diluted by many diverse projects. Vants are also supported through a robust governance structure that is centralized at Roivant. Our governance team ensures accountability for execution at Vants and allows us to capture synergies through shared technology and certain future shared commercial functions, while at the same time providing access to a broad range of Roivant resources when Vants face critical strategic questions.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Commercialize or monetize</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Vant model is designed to maximize the value of each drug that we successfully develop and generate returns for shareholders through the independent commercialization of products, partnerships with pharmaceutical and biotechnology companies or the selective sale of Vants. Our primary objective is to launch commercial products ourselves, but we may sell or partner Vants or specific drugs based on the facts and circumstances, including, without limitation, the strategic rationale and financial return potential. In May 2022, we launched our first commercial product, VTAMA for the treatment of psoriasis.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Technologies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leverages technologies that are designed to optimize each stage of the drug discovery, development and commercialization process.</w:t>
      </w:r>
    </w:p>
    <w:p>
      <w:pPr>
        <w:spacing w:after="0" w:line="223" w:lineRule="exact"/>
        <w:rPr>
          <w:sz w:val="20"/>
          <w:szCs w:val="20"/>
          <w:color w:val="auto"/>
        </w:rPr>
      </w:pPr>
    </w:p>
    <w:p>
      <w:pPr>
        <w:ind w:left="120" w:right="7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small molecule discovery engine at Roivant Discovery is powered by our QUAISAR (QUantum, AI and Structure-Activity Relationships) capabilities.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components of our small molecule discovery engine include:</w:t>
      </w:r>
    </w:p>
    <w:p>
      <w:pPr>
        <w:spacing w:after="0" w:line="127" w:lineRule="exact"/>
        <w:rPr>
          <w:sz w:val="20"/>
          <w:szCs w:val="20"/>
          <w:color w:val="auto"/>
        </w:rPr>
      </w:pPr>
    </w:p>
    <w:p>
      <w:pPr>
        <w:ind w:left="1080" w:right="120" w:hanging="424"/>
        <w:spacing w:after="0" w:line="259"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quantum mechanics-based molecular dynamics software platform to predict the interactions, energies and conformational behavior of targets and generate novel drug candidates. </w:t>
      </w:r>
      <w:r>
        <w:rPr>
          <w:rFonts w:ascii="Times New Roman" w:cs="Times New Roman" w:eastAsia="Times New Roman" w:hAnsi="Times New Roman"/>
          <w:sz w:val="18"/>
          <w:szCs w:val="18"/>
          <w:color w:val="auto"/>
        </w:rPr>
        <w:t>We can simulate hundreds of molecules per day and make predictions for drug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enabling the optimization of properties such as binding affinity, selectivity, membrane permeability and solubility. We also have a suite of molecular dynamics and simulation tools to generate additional insights regarding individual atomic contributions to binding properties and conformational dynamics.</w:t>
      </w:r>
    </w:p>
    <w:p>
      <w:pPr>
        <w:spacing w:after="0" w:line="84" w:lineRule="exact"/>
        <w:rPr>
          <w:rFonts w:ascii="Times New Roman" w:cs="Times New Roman" w:eastAsia="Times New Roman" w:hAnsi="Times New Roman"/>
          <w:sz w:val="18"/>
          <w:szCs w:val="18"/>
          <w:color w:val="auto"/>
        </w:rPr>
      </w:pPr>
    </w:p>
    <w:p>
      <w:pPr>
        <w:ind w:left="1080" w:right="60" w:hanging="424"/>
        <w:spacing w:after="0" w:line="26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supercomputing cluster composed of over 800 graphics processing units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supercomputing cluster allows us to run molecular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simulations at biologically meaningful timescales predicting not only affinity but also how biomolecules will respond at an atomic level to perturbations such as mutation, phosphorylation, protonation, or the addition or removal of a ligand and functionally important structural changes in proteins.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suite of degrader-specific ML tools. </w:t>
      </w:r>
      <w:r>
        <w:rPr>
          <w:rFonts w:ascii="Times New Roman" w:cs="Times New Roman" w:eastAsia="Times New Roman" w:hAnsi="Times New Roman"/>
          <w:sz w:val="18"/>
          <w:szCs w:val="18"/>
          <w:color w:val="auto"/>
        </w:rPr>
        <w:t>We have developed a novel protein contact-first workflow that utilizes information about known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protein-protein interactions to build new degraders that can effectively stabilize target-E3 interfaces; a degron knowledge graph, which we believe to be industry-leading, to map the ubiquitin proteasome system; and a unique model, based on millions of carefully curated protein stability datapoints, to predict degradation.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080" w:right="260" w:hanging="424"/>
        <w:spacing w:after="0" w:line="259"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wet lab fully equipped for synthetic chemistry, crystallography, biophysics, biochemistry and biology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in-house laboratories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tightly integrated with our computational physics platform to directly augment simulations with biophysical data as well as validate simulation predictions. Certain experimental techniques enable more accurate and efficient simulations on targets where we lack crystal structures. Combined with homology modeling and X-ray crystallography, this allows for the simultaneous design of chemical matter against a target while refining atomistic structural models and solving high-resolution crystal structures.</w:t>
      </w:r>
    </w:p>
    <w:p>
      <w:pPr>
        <w:spacing w:after="0" w:line="183"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Our QUAISAR capabilities allow us to predict how molecules will interact by using principles of quantum physics and statistical mechanics to computationally model the forces and energies of molecular systems at atomic scale. Based on internal and published benchmarks, we believe that the speed and accuracy of binding free energy calculations in QUAISAR are on par with the best commercially available tool, Schrödinger’s FEP+, and superior to open-source methods. Further, we believe our ability to augment QUAISAR simulations with experimental biophysical data generated in-house creates a sustainable advantage compared to competitors, especially for complex conformational changes in biomolecules. These QUAISAR capabilities power </w:t>
      </w:r>
      <w:r>
        <w:rPr>
          <w:rFonts w:ascii="Times New Roman" w:cs="Times New Roman" w:eastAsia="Times New Roman" w:hAnsi="Times New Roman"/>
          <w:sz w:val="17"/>
          <w:szCs w:val="17"/>
          <w:i w:val="1"/>
          <w:iCs w:val="1"/>
          <w:color w:val="auto"/>
        </w:rPr>
        <w:t>in silico</w:t>
      </w:r>
      <w:r>
        <w:rPr>
          <w:rFonts w:ascii="Times New Roman" w:cs="Times New Roman" w:eastAsia="Times New Roman" w:hAnsi="Times New Roman"/>
          <w:sz w:val="17"/>
          <w:szCs w:val="17"/>
          <w:color w:val="auto"/>
        </w:rPr>
        <w:t xml:space="preserve"> assays that allow us to predict binding affinity between a ligand and protein, decompose energetics into atomic contributions, predict conformational dynamics of a protein as it shifts from active to inactive states, and identify potentially novel binding sites on a protein.</w:t>
      </w:r>
    </w:p>
    <w:p>
      <w:pPr>
        <w:spacing w:after="0" w:line="1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we have developed drugs in clinical trials, we have also built technologies to improve the process of running such trials. We have aggregated many of these at our subsidiary Lokavant. Lokavant’s software integrates real-time data from ongoing clinical trials and monitors risks related to time, cost and quality. Its proprietary data model serves as a “common language” for trial operational data and ensures that all trial data sources are ingested, harmonized and aggregated into a central database, allowing the trial sponsor to access operational trial data in near-real time. This approach is a substantial departure from traditional operations which typically share different types of trial data asynchronously and on multi-week delays. Algorithms trained on a proprietary dataset of operational metadata from over 2,000 trials are designed to identify the most important risks with sufficient time to empower researchers to implement interventions to mitigate those risks and deliver trial results on budget and on time. Lokavant’s software is in use in Roivant’s late stage clinical trials, as well as trials being conducted by other sponsors and contract research organizations.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designing development and commercialization strategies for our pipeline of drugs, we also identified significant shortcomings with commercially available patient data. Today, healthcare data is siloed across multiple fragmented data sources, limiting the ability to generate a comprehensive understanding of patient health. Datavant, a company which we founded and in which we maintain a non-controlling interest, is working to address this problem. In June 2021, Datavant entered into a definitive merger agreement with Ciox Health, a leader in clinical data exchange. The combined entity, named Datavant, is the nation’s largest health data ecosystem, enabling patients, providers, payers, health data analytics companies, patient-facing applications, government agencies, and life science companies to securely exchange their patient-level data. At the closing of the transaction in July 2021, Roivant received approximately $320 million in cash and a minority equity ownership interest in the combined entity.</w:t>
      </w:r>
    </w:p>
    <w:p>
      <w:pPr>
        <w:spacing w:after="0" w:line="189"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We will continue to execute against our goal of building the next-generation pharmaceutical company by fully integrating modern technologies at each stage of the drug discovery, development and commercialization process. We believe that there is significant opportunity to address inefficiencies within these processes, and we expect to build technologies where we find commercially available tools nonexistent or insufficient for our needs.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Key Catalysts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have a robust calendar of key potential near-term catalysts, including the selected items set forth below. In addition, we plan to in-license multiple potentially category-leading drugs per year.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Vant</w:t>
            </w:r>
          </w:p>
        </w:tc>
        <w:tc>
          <w:tcPr>
            <w:tcW w:w="1340" w:type="dxa"/>
            <w:vAlign w:val="bottom"/>
          </w:tcPr>
          <w:p>
            <w:pPr>
              <w:spacing w:after="0"/>
              <w:rPr>
                <w:sz w:val="16"/>
                <w:szCs w:val="16"/>
                <w:color w:val="auto"/>
              </w:rPr>
            </w:pPr>
          </w:p>
        </w:tc>
        <w:tc>
          <w:tcPr>
            <w:tcW w:w="792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4"/>
                <w:szCs w:val="14"/>
                <w:b w:val="1"/>
                <w:bCs w:val="1"/>
                <w:color w:val="auto"/>
              </w:rPr>
              <w:t>Catalyst</w:t>
            </w:r>
          </w:p>
        </w:tc>
        <w:tc>
          <w:tcPr>
            <w:tcW w:w="220" w:type="dxa"/>
            <w:vAlign w:val="bottom"/>
          </w:tcPr>
          <w:p>
            <w:pPr>
              <w:spacing w:after="0"/>
              <w:rPr>
                <w:sz w:val="16"/>
                <w:szCs w:val="16"/>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Expected Timing</w:t>
            </w:r>
          </w:p>
        </w:tc>
      </w:tr>
      <w:tr>
        <w:trPr>
          <w:trHeight w:val="185"/>
        </w:trPr>
        <w:tc>
          <w:tcPr>
            <w:tcW w:w="16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Dermavant</w:t>
            </w:r>
          </w:p>
        </w:tc>
        <w:tc>
          <w:tcPr>
            <w:tcW w:w="79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Updates on commercial launch of VTAMA</w:t>
            </w:r>
          </w:p>
        </w:tc>
        <w:tc>
          <w:tcPr>
            <w:tcW w:w="220" w:type="dxa"/>
            <w:vAlign w:val="bottom"/>
          </w:tcPr>
          <w:p>
            <w:pPr>
              <w:spacing w:after="0"/>
              <w:rPr>
                <w:sz w:val="16"/>
                <w:szCs w:val="16"/>
                <w:color w:val="auto"/>
              </w:rPr>
            </w:pPr>
          </w:p>
        </w:tc>
        <w:tc>
          <w:tcPr>
            <w:tcW w:w="12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Ongoing</w:t>
            </w:r>
          </w:p>
        </w:tc>
      </w:tr>
      <w:tr>
        <w:trPr>
          <w:trHeight w:val="234"/>
        </w:trPr>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Topline data from VTAMA Phase 3 trials in atopic dermatitis</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1H 2023</w:t>
            </w:r>
          </w:p>
        </w:tc>
      </w:tr>
      <w:tr>
        <w:trPr>
          <w:trHeight w:val="265"/>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Topline data from batoclimab Phase 3 trial in MG</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2H 2024</w:t>
            </w:r>
          </w:p>
        </w:tc>
      </w:tr>
      <w:tr>
        <w:trPr>
          <w:trHeight w:val="216"/>
        </w:trPr>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Initiate two additional pivotal programs, including TED</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2H 2022</w:t>
            </w:r>
          </w:p>
        </w:tc>
      </w:tr>
      <w:tr>
        <w:trPr>
          <w:trHeight w:val="234"/>
        </w:trPr>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Announce two new indications</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August 2022</w:t>
            </w:r>
          </w:p>
        </w:tc>
      </w:tr>
      <w:tr>
        <w:trPr>
          <w:trHeight w:val="283"/>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Priovant</w:t>
            </w: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Topline data from potentially registrational brepocitinib Phase 2 trial in systemic lupus erythematosus</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2H 2023</w:t>
            </w:r>
          </w:p>
        </w:tc>
      </w:tr>
      <w:tr>
        <w:trPr>
          <w:trHeight w:val="297"/>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Kinevant</w:t>
            </w: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Topline data from namilumab Phase 2 trial in sarcoidosis</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1H 2024</w:t>
            </w:r>
          </w:p>
        </w:tc>
      </w:tr>
      <w:tr>
        <w:trPr>
          <w:trHeight w:val="283"/>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Hemavant</w:t>
            </w: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Data from RVT-2001 Phase 1/2 trial in lower-risk MDS</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2H 2023</w:t>
            </w:r>
          </w:p>
        </w:tc>
      </w:tr>
    </w:tbl>
    <w:p>
      <w:pPr>
        <w:spacing w:after="0" w:line="196" w:lineRule="exact"/>
        <w:rPr>
          <w:sz w:val="20"/>
          <w:szCs w:val="20"/>
          <w:color w:val="auto"/>
        </w:rPr>
      </w:pPr>
    </w:p>
    <w:p>
      <w:pPr>
        <w:jc w:val="both"/>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Note: References are to calendar years. All catalyst timings are based on current expectations and, where applicable, contingent on FDA feedback, and may be subject to change.</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below table summarizes the estimated exclusivity periods in the U.S. for select products and product candidates: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Vant</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Product or Product</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w:t>
            </w:r>
          </w:p>
        </w:tc>
        <w:tc>
          <w:tcPr>
            <w:tcW w:w="0" w:type="dxa"/>
            <w:vAlign w:val="bottom"/>
          </w:tcPr>
          <w:p>
            <w:pPr>
              <w:spacing w:after="0"/>
              <w:rPr>
                <w:sz w:val="1"/>
                <w:szCs w:val="1"/>
                <w:color w:val="auto"/>
              </w:rPr>
            </w:pPr>
          </w:p>
        </w:tc>
      </w:tr>
      <w:tr>
        <w:trPr>
          <w:trHeight w:val="187"/>
        </w:trPr>
        <w:tc>
          <w:tcPr>
            <w:tcW w:w="3540" w:type="dxa"/>
            <w:vAlign w:val="bottom"/>
            <w:gridSpan w:val="2"/>
            <w:vMerge w:val="continue"/>
          </w:tcPr>
          <w:p>
            <w:pPr>
              <w:spacing w:after="0"/>
              <w:rPr>
                <w:sz w:val="16"/>
                <w:szCs w:val="16"/>
                <w:color w:val="auto"/>
              </w:rPr>
            </w:pPr>
          </w:p>
        </w:tc>
        <w:tc>
          <w:tcPr>
            <w:tcW w:w="3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Candidate</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Exclusivity / IP Coverage</w:t>
            </w:r>
          </w:p>
        </w:tc>
        <w:tc>
          <w:tcPr>
            <w:tcW w:w="0" w:type="dxa"/>
            <w:vAlign w:val="bottom"/>
          </w:tcPr>
          <w:p>
            <w:pPr>
              <w:spacing w:after="0"/>
              <w:rPr>
                <w:sz w:val="1"/>
                <w:szCs w:val="1"/>
                <w:color w:val="auto"/>
              </w:rPr>
            </w:pPr>
          </w:p>
        </w:tc>
      </w:tr>
      <w:tr>
        <w:trPr>
          <w:trHeight w:val="191"/>
        </w:trPr>
        <w:tc>
          <w:tcPr>
            <w:tcW w:w="3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Dermavant</w:t>
            </w:r>
          </w:p>
        </w:tc>
        <w:tc>
          <w:tcPr>
            <w:tcW w:w="300" w:type="dxa"/>
            <w:vAlign w:val="bottom"/>
          </w:tcPr>
          <w:p>
            <w:pPr>
              <w:spacing w:after="0"/>
              <w:rPr>
                <w:sz w:val="16"/>
                <w:szCs w:val="16"/>
                <w:color w:val="auto"/>
              </w:rPr>
            </w:pPr>
          </w:p>
        </w:tc>
        <w:tc>
          <w:tcPr>
            <w:tcW w:w="2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6"/>
                <w:szCs w:val="16"/>
                <w:color w:val="auto"/>
              </w:rPr>
              <w:t>VTAMA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6"/>
                <w:szCs w:val="16"/>
                <w:color w:val="auto"/>
              </w:rPr>
              <w:t xml:space="preserve"> (tapinarof)</w:t>
            </w:r>
          </w:p>
        </w:tc>
        <w:tc>
          <w:tcPr>
            <w:tcW w:w="26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2038</w:t>
            </w:r>
          </w:p>
        </w:tc>
        <w:tc>
          <w:tcPr>
            <w:tcW w:w="0" w:type="dxa"/>
            <w:vAlign w:val="bottom"/>
          </w:tcPr>
          <w:p>
            <w:pPr>
              <w:spacing w:after="0"/>
              <w:rPr>
                <w:sz w:val="1"/>
                <w:szCs w:val="1"/>
                <w:color w:val="auto"/>
              </w:rPr>
            </w:pPr>
          </w:p>
        </w:tc>
      </w:tr>
      <w:tr>
        <w:trPr>
          <w:trHeight w:val="216"/>
        </w:trPr>
        <w:tc>
          <w:tcPr>
            <w:tcW w:w="3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Immunovant</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IMVT-1401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Later of (i) 2035 or (ii) 12 years post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U.S. approval</w:t>
            </w:r>
          </w:p>
        </w:tc>
        <w:tc>
          <w:tcPr>
            <w:tcW w:w="0" w:type="dxa"/>
            <w:vAlign w:val="bottom"/>
          </w:tcPr>
          <w:p>
            <w:pPr>
              <w:spacing w:after="0"/>
              <w:rPr>
                <w:sz w:val="1"/>
                <w:szCs w:val="1"/>
                <w:color w:val="auto"/>
              </w:rPr>
            </w:pPr>
          </w:p>
        </w:tc>
      </w:tr>
      <w:tr>
        <w:trPr>
          <w:trHeight w:val="216"/>
        </w:trPr>
        <w:tc>
          <w:tcPr>
            <w:tcW w:w="3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Priovant</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Brepocitinib</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c>
          <w:tcPr>
            <w:tcW w:w="0" w:type="dxa"/>
            <w:vAlign w:val="bottom"/>
          </w:tcPr>
          <w:p>
            <w:pPr>
              <w:spacing w:after="0"/>
              <w:rPr>
                <w:sz w:val="1"/>
                <w:szCs w:val="1"/>
                <w:color w:val="auto"/>
              </w:rPr>
            </w:pPr>
          </w:p>
        </w:tc>
      </w:tr>
      <w:tr>
        <w:trPr>
          <w:trHeight w:val="216"/>
        </w:trPr>
        <w:tc>
          <w:tcPr>
            <w:tcW w:w="3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Kinevant</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Namilumab</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 years post U.S. approval</w:t>
            </w:r>
          </w:p>
        </w:tc>
        <w:tc>
          <w:tcPr>
            <w:tcW w:w="0" w:type="dxa"/>
            <w:vAlign w:val="bottom"/>
          </w:tcPr>
          <w:p>
            <w:pPr>
              <w:spacing w:after="0"/>
              <w:rPr>
                <w:sz w:val="1"/>
                <w:szCs w:val="1"/>
                <w:color w:val="auto"/>
              </w:rPr>
            </w:pPr>
          </w:p>
        </w:tc>
      </w:tr>
      <w:tr>
        <w:trPr>
          <w:trHeight w:val="234"/>
        </w:trPr>
        <w:tc>
          <w:tcPr>
            <w:tcW w:w="3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Hemavant</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4"/>
              </w:rPr>
              <w:t>RVT-2001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Note: References are to calendar years. Estimated U.S. exclusivity is based on (i) for VTAMA, the expected expiry date of the U.S. drug substance patent covering the active ingredient in VTAMA, (ii) for IMVT-1401 and namilumab, the expected expiration of U.S. regulatory exclusivity, (iii) for brepocitinib, the expected expiry date of any patent to issue from a pending application covering the crystalline form of the molecule (in addition to a composition of matter patent with an expected expiry date in 2035) and (iv) for RVT-2001, the expected expiry date of the patent covering the crystalline form of the molecule (in addition to a composition of matter patent with an expected expiry date in 2035). Exclusivity does not give effect to any potential patent term extensions. For more information, please refer to “—Intellectual Property” and “Risk Factors—Risks Related to Our Intellectual Property.”</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table below summarizes select potential future payment obligations from acquisitions, in-licensings and subsequent financings for select products and product candidates: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Product or</w:t>
            </w:r>
          </w:p>
        </w:tc>
        <w:tc>
          <w:tcPr>
            <w:tcW w:w="2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Vant</w:t>
            </w: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Product</w:t>
            </w:r>
          </w:p>
        </w:tc>
        <w:tc>
          <w:tcPr>
            <w:tcW w:w="260" w:type="dxa"/>
            <w:vAlign w:val="bottom"/>
          </w:tcPr>
          <w:p>
            <w:pPr>
              <w:spacing w:after="0"/>
              <w:rPr>
                <w:sz w:val="12"/>
                <w:szCs w:val="12"/>
                <w:color w:val="auto"/>
              </w:rPr>
            </w:pPr>
          </w:p>
        </w:tc>
        <w:tc>
          <w:tcPr>
            <w:tcW w:w="396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280" w:type="dxa"/>
            <w:vAlign w:val="bottom"/>
          </w:tcPr>
          <w:p>
            <w:pPr>
              <w:spacing w:after="0"/>
              <w:rPr>
                <w:sz w:val="12"/>
                <w:szCs w:val="12"/>
                <w:color w:val="auto"/>
              </w:rPr>
            </w:pPr>
          </w:p>
        </w:tc>
        <w:tc>
          <w:tcPr>
            <w:tcW w:w="354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Royalty</w:t>
            </w:r>
          </w:p>
        </w:tc>
        <w:tc>
          <w:tcPr>
            <w:tcW w:w="0" w:type="dxa"/>
            <w:vAlign w:val="bottom"/>
          </w:tcPr>
          <w:p>
            <w:pPr>
              <w:spacing w:after="0"/>
              <w:rPr>
                <w:sz w:val="1"/>
                <w:szCs w:val="1"/>
                <w:color w:val="auto"/>
              </w:rPr>
            </w:pPr>
          </w:p>
        </w:tc>
      </w:tr>
      <w:tr>
        <w:trPr>
          <w:trHeight w:val="187"/>
        </w:trPr>
        <w:tc>
          <w:tcPr>
            <w:tcW w:w="130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Candidate</w:t>
            </w:r>
          </w:p>
        </w:tc>
        <w:tc>
          <w:tcPr>
            <w:tcW w:w="260" w:type="dxa"/>
            <w:vAlign w:val="bottom"/>
          </w:tcPr>
          <w:p>
            <w:pPr>
              <w:spacing w:after="0"/>
              <w:rPr>
                <w:sz w:val="16"/>
                <w:szCs w:val="16"/>
                <w:color w:val="auto"/>
              </w:rPr>
            </w:pPr>
          </w:p>
        </w:tc>
        <w:tc>
          <w:tcPr>
            <w:tcW w:w="3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Dermavant</w:t>
            </w:r>
          </w:p>
        </w:tc>
        <w:tc>
          <w:tcPr>
            <w:tcW w:w="12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VTAMA</w:t>
            </w:r>
            <w:r>
              <w:rPr>
                <w:rFonts w:ascii="Times New Roman" w:cs="Times New Roman" w:eastAsia="Times New Roman" w:hAnsi="Times New Roman"/>
                <w:sz w:val="15"/>
                <w:szCs w:val="15"/>
                <w:color w:val="auto"/>
                <w:w w:val="98"/>
              </w:rPr>
              <w:t>®</w:t>
            </w:r>
            <w:r>
              <w:rPr>
                <w:rFonts w:ascii="Times New Roman" w:cs="Times New Roman" w:eastAsia="Times New Roman" w:hAnsi="Times New Roman"/>
                <w:sz w:val="18"/>
                <w:szCs w:val="18"/>
                <w:color w:val="auto"/>
                <w:w w:val="98"/>
              </w:rPr>
              <w:t xml:space="preserve"> (tapinarof)</w:t>
            </w:r>
          </w:p>
        </w:tc>
        <w:tc>
          <w:tcPr>
            <w:tcW w:w="100" w:type="dxa"/>
            <w:vAlign w:val="bottom"/>
          </w:tcPr>
          <w:p>
            <w:pPr>
              <w:spacing w:after="0"/>
              <w:rPr>
                <w:sz w:val="16"/>
                <w:szCs w:val="16"/>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86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 £100M (~$126M on the date of achievement)</w:t>
            </w:r>
          </w:p>
        </w:tc>
        <w:tc>
          <w:tcPr>
            <w:tcW w:w="100" w:type="dxa"/>
            <w:vAlign w:val="bottom"/>
          </w:tcPr>
          <w:p>
            <w:pPr>
              <w:spacing w:after="0"/>
              <w:rPr>
                <w:sz w:val="16"/>
                <w:szCs w:val="16"/>
                <w:color w:val="auto"/>
              </w:rPr>
            </w:pPr>
          </w:p>
        </w:tc>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54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 Low single-digit to high single-digit tiered</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milestone to GSK following VTAMA U.S.</w:t>
            </w:r>
          </w:p>
        </w:tc>
        <w:tc>
          <w:tcPr>
            <w:tcW w:w="2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percentage of quarterly revenues based on</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approval and CAD$25M (approximately $20M on</w:t>
            </w:r>
          </w:p>
        </w:tc>
        <w:tc>
          <w:tcPr>
            <w:tcW w:w="2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achievement of specified net sales thresholds,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date of achievement) milestone to Welichem</w:t>
            </w:r>
          </w:p>
        </w:tc>
        <w:tc>
          <w:tcPr>
            <w:tcW w:w="2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up to a $344M cap, to be paid to an investor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upon the first U.S. VTAMA commercial sale; to be</w:t>
            </w:r>
          </w:p>
        </w:tc>
        <w:tc>
          <w:tcPr>
            <w:tcW w:w="2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group in exchange for $160M RIPSA funding</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paid using $160M RIPSA funding received in June</w:t>
            </w:r>
          </w:p>
        </w:tc>
        <w:tc>
          <w:tcPr>
            <w:tcW w:w="2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received in June 2022, following VTAMA</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approval</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 Up to CAD$75M in remaining commercial</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milestones to Welichem, with CAD$35M payable</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upon VTAMA first U.S. commercial sale for atopic</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dermatitis and the remainder payable as first</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 sales are achieved in various ex-U.S.</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countries</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 Additional milestones owed to NovaQuest in</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connection with two 2018 financings that are</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accounted for as debt</w:t>
            </w:r>
          </w:p>
        </w:tc>
        <w:tc>
          <w:tcPr>
            <w:tcW w:w="2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Immunovant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IMVT-1401</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 Up to a maximum of $442.5M upon the</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 Tiered royalties on net sales ranging</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achievement of certain development, regulatory and</w:t>
            </w:r>
          </w:p>
        </w:tc>
        <w:tc>
          <w:tcPr>
            <w:tcW w:w="2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mid-single digits to mid-teens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milestone events</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Priovant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Brepocitinib</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 Mid tens-of-millions sales milestone payment if</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 Tiered sub-teens royalty on net sales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aggregate net sales in a given year exceed a mid</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hundred-of-millions amount</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Kinevant</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Namilumab</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 Up to $40M upon the achievement of certain</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 Tiered royalties on net sales ranging</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milestones</w:t>
            </w:r>
          </w:p>
        </w:tc>
        <w:tc>
          <w:tcPr>
            <w:tcW w:w="2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sub-teens to mid-teens</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Hemavant</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RVT-2001</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 Up to $65M in development and regulatory</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 Tiered high single-digit to sub-teens royalty on</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milestones for the first indication; up to $18M in</w:t>
            </w:r>
          </w:p>
        </w:tc>
        <w:tc>
          <w:tcPr>
            <w:tcW w:w="28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payments for each additional indication; up to</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$295M in commercial milestone payments</w:t>
            </w:r>
          </w:p>
        </w:tc>
        <w:tc>
          <w:tcPr>
            <w:tcW w:w="2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i w:val="1"/>
          <w:iCs w:val="1"/>
          <w:color w:val="auto"/>
        </w:rPr>
        <w:t>Note: The summaries above do not purport to be complete. Please refer to “—Asset Acquisition and License Agreements; Other Vant Agreements” and the agreements themselves, filed as exhibits to this Annual Report on Form 10-K, for more information on the terms of these agreements.</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our ownership of our subsidiary companies and certain affiliates as of March 31, 2022:</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Vant</w:t>
            </w:r>
          </w:p>
        </w:tc>
        <w:tc>
          <w:tcPr>
            <w:tcW w:w="5540" w:type="dxa"/>
            <w:vAlign w:val="bottom"/>
            <w:vMerge w:val="restart"/>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Roivant Ownership</w:t>
            </w:r>
          </w:p>
        </w:tc>
        <w:tc>
          <w:tcPr>
            <w:tcW w:w="0" w:type="dxa"/>
            <w:vAlign w:val="bottom"/>
          </w:tcPr>
          <w:p>
            <w:pPr>
              <w:spacing w:after="0"/>
              <w:rPr>
                <w:sz w:val="1"/>
                <w:szCs w:val="1"/>
                <w:color w:val="auto"/>
              </w:rPr>
            </w:pPr>
          </w:p>
        </w:tc>
      </w:tr>
      <w:tr>
        <w:trPr>
          <w:trHeight w:val="134"/>
        </w:trPr>
        <w:tc>
          <w:tcPr>
            <w:tcW w:w="300" w:type="dxa"/>
            <w:vAlign w:val="bottom"/>
            <w:tcBorders>
              <w:bottom w:val="single" w:sz="8" w:color="auto"/>
            </w:tcBorders>
            <w:vMerge w:val="continue"/>
          </w:tcPr>
          <w:p>
            <w:pPr>
              <w:spacing w:after="0"/>
              <w:rPr>
                <w:sz w:val="11"/>
                <w:szCs w:val="11"/>
                <w:color w:val="auto"/>
              </w:rPr>
            </w:pPr>
          </w:p>
        </w:tc>
        <w:tc>
          <w:tcPr>
            <w:tcW w:w="5540" w:type="dxa"/>
            <w:vAlign w:val="bottom"/>
            <w:vMerge w:val="continue"/>
          </w:tcPr>
          <w:p>
            <w:pPr>
              <w:spacing w:after="0"/>
              <w:rPr>
                <w:sz w:val="11"/>
                <w:szCs w:val="11"/>
                <w:color w:val="auto"/>
              </w:rPr>
            </w:pPr>
          </w:p>
        </w:tc>
        <w:tc>
          <w:tcPr>
            <w:tcW w:w="1400" w:type="dxa"/>
            <w:vAlign w:val="bottom"/>
            <w:tcBorders>
              <w:top w:val="single" w:sz="8" w:color="auto"/>
            </w:tcBorders>
            <w:gridSpan w:val="2"/>
          </w:tcPr>
          <w:p>
            <w:pPr>
              <w:jc w:val="right"/>
              <w:ind w:right="948"/>
              <w:spacing w:after="0" w:line="129" w:lineRule="exact"/>
              <w:rPr>
                <w:sz w:val="20"/>
                <w:szCs w:val="20"/>
                <w:color w:val="auto"/>
              </w:rPr>
            </w:pPr>
            <w:r>
              <w:rPr>
                <w:rFonts w:ascii="Times New Roman" w:cs="Times New Roman" w:eastAsia="Times New Roman" w:hAnsi="Times New Roman"/>
                <w:sz w:val="14"/>
                <w:szCs w:val="14"/>
                <w:b w:val="1"/>
                <w:bCs w:val="1"/>
                <w:color w:val="auto"/>
                <w:w w:val="97"/>
              </w:rPr>
              <w:t>Basic</w:t>
            </w:r>
            <w:r>
              <w:rPr>
                <w:rFonts w:ascii="Times New Roman" w:cs="Times New Roman" w:eastAsia="Times New Roman" w:hAnsi="Times New Roman"/>
                <w:sz w:val="10"/>
                <w:szCs w:val="10"/>
                <w:b w:val="1"/>
                <w:bCs w:val="1"/>
                <w:color w:val="auto"/>
                <w:w w:val="97"/>
              </w:rPr>
              <w:t>1</w:t>
            </w: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Fully Diluted</w:t>
            </w:r>
            <w:r>
              <w:rPr>
                <w:rFonts w:ascii="Times New Roman" w:cs="Times New Roman" w:eastAsia="Times New Roman" w:hAnsi="Times New Roman"/>
                <w:sz w:val="10"/>
                <w:szCs w:val="10"/>
                <w:b w:val="1"/>
                <w:bCs w:val="1"/>
                <w:color w:val="auto"/>
                <w:w w:val="99"/>
              </w:rPr>
              <w:t>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Dermavant</w:t>
            </w: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2"/>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788"/>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1400" w:type="dxa"/>
            <w:vAlign w:val="bottom"/>
            <w:gridSpan w:val="2"/>
          </w:tcPr>
          <w:p>
            <w:pPr>
              <w:jc w:val="right"/>
              <w:ind w:right="728"/>
              <w:spacing w:after="0" w:line="216" w:lineRule="exact"/>
              <w:rPr>
                <w:sz w:val="20"/>
                <w:szCs w:val="20"/>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25"/>
                <w:szCs w:val="25"/>
                <w:color w:val="auto"/>
                <w:vertAlign w:val="superscript"/>
              </w:rPr>
              <w:t>3</w:t>
            </w:r>
          </w:p>
        </w:tc>
        <w:tc>
          <w:tcPr>
            <w:tcW w:w="112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18"/>
                <w:szCs w:val="18"/>
                <w:color w:val="auto"/>
              </w:rPr>
              <w:t>58%</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Priovant</w:t>
            </w:r>
          </w:p>
        </w:tc>
        <w:tc>
          <w:tcPr>
            <w:tcW w:w="140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Proteovant</w:t>
            </w:r>
          </w:p>
        </w:tc>
        <w:tc>
          <w:tcPr>
            <w:tcW w:w="14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Genevant</w:t>
            </w:r>
          </w:p>
        </w:tc>
        <w:tc>
          <w:tcPr>
            <w:tcW w:w="140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83%</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Kinevant</w:t>
            </w:r>
          </w:p>
        </w:tc>
        <w:tc>
          <w:tcPr>
            <w:tcW w:w="14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Hemavant</w:t>
            </w:r>
          </w:p>
        </w:tc>
        <w:tc>
          <w:tcPr>
            <w:tcW w:w="140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Affivant</w:t>
            </w:r>
          </w:p>
        </w:tc>
        <w:tc>
          <w:tcPr>
            <w:tcW w:w="14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Arbutus</w:t>
            </w:r>
          </w:p>
        </w:tc>
        <w:tc>
          <w:tcPr>
            <w:tcW w:w="1400" w:type="dxa"/>
            <w:vAlign w:val="bottom"/>
            <w:gridSpan w:val="2"/>
            <w:shd w:val="clear" w:color="auto" w:fill="CCEEFF"/>
          </w:tcPr>
          <w:p>
            <w:pPr>
              <w:jc w:val="right"/>
              <w:ind w:right="728"/>
              <w:spacing w:after="0" w:line="216" w:lineRule="exact"/>
              <w:rPr>
                <w:sz w:val="20"/>
                <w:szCs w:val="20"/>
                <w:color w:val="auto"/>
              </w:rPr>
            </w:pPr>
            <w:r>
              <w:rPr>
                <w:rFonts w:ascii="Times New Roman" w:cs="Times New Roman" w:eastAsia="Times New Roman" w:hAnsi="Times New Roman"/>
                <w:sz w:val="18"/>
                <w:szCs w:val="18"/>
                <w:color w:val="auto"/>
              </w:rPr>
              <w:t>26%</w:t>
            </w:r>
            <w:r>
              <w:rPr>
                <w:rFonts w:ascii="Times New Roman" w:cs="Times New Roman" w:eastAsia="Times New Roman" w:hAnsi="Times New Roman"/>
                <w:sz w:val="25"/>
                <w:szCs w:val="25"/>
                <w:color w:val="auto"/>
                <w:vertAlign w:val="superscript"/>
              </w:rPr>
              <w:t>3</w:t>
            </w:r>
          </w:p>
        </w:tc>
        <w:tc>
          <w:tcPr>
            <w:tcW w:w="1120" w:type="dxa"/>
            <w:vAlign w:val="bottom"/>
            <w:gridSpan w:val="2"/>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Lokavant</w:t>
            </w:r>
          </w:p>
        </w:tc>
        <w:tc>
          <w:tcPr>
            <w:tcW w:w="14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90%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Datavant</w:t>
            </w:r>
          </w:p>
        </w:tc>
        <w:tc>
          <w:tcPr>
            <w:tcW w:w="1400" w:type="dxa"/>
            <w:vAlign w:val="bottom"/>
            <w:gridSpan w:val="2"/>
            <w:shd w:val="clear" w:color="auto" w:fill="CCEEFF"/>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right="420"/>
        <w:spacing w:after="0" w:line="262" w:lineRule="auto"/>
        <w:rPr>
          <w:sz w:val="20"/>
          <w:szCs w:val="20"/>
          <w:color w:val="auto"/>
        </w:rPr>
      </w:pPr>
      <w:r>
        <w:rPr>
          <w:rFonts w:ascii="Times New Roman" w:cs="Times New Roman" w:eastAsia="Times New Roman" w:hAnsi="Times New Roman"/>
          <w:sz w:val="18"/>
          <w:szCs w:val="18"/>
          <w:i w:val="1"/>
          <w:iCs w:val="1"/>
          <w:color w:val="auto"/>
        </w:rPr>
        <w:t>Note: Excludes early-stage pipeline of protein degraders and inhibitors being developed through our small molecule discovery engine. Ownership figures as of March 31, 2022.</w:t>
      </w:r>
    </w:p>
    <w:p>
      <w:pPr>
        <w:ind w:left="300" w:hanging="184"/>
        <w:spacing w:after="0"/>
        <w:tabs>
          <w:tab w:leader="none" w:pos="3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Basic ownership refers to Roivant’s percentage ownership of the issued and outstanding common and preferred shares (if applicable) of the entity.</w:t>
      </w:r>
    </w:p>
    <w:p>
      <w:pPr>
        <w:spacing w:after="0" w:line="9" w:lineRule="exact"/>
        <w:rPr>
          <w:rFonts w:ascii="Times New Roman" w:cs="Times New Roman" w:eastAsia="Times New Roman" w:hAnsi="Times New Roman"/>
          <w:sz w:val="18"/>
          <w:szCs w:val="18"/>
          <w:i w:val="1"/>
          <w:iCs w:val="1"/>
          <w:color w:val="auto"/>
        </w:rPr>
      </w:pPr>
    </w:p>
    <w:p>
      <w:pPr>
        <w:ind w:left="120" w:right="100" w:hanging="4"/>
        <w:spacing w:after="0" w:line="250" w:lineRule="auto"/>
        <w:tabs>
          <w:tab w:leader="none" w:pos="3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Fully diluted ownership refers to Roivant’s percentage ownership of all outstanding equity interests of the entity, including unvested RSUs as well as options and warrants, in each case whether vested or unvested.</w:t>
      </w:r>
    </w:p>
    <w:p>
      <w:pPr>
        <w:ind w:left="300" w:hanging="184"/>
        <w:spacing w:after="0"/>
        <w:tabs>
          <w:tab w:leader="none" w:pos="3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Denotes entities that are publicly traded.</w:t>
      </w:r>
    </w:p>
    <w:p>
      <w:pPr>
        <w:spacing w:after="0" w:line="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i w:val="1"/>
          <w:iCs w:val="1"/>
          <w:color w:val="auto"/>
        </w:rPr>
        <w:t>*As of March 31, 2022, the Company’s minority equity interest in Datavant represented approximately 17% of the outstanding Class A units. Datavant’s capital structure includes several classes of preferred units that, among other features, have liquidation preferences and conversion features. Upon conversion of such preferred units into Class A units, the Company’s ownership interest would be diluted. For more information on Roivant’s ownership interest in Datavant, please refer to Note 4 to Roivant’s consolidated financial statements included in this Annual Report on Form 10-K.</w:t>
      </w:r>
    </w:p>
    <w:p>
      <w:pPr>
        <w:spacing w:after="0" w:line="1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82"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Dermavant Overview</w:t>
      </w:r>
    </w:p>
    <w:p>
      <w:pPr>
        <w:spacing w:after="0" w:line="252" w:lineRule="exact"/>
        <w:rPr>
          <w:sz w:val="20"/>
          <w:szCs w:val="20"/>
          <w:color w:val="auto"/>
        </w:rPr>
      </w:pPr>
    </w:p>
    <w:p>
      <w:pPr>
        <w:ind w:left="540" w:hanging="316"/>
        <w:spacing w:after="0"/>
        <w:tabs>
          <w:tab w:leader="none" w:pos="54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rPr>
        <w:t>:</w:t>
      </w:r>
    </w:p>
    <w:p>
      <w:pPr>
        <w:spacing w:after="0" w:line="133" w:lineRule="exact"/>
        <w:rPr>
          <w:rFonts w:ascii="Times New Roman" w:cs="Times New Roman" w:eastAsia="Times New Roman" w:hAnsi="Times New Roman"/>
          <w:sz w:val="18"/>
          <w:szCs w:val="18"/>
          <w:b w:val="1"/>
          <w:bCs w:val="1"/>
          <w:color w:val="auto"/>
        </w:rPr>
      </w:pPr>
    </w:p>
    <w:p>
      <w:pPr>
        <w:ind w:left="1080" w:right="520" w:hanging="424"/>
        <w:spacing w:after="0" w:line="218" w:lineRule="auto"/>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Dermavant is marketing VTAMA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(tapinarof) cream, 1%, for the topical treatment of plaque psoriasis in adults. The FDA approved VTAMA for the topical treatment of mild, moderate, and severe plaque psoriasis in May 2022.</w:t>
      </w:r>
    </w:p>
    <w:p>
      <w:pPr>
        <w:spacing w:after="0" w:line="104"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Dermavant is also developing VTAMA for the treatment of atopic dermatitis in adults and children and expects to release topline results from its Phase 3 clinical trials in the first half of calendar year 2023.</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Dermavant’s earlier stage development pipeline includes an additional novel aryl hydrocarbon receptor (“AhR”) agonist, DMVT-506, with a similar profile to VTAMA. Dermavant is developing DMVT-506 for the treatment of immunological and inflammatory diseases.</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Lead program</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100" w:hanging="424"/>
        <w:spacing w:after="0" w:line="282" w:lineRule="auto"/>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VTAMA is a novel, once daily, steroid-free topical cream approved in the US for the treatment of plaque psoriasis in adults. Dermavant is developing VTAMA for the treatment of atopic dermatitis in adults and children as young as age two.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VTAMA directly targets the AhR, a key regulator of skin homeostasis and inflammation.</w:t>
      </w:r>
    </w:p>
    <w:p>
      <w:pPr>
        <w:spacing w:after="0" w:line="126"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Disease 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160" w:hanging="424"/>
        <w:spacing w:after="0" w:line="282" w:lineRule="auto"/>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Plaque psoriasis is a chronic, inflammatory disease of the skin characterized by lesions consisting of red patches and plaques with silvery scales.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the most common type of eczema, is a chronic condition characterized by dry, itchy skin.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Psoriasis and atopic dermatitis affect approximately 8 million and 26 million people in the United States, respectively.</w:t>
      </w:r>
    </w:p>
    <w:p>
      <w:pPr>
        <w:spacing w:after="0" w:line="126"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of current treatment</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100" w:hanging="424"/>
        <w:spacing w:after="0" w:line="282" w:lineRule="auto"/>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Topical corticosteroids (“TCS”) are the most common first-line therapies but they typically cannot be used for longer than four weeks due to the risk of significant side effects.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oral and biologic therapies have become increasingly available, they are often limited to moderate-to-severe disease with often complicated access, reimbursement and utilization management requirements.</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Clinical data</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60" w:hanging="424"/>
        <w:spacing w:after="0" w:line="282" w:lineRule="auto"/>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two pivotal Phase 3 clinical trials, PSOARING 1 and PSOARING 2, for the use of VTAMA in treating mild, moderate, and severe plaque psoriasis in adults.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pivotal Phase 3 trials, which enrolled over 500 patients each, VTAMA met its primary endpoint and secondary endpoints with clinically meaningful and statistically significant results.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open-label PSOARING 3 study provides supportive evidence of VTAMA’s increased therapeutic effect beyond the 12-week double-blind treatment periods, suggesting treatment durability over time, as well as supportive evidence of a remittive effect, measured by time until disease worsening following treatment discontinuation.</w:t>
      </w:r>
    </w:p>
    <w:p>
      <w:pPr>
        <w:spacing w:after="0" w:line="7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approved VTAMA for the once daily topical treatment of adults with plaque psoriasis in May 2022.</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660" w:hanging="424"/>
        <w:spacing w:after="0" w:line="282" w:lineRule="auto"/>
        <w:tabs>
          <w:tab w:leader="none" w:pos="1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VTAMA is the first topical novel chemical entity launched for plaque psoriasis in the U.S. in 25 years, offering a favorable mix of treatment effect, safety, tolerability, durability on therapy, and remittive effect.</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we dosed the first patient in our Phase 3 clinical trials of VTAMA for the treatment of atopic dermatitis, ADORING 1 and ADORING 2. We expect to report topline data from ADORING 1 and ADORING 2 in the first half of calendar year 2023.</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100% of the issued and outstanding common shares of Dermavant and 83% on a fully-diluted basis.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 Launch of VTAMA for Treatment of Adults with Plaque Psoriasis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FDA approved VTAMA for the treatment of adults with mild, moderate or severe plaque psoriasis in May 2022.</w:t>
      </w:r>
    </w:p>
    <w:p>
      <w:pPr>
        <w:spacing w:after="0" w:line="22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Dermavant has built a highly specialized commercial sales organization focused on high value dermatology healthcare providers and their patients and implementing a “best-in-class” payor reimbursement and patient point of sale access strategy, which we believe ensures broad patient access at launch. As psoriasis patients are predominantly managed by dermatologists, we have deployed a team of approximately 100 specialty sales professionals focused on a core target base of top-decile dermatologists who write more than 80% of all commercial prescriptions in the psoriasis market. We believe a scientifically oriented, customer-focused team will allow us to reach the approximately 6,000 highest value dermatology healthcare providers.</w:t>
      </w:r>
    </w:p>
    <w:p>
      <w:pPr>
        <w:spacing w:after="0" w:line="16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markets outside of the U.S., we may opportunistically seek strategic collaborations to maximize the commercial opportunities for VTAMA, if approved.</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Since acquiring VTAMA in 2018, we have expanded our intellectual property portfolio with multiple patents, which are expected to provide intellectual property protection until 2038.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VTAMA for the Treatment of Psoriasis and Atopic Dermatitis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VTAMA is a novel, once daily, cosmetically elegant, steroid-free topical cream. VTAMA directly targets the AhR, a key regulator of skin homeostasis and inflammation, to help reduce Th17 and Th2 cytokines, two pro-inflammatory pathways implicated in plaque psoriasis and atopic dermatitis, respectively, increase antioxidant activity, and promote skin barrier restoration. VTAMA cream is designed to be easy to apply, non-greasy and odorless, which we believe makes it cosmetically elegant. To date, over 2,200 subjects have been enrolled in 18 clinical trials of VTAMA and predecessor formulations of VTAMA cream.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Psoriasis and atopic dermatitis</w:t>
      </w:r>
    </w:p>
    <w:p>
      <w:pPr>
        <w:spacing w:after="0" w:line="11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Psoriasis and atopic dermatitis affect hundreds of millions of people globally each year, impacting their quality of life, including their physical health, psychological state, and overall well-being. While topical therapies are the foundation of treatment, many patients fail to achieve their desired outcome due to subpar efficacy, tolerability and safety concerns, application site restrictions and limits on duration of therapy.</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Psoriasis is a chronic, inflammatory disease with skin lesions characterized by red patches and plaques with silvery scale that affects an estimated 8 million people in the United States. Its most common form, psoriasis vulgaris or plaque psoriasis, constitutes approximately 80 to 90% of all cases of psoriasis. Psoriasis severity is typically classified by body surface area (“BSA”) involvement: mild (less than 3% BSA), moderate (3% to 10% BSA) and severe (greater than 10% BSA). Based on this classification, approximately 80% of patients with psoriasis in the United States have mild to moderate disease, which is most often amenable to topical treatment.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Atopic dermatitis is the most common type of eczema, affecting more than 9.6 million children and about 16.5 million adults in the United States. It is a chronic condition characterized by dry, itchy skin that often turns into a red rash. Atopic dermatitis can come and go for years or throughout life and can overlap with other types of eczema. Atopic dermatitis has a complex pathophysiology involving genetic, immunologic and environmental factors, culminating in skin barrier dysfunction and immune system dysregulation. The condition occurs most frequently in children (15 to 30% worldwide). Approximately 60% of those who develop atopic dermatitis show symptoms in the first year of life and up to 90% show symptoms by five years of age. While more prevalent in infancy and adolescence, one in ten people will develop atopic dermatitis. Approximately 89% of adult patients have mild to moderate atopic dermatitis, while 11% have severe atopic dermatitis.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TCSs are commonly used as the first-line therapy for the treatment of inflammatory skin conditions, such as psoriasis and atopic dermatitis. They are broadly available in generic form and carry FDA class labeling that restrict their duration of use, typically to no more than four weeks, and their location of use, prohibiting use in sensitive skin areas such as the face, groin, or axillae (armpit). While many people experience improvement with TCS, the continual long-term use of TCS has the potential to cause significant side effects including skin atrophy. As a result, healthcare professionals and patients are limited to intermittent treatment cycles of TCS therapy, leading to frequent disease flares and recurrence of disease, providing an inadequate solution for chronic conditions in immuno-dermatology. Topical calcineurin inhibitors (“TCI”) are an additional non-steroidal option for the topical treatment of atopic dermatitis, but their use is limited by safety concerns, including black box warnings of malignancy reported in patients treated with TCIs. Oral and biologic therapies have become increasingly available but are often limited to moderate-to-severe psoriasis and atopic dermatitis patients which comprise the smallest percentage of the affected populations. While biologics have proven to be very effective, their use has also been limited by concerns with systemic side effects, high cost, and reimbursement and access restrictions. Oral therapies are functionally limited to moderate-to-severe psoriasis patients. Oral therapies also have significant side effects and have not achieved the same level of efficacy as biologics. Additionally, recent FDA action regarding Janus kinase inhibitors (“JAKs”) have resulted in restrictive labeling and black box warnings relating to safety concerns with the product class, including oral and topical forms, and including for the topical treatment of atopic dermatitis.</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Given the limitations associated with TCS, other topicals, orals, and biologics therapies, patients with inflammatory skin conditions often report dissatisfaction with their current treatment options. We see an opportunity for a novel, once daily topical treatment like VTAMA to fill the need for a long-term treatment option for plaque psoriasis and atopic dermatitis. Additionally, we believe that VTAMA has the potential to be used as a complementary therapy with biologics and oral therapies.</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Psoriasis and atopic dermatitis represent the two largest markets in immuno-dermatology and are expected to reach total sales of approximately $31 billion in the U.S. and $44 billion globally by 2026. Topical treatments serve as the foundation of dermatologic treatment, representing 83% of all U.S. prescriptions written by dermatologists in 2020. Annual U.S. prescriptions for both psoriasis and atopic dermatitis are outlined below:</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Vitamin D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TCS</w:t>
            </w:r>
          </w:p>
        </w:tc>
        <w:tc>
          <w:tcPr>
            <w:tcW w:w="9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Combos /</w:t>
            </w:r>
          </w:p>
        </w:tc>
        <w:tc>
          <w:tcPr>
            <w:tcW w:w="9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Biologics</w:t>
            </w:r>
          </w:p>
        </w:tc>
        <w:tc>
          <w:tcPr>
            <w:tcW w:w="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Otezla</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Oral</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Retinoids</w:t>
            </w:r>
          </w:p>
        </w:tc>
        <w:tc>
          <w:tcPr>
            <w:tcW w:w="920" w:type="dxa"/>
            <w:vAlign w:val="bottom"/>
            <w:gridSpan w:val="5"/>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Scripts for PsO (2020)</w:t>
            </w:r>
          </w:p>
        </w:tc>
        <w:tc>
          <w:tcPr>
            <w:tcW w:w="2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~2.35M</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~508K</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~1.05M</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~258K</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~241K</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8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TCS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TCI</w:t>
            </w:r>
          </w:p>
        </w:tc>
        <w:tc>
          <w:tcPr>
            <w:tcW w:w="120" w:type="dxa"/>
            <w:vAlign w:val="bottom"/>
          </w:tcPr>
          <w:p>
            <w:pPr>
              <w:spacing w:after="0"/>
              <w:rPr>
                <w:sz w:val="24"/>
                <w:szCs w:val="2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Eucrisa</w:t>
            </w:r>
          </w:p>
        </w:tc>
        <w:tc>
          <w:tcPr>
            <w:tcW w:w="6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Dupixent</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Scripts for AD (2020)</w:t>
            </w:r>
          </w:p>
        </w:tc>
        <w:tc>
          <w:tcPr>
            <w:tcW w:w="2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~16.4M</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~996K</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~352K</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~344K</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425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860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Source: EvaluatePharma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VTAMA for the Treatment of Psoriasis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Clinical data</w:t>
      </w:r>
    </w:p>
    <w:p>
      <w:pPr>
        <w:spacing w:after="0" w:line="119"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We completed two pivotal Phase 3 clinical trials, PSOARING 1 and PSOARING 2, evaluating the use of VTAMA in treating mild, moderate and severe plaque psoriasis in adults. In both of these trials, which enrolled over 500 patients each, VTAMA met its primary endpoint and all secondary endpoints with clinically meaningful and statistically significant results as well as favorable safety and tolerability findings. At week 12, 35.4% and</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40.2% of patients treated with VTAMA in PSOARING 1 and PSOARING 2, respectively, achieved the primary efficacy endpoint of a Physician Global Assessment (PGA) score of clear (0) or almost clear (1) with a minimum 2-grade improvement from baseline as compared to 6.0% and 6.3% of patients treated with vehicle control cream (p&lt;0.0001; p&lt;0.0001). When this endpoint was evaluated over time, rapid onset of activity was observed with separation emerging by the first evaluation trial visit (week 2) and statistically significant differences between VTAMA and vehicle control cream at week 4 and continuing at all measured time points thereafter.</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VTAMA met all secondary endpoints with statistical significance in PSOARING 1 and PSOARING 2, including a key secondary endpoint, the proportion of subjects with ≥75% improvement in Psoriasis Area and Severity Index (PASI75). In PSOARING 1 and 2, 36.1% and 47.6% of patients achieved PASI75 at Week 12 with VTAMA 1% cream QD vs 10.2% and 6.9% for vehicle control cream, respectively. Additionally, the proportion of patients with ≥90% improvement in Psoriasis Area and Severity Index (PASI90) at Week 12, also a secondary endpoint, was statistically significantly higher in both VTAMA groups compared with vehicle control cream (p=0.0005 and p&lt;0.0001). In PSOARING 1 and PSOARING 2, 18.8% and 20.9% of patients treated with VTAMA, respectively, achieved PASI90 compared to 1.6% and 2.5%, respectively, of patients treated with vehicle control cream. The PASI assessment is a more quantitative assessment of disease activity relative to the PGA and provides additional insight into a drug’s impact on disease modification. Similar to what was observed with PGA, evaluating reduction in the burden of disease via a PASI assessment confirms rapid onset of action with separation of VTAMA from vehicle control cream control at week 2, and statistically significant differences were noted as early as week 4 and each evaluation thereafter.</w:t>
      </w:r>
    </w:p>
    <w:p>
      <w:pPr>
        <w:spacing w:after="0" w:line="19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VTAMA was observed to be well-tolerated, consistent with previous trials, and had low discontinuation rates due to adverse events (“AEs”), no treatment related serious adverse events (“SAEs”), and minimal severe application site reactions.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82"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AEs were generally mild to moderate in nature with the majority consisting of localized skin reactions. Overall trial discontinuations due to adverse events were 5.6% in PSOARING 1 and 5.8% in PSOARING 2. Trial discontinuation rates due to folliculitis were 1.8% in PSOARING 1 and 0.9% in PSOARING 2. No VTAMA-related serious adverse events were observed, and over 90% of eligible patients enrolled in the open-label, long-term extension study. To date, over 2,200 subjects have been enrolled in 18 clinical trials of VTAMA and predecessor formulations of VTAMA cream.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133350</wp:posOffset>
            </wp:positionV>
            <wp:extent cx="5186045" cy="2057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8604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hanging="224"/>
        <w:spacing w:after="0" w:line="258"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PGA of 2 (mild) and PGA of 4 (severe) limited to ~10% each of the total randomized population; ~80% of the total randomized population with PGA of 3 (moderate); †Patients electing not to participate in LTE had follow-up visit 4 weeks after completion of treatment period. BSA, body surface area; LTE, long-term extension; PASI75, ≥ 75% improvement in Psoriasis Area and Severity Index; PASI90, ≥ 90% improvement in Psoriasis Area and Severity Index; PGA, Physician Global Assessment; QD, once daily. 1. Clinicaltrials.gov; NCT03956355. 2. Clinicaltrials.gov; NCT03983980. 3. Clinicaltrials.gov; NCT04053387.</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82"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208280</wp:posOffset>
            </wp:positionV>
            <wp:extent cx="4808855" cy="6875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08855" cy="687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39"/>
          </w:cols>
          <w:pgMar w:left="320" w:top="482"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477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8604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images below show rapid and complete clearance of plaque psoriasis in a patient achieving the defined trial endpoint. At baseline, this patient’s PGA score was 3, indicative of moderate disease, and the PASI score was 17.6. The baseline image demonstrates classic plaque psoriasis with well-demarcated erythematous scaling plaques. At week 4, the PGA had decreased from 3 to 2 and the PASI from 17.6 to 4, the latter having passed the threshold 75% reduction in PASI (PASI75). The target plaques on the forearm completely resolved. At week 12, both the PGA and PASI scores were 0, indicating complete clearance of disease. PGA and PASI are global efficacy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2640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8604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September 2021, we reported the final results from our long-term open-label study, PSOARING 3, which showed that 58.2% of subjects who entered the PSOARING 3 study with a PGA score of ≥ 2 achieved a PGA score of 0 or 1 at least once during the study. Although PSOARING 3 was not a vehicle-controlled study like the PSOARING 1 and PSOARING 2 studies, we believe these data provide supportive evidence regarding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82"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VTAMA’s potential therapeutic effect beyond the 12-week double-blind treatment periods utilized in the prior PSOARING studies. In addition, 312 out of 763 subjects (40.9%) achieved complete disease clearance (PGA score of 0) at least once during the study. We observed no evidence of tachyphylaxis, or a diminishing response to treatment, throughout the study, which we believe suggests treatment durability over time.</w:t>
      </w:r>
    </w:p>
    <w:p>
      <w:pPr>
        <w:spacing w:after="0" w:line="176"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Relatedly, in our clinical trials, including data from our PSOARING 3 long-term open-label study, we have also observed that some patients treated with VTAMA maintained clinically meaningful disease control for an extended period of time after therapy had been discontinued. In PSOARING 3, subjects discontinued applying VTAMA when they achieved complete clearance of their disease (PGA=0). These subjects were then followed, and the time to first worsening (defined as PGA ≥ 2) was utilized to determine the maintenance of clinical benefit off therapy. We refer to maintenance of clear/almost clear (PGA 0/1) while off therapy as remittive effect. At the completion of the Week 12 visit of the PSOARING 1 and PSOARING 2 trials, subjects were offered enrollment in the PSOARING 3 long-term open-label study. Subjects with a PGA ≥ 1 began treatment with VTAMA cream applied QD until they achieved a PGA score of 0. Treatment was then discontinued and re-initiated when a patient’s psoriasis subsequently worsened (PGA ≥ 2).</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PSOARING 3, for subjects entering the study with a PGA score of 0 (79/763), the median time to disease worsening (defined as a PGA score of ≥ 2) following complete disease clearance and treatment discontinuation was approximately 115 days. In addition, among patients entering PSOARING 3 with or achieving a PGA score of 0 (312/763), the mean total duration of time to disease worsening following treatment discontinuation was approximately 130 days. We believe these additional clinical observations confirm the long-term effectiveness of VTAMA cream 1% QD and differentiate it from other topical therapies.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VTAMA for the Treatment of Atopic Dermatitis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Clinical data</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2017, GSK completed a multi-center randomized, double-blind, vehicle cream-controlled Phase 2b clinical trial of VTAMA for the treatment of atopic dermatitis in 247 adult (aged 18 to 65 years) and adolescent (aged 12 to 17 years) patients. Patients were randomized equally to six treatment groups: VTAMA cream 0.5%, VTAMA cream 1% or vehicle cream, each applied to atopic dermatitis lesions either QD or BID. The primary endpoint was the percentage of patients who achieved a minimum two-point improvement in the Investigator Global Assessment (“IGA”) score and an assessment of “clear” or “almost clear” skin at week 12. These cases were considered a “treatment success.” Secondary endpoints included the percentage of patients with at least a 75% improvement in Eczema Area and Severity Index (EASI) from baseline. Efficacy was evaluated in the intent-to-treat (“ITT”) population.</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Overall, the percentage of patients achieving treatment success was much higher for both VTAMA concentrations than vehicle cream, with a robust dose response. 53% of patients who applied VTAMA cream 1% BID and 46% of those who applied it QD were considered a treatment success. This compares favorably to the 24% and 28% of pateints who achieved a treatment success for the BID and QD vehicle cream groups, respectively. At week 12, 60% and 51% of patients treated with VTAMA cream 1% BID and QD, respectively, achieved EASI75. The treatment effect across adults and adolescents was observed to be consistent. Patient-reported outcome data was collected during the Phase 2b clinical trial, including data on reduction in the severity of pruritus. At week 12, more patients treated with VTAMA cream 1% (78% of patients treated BID and 87% of patients treated QD) reported “moderately improved” to “very improved” pruritus, compared to patients treated with vehicle cream (47% of patients treated BID and 64% of patients treated QD).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IGA score 0 or 1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2-grade improvement at Week 8</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Primary Endpoint was at 12 Weeks: Assessed in ITT Population (NRI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160020</wp:posOffset>
            </wp:positionV>
            <wp:extent cx="5186045" cy="2828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8604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IGA response: IGA score of 0 or 1 and a ≥2-grade improvement from baseline.</w:t>
      </w:r>
    </w:p>
    <w:p>
      <w:pPr>
        <w:spacing w:after="0" w:line="250"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Difference versus vehicle cream is statistically significant at p=0.05 level (the 95% confidence interval excludes 0).</w:t>
      </w:r>
    </w:p>
    <w:p>
      <w:pPr>
        <w:spacing w:after="0" w:line="22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VTAMA was observed to be well-tolerated in this Phase 2b trial for atopic dermatitis, with the majority of AEs reported as mild or moderate in severity. In the trial, AEs were considered treatment-related (“TEAEs”) in 10% to 19% of patients across the treatment arms. The most commonly reported TEAEs were folliculitis, application-site pain and atopic dermatitis. TEAEs led to permanent discontinuation of treatment in 4% of dosed patients (seven patients from treatment groups total) compared to 7% of patients receiving vehicle cream (six patients total). Only one patient (tapinarof 1% BID) experienced a SAE of anxiety and hyperactive disorder, which was not considered to be related to treatment.</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Development plan</w:t>
      </w:r>
    </w:p>
    <w:p>
      <w:pPr>
        <w:spacing w:after="0" w:line="119"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color w:val="auto"/>
        </w:rPr>
        <w:t>In September 2021, we dosed our first patent in the ADORING 1 and ADORING 2 trials, two identically designed, multi-center, randomized, vehicle-controlled, double-blind parallel Phase 3 clinical trials of VTAMA for the treatment of atopic dermatitis. We expect to release topline data from these studies in the first half of calendar year 2023. The two trials will enroll up to 800 patients across both trials to evaluate the safety and efficacy of VTAMA cream, 1% dosed once daily for 8 weeks versus vehicle cream QD in patients aged two years and older who have moderate to severe atopic dermatitis. The primary endpoint of both studies will be the percentage of patients achieving a Validated Investigator Global Assessment for Atopic Dermatitis (vIGA-AD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of 0 or 1 with at least a 2-grade improvement from baseline at week 8.</w:t>
      </w:r>
    </w:p>
    <w:p>
      <w:pPr>
        <w:spacing w:after="0" w:line="8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Additionally, we have initiated ADORING 3, a long-term, open-label, extension study to evaluate the safety and efficacy of VTAMA cream 1% in patients with atopic dermatitis. Subjects in the study will include those who have previously completed treatment with VTAMA or vehicle in ADORING 1 or ADORING 2, as well as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subjects who have completed a maximal use PK study, and those pediatric subjects who would not qualify for inclusion in ADORING 1 or 2 due to milder or more severe disease. ADORING 3 will consist of up to 48 weeks of VTAMA cream 1%, and a 7-day safety follow-up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Benefits of VTAMA—Limitations of Current Treatments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VTAMA in plaque psoriasis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VTAMA has several key attributes that position it favorably over current standard of care treatments in plaque psoriasis, including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TCS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160020</wp:posOffset>
            </wp:positionV>
            <wp:extent cx="5186045" cy="2846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8604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Based on the clinically meaningful and statistically significant reduction in psoriasis symptoms VTAMA demonstrated in both Phase 3 trials, coupled with no label restrictions on duration of use and no label safety warnings or precautions, we believe VTAMA will be used broadly and potentially chronically on any skin lesion regardless of location on the body. We believe the Phase 3 data we have generated and the data observed in our open-label, long-term extension study support the chronic use of VTAMA, potentially in place of other topical and oral treatments, for the treatment of mild, moderate and severe plaque psoriasis in adults.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VTAMA’s potential in atopic dermatitis</w:t>
      </w:r>
    </w:p>
    <w:p>
      <w:pPr>
        <w:spacing w:after="0" w:line="11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TCS, especially low-to-mid potency TCS, represent the standard-of-care for atopic dermatitis treatment. Although they are used commonly, TCS pose a specific concern in pediatric patients due to the risk of systemic absorption, hypothalamic-pituitary-adrenal axis suppression, skin thinning and other potential side effects. The increased body surface area to mass ratio in children results in increased absorption and systemic exposure. The American Academy of Dermatology guidelines suggest limiting long-term use of TCS in children to avoid the risk of systemic side effects. As such, 86% of U.S. patients report dissatisfaction with current treatment options for atopic dermatitis according to the National Eczema Association. There is also considerable concern among many parents about treating their children with steroids, which can be an obstacle to treatment for physicians. Due to these risks and patient dissatisfaction, health care providers are less likely to use them long-term in children and also in sensitive skin areas such as the face or diaper/groin area. In addition, topical PDE4 inhibitors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developed to treat atopic dermatitis have been associated with side effects including application site burning and stinging. Topical calcineurin inhibitors are an additional non-steroidal option for the topical treatment of atopic dermatitis; however, their use has been limited by safety including boxed warnings of malignancy (e.g., skin and lymphoma) having been reported in patients treated with topical calcineurin inhibitors.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Patients whose disease flares despite topical treatments may be prescribed systemic agents such as oral corticosteroids or oral cyclosporine to rapidly relieve severe signs and symptoms of the disease. While these are effective as temporary treatments of flare-ups, extended use has been associated with many potential side effects or adverse events. Systemic steroids, such as prednisone, can lead to symptom relief, but their use is not recommended to induce stable remission due to numerous side effects associated with steroids and the propensity of severe disease flares upon abrupt treatment cessation. Cyclosporine is also generally not recommended for use lasting longer than one to two years, as it has been associated with renal toxicity, hirsutism, nausea and lymphoma. Based on data from the 2014 Adelphi U.S. AD Disease Specific Program, over 58% of adults with moderate-to-severe atopic dermatitis have disease which physicians consider to be inadequately controlled by these therapeutic modalities. While biologic therapies are more efficacious, as is the case in psoriasis, use of therapies such as the recently approved Dupixent is limited to patients with significant disease burden as they are expensive, necessitate frequent injections, entail regular physician appointments, have potential systemic toxicities and often require laboratory monitoring. Additionally, recent FDA action regarding JAK inhibitors has resulted in restrictive labeling and black box warnings relating to safety concerns with the product class, both oral and topical forms, including for the topical treatment of atopic dermatitis.</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believe VTAMA has the potential to fill the need for a long-term treatment option for atopic dermatitis. We also believe that VTAMA has the potential to offer significant clinical advancement to address the incessant flare cycle experienced by atopic dermatitis patients that is the result of the short-term use limitation of standard-of-care TCS.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VTAMA sales and marketing potential in atopic dermatitis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VTAMA is approved by the FDA for the treatment of atopic dermatitis, we plan to expand our psoriasis sales team to be able to reach additional specialists who see a significant amount of atopic dermatitis patients, such as pediatric dermatologists and allergists. Based on our commercial team’s experience developing and launching dermatology products in U.S., we believe we can effectively reach the psoriasis and atopic dermatitis core target base with a highly specialized sales team of 125 to 150 total sales representatives.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DMVT-506 for Immunology and Inflammatory Diseases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DMVT-506 is an early stage drug candidate that is a novel AhR agonist with a similar activity profile to VTAMA. We are evaluating DMVT-506 as a potential differentiated treatment option for immunology and inflammatory diseases. DMVT-506 is a unique, new chemical entity protected by a composition of matter patent having a natural expiration date in 2041.</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Immunovant Overview</w:t>
      </w:r>
    </w:p>
    <w:p>
      <w:pPr>
        <w:spacing w:after="0" w:line="252" w:lineRule="exact"/>
        <w:rPr>
          <w:sz w:val="20"/>
          <w:szCs w:val="20"/>
          <w:color w:val="auto"/>
        </w:rPr>
      </w:pPr>
    </w:p>
    <w:p>
      <w:pPr>
        <w:ind w:left="540" w:hanging="316"/>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p>
    <w:p>
      <w:pPr>
        <w:spacing w:after="0" w:line="134" w:lineRule="exact"/>
        <w:rPr>
          <w:rFonts w:ascii="Times New Roman" w:cs="Times New Roman" w:eastAsia="Times New Roman" w:hAnsi="Times New Roman"/>
          <w:sz w:val="18"/>
          <w:szCs w:val="18"/>
          <w:b w:val="1"/>
          <w:bCs w:val="1"/>
          <w:color w:val="auto"/>
        </w:rPr>
      </w:pPr>
    </w:p>
    <w:p>
      <w:pPr>
        <w:ind w:left="1080" w:right="700" w:hanging="424"/>
        <w:spacing w:after="0" w:line="282"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Immunovant is developing batoclimab for the treatment of Myasthenia Gravis (“MG”), Thyroid Eye Disease (“TED”) and Warm Autoimmune Hemolytic Anemia (“WAIHA”).</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Lead program:</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Batoclimab is a novel, fully human monoclonal antibody targeting the neonatal fragment crystallizable receptor (“FcRn”).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to be optimized as a simple, self-administered subcutaneous (“SC”) injection with dosing that we believe can be tailored based on disease severity and stage.</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nonclinical studies and in clinical trials conducted to date, batoclimab has been observed to reduce immunoglobulin G (“IgG”) antibody levels. High levels of pathogenic IgG antibodies drive a variety of autoimmune diseases and, as a result, we believe batoclimab has the potential for broad application in related disease areas.</w:t>
      </w:r>
    </w:p>
    <w:p>
      <w:pPr>
        <w:spacing w:after="0" w:line="7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Disease overview:</w:t>
      </w:r>
    </w:p>
    <w:p>
      <w:pPr>
        <w:spacing w:after="0" w:line="134" w:lineRule="exact"/>
        <w:rPr>
          <w:rFonts w:ascii="Times New Roman" w:cs="Times New Roman" w:eastAsia="Times New Roman" w:hAnsi="Times New Roman"/>
          <w:sz w:val="18"/>
          <w:szCs w:val="18"/>
          <w:b w:val="1"/>
          <w:bCs w:val="1"/>
          <w:color w:val="auto"/>
        </w:rPr>
      </w:pPr>
    </w:p>
    <w:p>
      <w:pPr>
        <w:ind w:left="1080" w:right="160" w:hanging="424"/>
        <w:spacing w:after="0" w:line="282"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 is an autoimmune disorder associated with muscle weakness and fatigue. The estimated prevalence of MG is 17.8 per 100,000, with up to 59,000 people in the U.S., and 24.2 per 100,000, or approximately 126,000 cases in Europe.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TED is an autoimmune inflammatory disorder that affects the muscles and tissues surrounding the eyes, and in severe cases can be sight-threatening. TED has an estimated annual incidence of 9.7 in 100,000 in the U.S. and 4.8 in 100,000 Europe.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WAIHA is a rare hematologic disease in which autoantibodies mediate hemolysis, or the destruction of red blood cells (“RBCs”), affecting approximately 40,000 patients in the U.S. and 71,000 patients in Europe.</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of current treatments:</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Early-stage disease: corticosteroids and immunosuppressants.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Later-stage disease: intravenous immunoglobulin (“IVIg”), or plasma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Approaches are limited by delayed onset of action, waning therapeutic benefit over time and unfavorable safety profiles.</w:t>
      </w:r>
    </w:p>
    <w:p>
      <w:pPr>
        <w:spacing w:after="0" w:line="126"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Clinical data:</w:t>
      </w:r>
    </w:p>
    <w:p>
      <w:pPr>
        <w:spacing w:after="0" w:line="134" w:lineRule="exact"/>
        <w:rPr>
          <w:rFonts w:ascii="Times New Roman" w:cs="Times New Roman" w:eastAsia="Times New Roman" w:hAnsi="Times New Roman"/>
          <w:sz w:val="18"/>
          <w:szCs w:val="18"/>
          <w:b w:val="1"/>
          <w:bCs w:val="1"/>
          <w:color w:val="auto"/>
        </w:rPr>
      </w:pPr>
    </w:p>
    <w:p>
      <w:pPr>
        <w:jc w:val="both"/>
        <w:ind w:left="1080" w:right="80" w:hanging="424"/>
        <w:spacing w:after="0" w:line="282"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highest dose cohorts in the Phase 1 clinical trial, four weekly SC administrations of 680 mg resulted in a mean maximum reduction of serum IgG levels of 78%, with a standard deviation of 2%. Injection site reactions were similar between batoclimab and placebo arms.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we voluntarily paused dosing in our early phase clinical studies to evaluate batoclimab-induced elevations in total cholesterol and low density lipoprotein (“LDL”) levels observed in some trial subjects. After evaluation of the available safety data and following discussions with multiple regulatory agencies, we are continuing the clinical development of batoclimab.</w:t>
      </w:r>
    </w:p>
    <w:p>
      <w:pPr>
        <w:spacing w:after="0" w:line="81"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we initiated an open-label, single-arm Phase 2a clinical trial of batoclimab for the treatment of TED. The majority of subjects (four of seven) evaluated at the end of treatment experienced a greater than or equal to 2-point improvement in clinical activity score (CAS) and three of seven subjects were proptosis responders, defined as a greater than or equal to 2mm reduction in proptosis in the study eye. In 2019, we initiated a randomized, masked, placebo-controlled Phase 2b clinical trial of batoclimab in TED. Our voluntary pause in dosing in February 2021 resulted in unblinding this trial and the primary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82"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endpoint was not significant. However, our analysis of exploratory endpoints from this trial increased our confidence in the anti-FcRn mechanism of action for patients with TED, and they provide part of the basis for our interest in moving forward with further development of in this indication.</w:t>
      </w:r>
    </w:p>
    <w:p>
      <w:pPr>
        <w:spacing w:after="0" w:line="81" w:lineRule="exact"/>
        <w:rPr>
          <w:sz w:val="20"/>
          <w:szCs w:val="20"/>
          <w:color w:val="auto"/>
        </w:rPr>
      </w:pPr>
    </w:p>
    <w:p>
      <w:pPr>
        <w:ind w:left="1080" w:right="20" w:hanging="424"/>
        <w:spacing w:after="0" w:line="266" w:lineRule="auto"/>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we initiated a multi-center, randomized, blinded, placebo-controlled Phase 2a clinical trial of batoclimab for the treatment of MG. As evaluated in a pre-specified, pooled analysis of 15 subjects who completed Day 42 of the trial, batoclimab-treated subjects (N=10) showed a clinical improvement in both the MG-ADL scale and the MGC scale.</w:t>
      </w:r>
    </w:p>
    <w:p>
      <w:pPr>
        <w:spacing w:after="0" w:line="7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line="266" w:lineRule="auto"/>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in December 2021, we achieved alignment with the FDA Division of Neurology 1 to move forward with our pivotal trial of batoclimab as a treatment for MG. We have initiated our Phase 3 study in MG which is now open for enrollment. We expect top-line data from this Phase 3 trial to be available in the second half of calendar year 2024.</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initiate two Phase 3 clinical trials to evaluate batoclimab for the treatment of TED in the second half of calendar year 2022, and we expect top-line results from both Phase 3 trials to be available in the first half of calendar year 2025.</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announce two new indications by August 2022, and we expect one of the three indications, including WAIHA, to be initiated as a pivotal trial in calendar year 2022.</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63% of the issued and outstanding shares of Immunovant common stock and 58% on a fully diluted basis.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Batoclimab</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Batoclimab is a novel, fully human monoclonal antibody that selectively binds to and inhibits FcRn. In nonclinical studies and in clinical trials conducted to date, batoclimab has been observed to reduce IgG antibody levels. High levels of pathogenic IgG antibodies drive a variety of autoimmune diseases and, as a result, we believe batoclimab has the potential for broad application in these disease areas.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to generating clinically meaningful IgG reductions, batoclimab has been designed from inception to be a fixed-dose, self-administered SC injection on a convenient weekly, or less frequent, dosing schedule. Batoclimab has been dosed in small volumes (e.g., 2 mL) and with a 27-gauge needle, while still generating therapeutically relevant pharmacodynamic activity, important attributes that we believe will drive patient preference and market adoption. We believe that batoclimab, if developed and approved for commercial sale, would be differentiated from currently available, more invasive treatments for advanced IgG-mediated autoimmune diseases. The patent family directed to the composition of matter of batoclimab has a natural projected expiration date in 2035 in the U.S. and in foreign jurisdictions.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several nonclinical studies and in a multi-part Phase 1 clinical trial in healthy volunteers, intravenous and SC delivery of batoclimab was generally well tolerated and demonstrated dose-dependent IgG antibody reductions. In the highest dose cohorts in the Phase 1 clinical trial, four weekly SC administrations of 680 mg resulted in a mean maximum reduction of serum IgG levels of 78%, with a standard deviation of 2%. Injection site reactions were similar between batoclimab and placebo arms.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Mechanism of action</w:t>
      </w:r>
    </w:p>
    <w:p>
      <w:pPr>
        <w:spacing w:after="0" w:line="119"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neonatal fragment crystallizable receptor, or FcRn plays a pivotal role in preventing the degradation of IgG antibodies. The physiologic function of FcRn is to modulate the catabolism of IgG antibodies. FcRn intercepts IgG, which would otherwise be degraded in lysosomes. The FcRn-IgG complex is then recycled to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cell surface and free IgG is released back into circulation. Anti-FcRn antibodies bind to FcRn, thereby preventing it from recycling IgG antibodies back to circulation. As a result, IgG is increasingly delivered to lysosomes for degradation. The inhibition of FcRn, such as through use of an anti-FcRn antibody, has been shown to reduce levels of pathogenic IgG antibodies, suggesting utility in the many autoimmune diseases associated with high levels of such IgG antibodies.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Batoclimab for the Treatment of MG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MG overview</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MG is an autoimmune disorder associated with muscle weakness and fatigue. MG patients develop antibodies that lead to an immunological attack on critical signaling receptor proteins at the junction between nerve and muscle cells, thereby inhibiting the ability of nerves to communicate properly with muscles. This leads to muscle weakness intensified by activity, which can be localized exclusively to ocular muscles or which can be more generalized throughout the body including muscles of respiration. Patients with localized ocular disease suffer from more limited symptoms, including droopy eyelids and blurred or double vision due to compromise of eye movements. The vast majority of MG patients demonstrate elevated serum levels of acetylcholine receptor (“AChR”) antibodies which disrupt signal transmission between nerve fibers and muscle fibers. These antibodies ultimately lead to fluctuating muscle weakness and fatigue.</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prevalence of MG is estimated to be 17.8 per 100,000, with up to 59,000 cases in the U.S. Third-party studies estimate the prevalence in Europe for MG as 24.2 per 100,000, or approximately 126,000 cases. MG can occur at any age; however, the age of onset tends to follow a bimodal distribution. Early onset disease usually occurs in individuals between 10 to 30 years old and predominantly affects females. Later onset disease usually occurs in individuals over 50 years old and predominantly affects males. As with many autoimmune diseases, there are no known genetic alterations that specifically cause MG, and in most patients, it arises spontaneously. Approximately 3% of patients have a primary relative with MG, suggesting that there are genetic factors that may predispose development of the disease, but these genes have yet to be identified.</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symptoms of the disease can be transient and in the early stages of the disease can remit spontaneously. However, as the disease progresses, symptom-free periods become less frequent and disease exacerbations can last for months or remain chronic. After 15 to 20 years, some weakness often becomes fixed, with the most severely affected muscles frequently becoming atrophic. Many patients find it difficult to perform daily activities due to both insufficient improvement in symptoms even after treatment and in some the complicating long-term side effects of oral corticosteroids, a common treatment for MG. Approximately 15% to 20% of MG patients will experience at least one myasthenic crisis over their lifetimes. During myasthenic crisis, the impairment of muscles required to breathe can become life-threatening, leading to death in approximately 2% to 5% of cases. Up to 90% of patients in myasthenic crisis require intubation and mechanical ventilation leading to hospital stays lasting a median of 17 days. Over half of the patients who survive such a crisis remain functionally dependent upon discharge from the hospital.</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Very early stage MG is symptomatically treated with acetylcholinesterase inhibitors such as pyridostigmine. As the disease progresses, patients are typically treated with immunosuppressive agents such as glucocorticoids, azathioprine, mycophenolate mofetil and cyclosporine. Thymectomy may be indicated for treatment in patients with evidence of a thymoma and can be considered for treatment in some younger patients who do not have evidence of thymoma. As MG becomes more advanced, patients can be treated during exacerbations with IVIg, which provides therapeutic benefit through multiple potential mechanisms including the saturation of FcRn. Physicians direct patients with more advanced chronic disease and patients in times of crisis to therapies that reduce levels of circulating IgG antibodies via plasma exchange or a variant of this plasma exchange, immunoadsorption. The most recent agents approved for MG are eculizumab and ravulizumab-cwvz, two complement C5 inhibitors, the use of which are limited to patients refractory to available therapy with anti-AChR-positive MG. Efgartigimod, an anti-FcRn antibody fragment, was recently approved for the treatment of MG in adult patients who are anti-acetylcholine receptor (AChR) antibody positive. We believe there is room 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improve upon this current treatment paradigm for MG, as some of these treatments can leave patients with burdensome administration requirements, significant side effects or long wait times to see treatment effect.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Clinical data</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2019, we initiated a multi-center, randomized, blinded, placebo-controlled Phase 2a clinical trial of batoclimab for the treatment of MG. As evaluated in a pre-specified, pooled analysis of 15 subjects who completed Day 42 of the trial, batoclimab-treated subjects (N=10) showed a clinical improvement in both the MG-ADL scale and the MGC scale. We believe, based upon our review of data from this Phase 2a trial of batoclimab in MG, that there is sufficient proof of concept to pursue a pivotal trial to evaluate batoclimab for the treatment of MG.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Development plan</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in December 2021, we achieved alignment with the FDA Division of Neurology 1 to move forward with our pivotal trial of batoclimab as a treatment for MG. We have initiated our Phase 3 study in MG which is now open for enrollment. We expect top-line data from this Phase 3 trial to be available in the second half of calendar year 2024.</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trial is designed to address unmet patient needs and differentiate batoclimab from other treatments. Key features of the trial include:</w:t>
      </w:r>
    </w:p>
    <w:p>
      <w:pPr>
        <w:spacing w:after="0" w:line="131" w:lineRule="exact"/>
        <w:rPr>
          <w:sz w:val="20"/>
          <w:szCs w:val="20"/>
          <w:color w:val="auto"/>
        </w:rPr>
      </w:pPr>
    </w:p>
    <w:p>
      <w:pPr>
        <w:ind w:left="1080" w:right="2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12-week Induction Period: Includes doses of 680 mg SC injection weekly (“SC QW”) or anchor dose of 340 mg SC QW compared to placebo. The objective is to achieve maximum efficacy at the beginning of treatment and determine the potential benefit of 680 mg SC QW (i.e., speed and depth of clinical response).</w:t>
      </w:r>
    </w:p>
    <w:p>
      <w:pPr>
        <w:spacing w:after="0" w:line="81" w:lineRule="exact"/>
        <w:rPr>
          <w:rFonts w:ascii="Times New Roman" w:cs="Times New Roman" w:eastAsia="Times New Roman" w:hAnsi="Times New Roman"/>
          <w:sz w:val="18"/>
          <w:szCs w:val="18"/>
          <w:color w:val="auto"/>
        </w:rPr>
      </w:pPr>
    </w:p>
    <w:p>
      <w:pPr>
        <w:jc w:val="both"/>
        <w:ind w:left="1080" w:right="3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12-week Maintenance Period: Includes anchor doses of 340 mg SC QW and 340 mg SC injection once every two weeks compared to placebo to assess lower effective maintenance doses with potentially fewer side effects related to long term IgG suppression or serum analyte changes.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52-week Long Term Extension: Includes long term safety assessment of the 2 maintenance doses; also includes tailored dosing allowing for treatment of disease exacerbations with short-term, re-induction dosing of batoclimab (680 mg SC QW x 4 weeks) followed by resumption of 340 mg SC QW.</w:t>
      </w:r>
    </w:p>
    <w:p>
      <w:pPr>
        <w:spacing w:after="0" w:line="1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MG Phase 3 Trial Design (N ~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19685</wp:posOffset>
            </wp:positionV>
            <wp:extent cx="3926205" cy="213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2620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QW = weekly, Q2W = once every two weeks, SC = subcutaneous injection</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320" w:top="482"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Batoclimab for the Treatment of TED</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TED overview</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TED, also referred to as Graves’ Ophthalmopathy or GO, is a sight-threatening autoimmune inflammatory disorder that affects the muscles and tissues surrounding the eyes. Initial symptoms may include a dry and gritty ocular sensation, sensitivity to light, excessive tearing, double vision, and a sensation of pressure behind the eyes. At diagnosis, many patients with TED have retraction of their upper eyelids, swelling and redness surrounding the eyes, and protrusion of their eyeballs (proptosis). In some cases, swelling and stiffness of the eye muscles prevent the eyes from working together causing double vision. Approximately 3% to 5% of TED patients have a severe manifestation of the disease causing intense pain, inflammation, sight-threatening corneal ulcers, or optic neuropathy requiring surgical intervention. Decompression surgery to improve ocular function or rehabilitative surgery to improve quality of life is required in up to 20% of TED patients.</w:t>
      </w:r>
    </w:p>
    <w:p>
      <w:pPr>
        <w:spacing w:after="0" w:line="18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TED is most commonly caused by IgG autoantibodies that form against the thyroid-stimulating hormone receptor (“TSHR”). These anti-TSHR antibodies activate cells in the extraocular space that highly express TSHR, such as fibroblasts and adipocytes. Fibroblast activation causes cell proliferation and the production of hyaluronan, a substance that contributes directly to the swelling associated with TED. Hyaluronan also serves as an inflammatory signal leading to the synthesis of cytokines that cause recruitment of lymphocytes leading to extensive tissue inflammation and remodeling. Adipocyte activation leads to hyperplasia of the adipose tissue surrounding the eye causing protrusion of the eyeballs and compression of the optic nerve. Levels of anti-TSHR autoantibodies correlate positively with clinical features of TED and influence its prognosis. Exposure to other inflammatory agents, such as cigarette smoke, leads to exacerbation of the disease resulting in more severe symptoms.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to anti-TSHR autoantibodies, antibodies that activate the insulin-like growth factor 1 receptor (“IGF1R”) may also contribute to TED. TSHR and IGF1R have functional overlaps and stimulation of either receptor may lead to activation of similar biochemical pathways implicated in TED. Published studies investing this pathway have led to the discovery that the IGF1R and TSHR form a receptor complex where IGF1R can augment the signaling of TSHR. The exact nature of the interaction between IGF1R and TSHR continues to be investigated; however, experimental evidence suggests that the effects of TSHR stimulating antibodies are only partially blocked by an IGF1R antagonist while they may be completely blocked with a TSHR antagonist.</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TED has an estimated annual incidence of 9.7 in 100,000 in the U.S. and 4.8 in 100,000 in Europe. The natural history of TED begins with an inflammatory phase lasting between six and 24 months that is characterized by lymphocyte infiltration, fibroblast proliferation and increases in adipose tissue. The first line of treatment for TED patients is generally immunosuppressive therapy, including high doses of corticosteroids. Treatment of patients with immunosuppressive therapies during this active inflammatory phase can lead to reduction in symptoms and can alter the course of the disease. However, once the initial inflammatory phase is over, immunosuppressive therapies are ineffective and levels of fibrosis that have developed as the result of acute inflammation are only reversible by surgery. We estimate that 15,000 to 20,000 patients in the United States have active inflammatory TED each year and are eligible for treatment with therapy directed at the causative anti-TSHR antibodies.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first option, patients with active TED are treated with immunosuppressive therapy such as high doses of corticosteroids, typically administered intravenously or orally. Corticosteroids are not effective in all patients, and approximately one-third of patients will relapse. This therapy is associated with an increased risk of acute and severe organ damage, bone thinning, weight gain, diabetes, hypertension, osteoporosis and depression. In January 2020, the FDA approved Horizon Therapeutics’ Tepezza (teprotumumab), an anti-IGF-1R antibody, for the treatment of TED.</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Orbital radiation therapy is used as a means of reducing the infiltration of lymphocytes and can be used in conjunction with corticosteroids or immunosuppressive therapy. Similar to these anti-inflammatory and immunosuppressive drugs, radiation therapy is most effective in the active stage of 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Patients with moderate-to-severe active TED not responding to corticosteroids can be treated with cyclosporine or mycophenolate mofetil, two broad immunosuppressive drugs. These drugs are associated with numerous side effects related both to their general immunosuppressive effects as well as to inherent toxicities, such as hypertension, kidney disease and gastrointestinal toxicity.</w:t>
      </w:r>
    </w:p>
    <w:p>
      <w:pPr>
        <w:spacing w:after="0" w:line="176"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Small case studies have identified rituximab as an alternate way of inducing immunosuppression in patients with TED. Rituximab (Roche) is a monoclonal antibody that binds to an antigen specific to B cells, leading to their destruction. However, rituximab is associated with the potential for serious side effects, such as infusion-related reactions. Rare cases of progressive multifocal encephalopathy and other viral infections have also been reported.</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Surgery is considered to be a treatment option in patients with a highly active disease who have been treated with corticosteroids or immunosuppressive therapy but continue to have progressive disease. The goal of surgery is to reduce the pressure causing proptosis, reduced eye movement and loss of visual acuity. Because of its invasive nature, surgery is typically reserved for inactive disease.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Clinical data</w:t>
      </w:r>
    </w:p>
    <w:p>
      <w:pPr>
        <w:spacing w:after="0" w:line="11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2019, we initiated an open-label, single-arm Phase 2a clinical trial of batoclimab for the treatment of TED. The majority of subjects (four of seven) evaluated at the end of treatment experienced a greater than or equal to 2-point improvement in clinical activity score (CAS). Three of seven subjects were proptosis responders; a proptosis response was defined as a greater than or equal to 2mm improvement in the study eye.</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2019, we initiated a randomized, masked, placebo-controlled Phase 2b clinical trial of batoclimab in TED. Our voluntary pause in dosing in February 2021 resulted in unblinding this trial and the primary endpoint was not significant. However, our analysis of exploratory endpoints from this trial increased our confidence in the anti-FcRn mechanism of action for patients with TED, and they provide part of the basis for our interest in moving forward with further development of 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Development plan</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recently achieved alignment with the FDA Division of Ophthalmology to move forward in TED. We plan to initiate two Phase 3 clinical trials to evaluate batoclimab for the treatment of TED in the second half of calendar year 2022. For each of the two Phase 3 trials of batoclimab in TED, we expect that approximately 100 subjects will enter the trial and be randomized to either a treatment arm or placebo arm. Subjects randomized to the treatment arm will be dosed with 680 mg of batoclimab QW for 12 weeks followed by 340 mg of batoclimab QW for 12 weeks. This batoclimab-treated group of subjects will be compared to subjects that are dosed with placebo QW for 24 weeks. This treatment period will last for 24 weeks and the primary efficacy endpoint will be measured as proptosis responders at Week 24 vs placebo where responders are defined as ≥ 2 mm reduction from baseline in proptosis in the study eye without deterioration of ≥ 2 mm increase in the fellow eye. We expect top-line results from both Phase 3 trials to be available in the first half of calendar year 2025.</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Batoclimab for the Treatment of WAIHA</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WAIHA overview</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WAIHA is a rare hematologic disease in which autoantibodies mediate hemolysis, or the destruction of red blood cells (“RBCs”). The clinical presentation is variable and most commonly includes non-specific symptoms of anemia such as fatigue, weakness, skin paleness and shortness of breath. Symptoms typically develop chronically over several weeks to months; however rapid progression over a span of days has also been observed.</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severe cases, hemoglobin levels are unable to meet the body’s oxygen demand, which can lead to heart attacks, heart failure and even death. Though the exact causes of WAIHA are unknown, roughly half of cases occur in patients with an underlying lymphoproliferative or autoimmune disease, most commonly chronic lymphocytic leukemia, rheumatoid arthritis, or systemic lupus erythematosus.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WAIHA, autoantibodies react with surface proteins on RBCs at temperatures at or above 37° Celsius, or normal body temperature. These antibodies are of the IgG subtype in most patients. WAIHA is differentiated from cold autoimmune hemolytic anemia, or cold agglutinin disease, which shares a similar clinical presentation but is triggered by autoantibodies that react at temperatures below 37° Celsius. In WAIHA, antibody-coated RBCs are removed from circulation primarily in the spleen, where they are destroyed by macrophages. Studies have suggested the severity of WAIHA correlates with the amount and potency of autoantibodies present.</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annual incidence of WAIHA in the United States and Europe is estimated at one to three in 100,000 persons. Based on published estimates, we believe that there are approximately 40,000 patients in the U.S. and 71,000 patients in Europe living with WAIHA. The disease may be more common in females, with some sources suggesting a 2:1 female predominance. Peak incidence occurs during the sixth and seventh decades of life, however, WAIHA can occur in children as well.</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High doses of corticosteroids (&gt;1 mg/kg of prednisone) are typically the first-line treatment option for WAIHA and lead to initial disease control in approximately 70-85% of cases. Once initial disease control is achieved, doses of steroids are tapered. However, only 33% of patients maintain sustained disease control once steroids are discontinued and, as a result, the majority of patients will require either long-term steroid treatment or additional therapies.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Patients with persistent disease despite use of corticosteroids and rituximab may be offered a course of other immunosuppressive drugs, such as cyclophosphamide, mycophenolate mofetil or azathioprine sirolimus.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RBC transfusions are indicated in patients who require immediate stabilization. Such patients are monitored closely for evidence of a transfusion reaction. In contrast to other treatment modalities that lead to nonspecific suppression of the immune system, batoclimab may offer a more targeted approach for reducing levels of the causative IgG species responsible for most cases of WAIHA. We believe this could provide a favorable therapeutic window and avoid the significant side effects associated with less targeted immunosuppression.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Development plan</w:t>
      </w:r>
    </w:p>
    <w:p>
      <w:pPr>
        <w:spacing w:after="0" w:line="11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Following expected discussions with the hematology division of the FDA, we intend to initiate a randomized, placebo-controlled study of batoclimab as a treatment for WAIHA.</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40"/>
          </w:cols>
          <w:pgMar w:left="320" w:top="482"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Batoclimab and Atorvastatin drug-drug interaction (“DDI”) trial</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March 2022, we announced that we initiated a Phase 1 DDI study in healthy volunteers to characterize the PK profile of atorvastatin (40 mg daily (“q day”) with and without the coadministration of batoclimab 680 mg SC QW (see figure below). Key secondary objectives are to compare the change from baseline in lipid levels observed with SC QW batoclimab (680 mg or 340 mg SC) alone or in combination with varying doses of atorvastatin. Preliminary results from the initial 2 cohorts dosed in the study (680 mg SC QW with and without 40 mg atorvastatin q day) suggest that, at these doses, atorvastatin negates the batoclimab-induced increase in LDL-cholesterol. We believe, based on these preliminary data and feedback from physicians, that a batoclimab-induced increase in LDL-cholesterol can be managed with anti-lipid therapy as needed. Results from the additional cohorts studied are expected to be available by the end of calendar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148590</wp:posOffset>
            </wp:positionV>
            <wp:extent cx="3437255" cy="2417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3725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QW = weekly, QD = daily, SC = subcutaneous injection</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New Indications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continue to evaluate potential new indications for batoclimab by considering a number of factors including, but not limited to, degree of unmet medical need, potential benefit offered by the treatment, target patient population size, and commercial potential.</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identified additional attractive indications with high unmet need and scientific rationale for anti-FcRn therapy. We also believe that certain indications with existing anti-FcRn programs offer a significant opportunity to provide unique patient benefits and therefore represent a strong potential opportunity. As previously disclosed, we plan to announce two new indications by August 2022.</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Proteovant Overview</w:t>
      </w:r>
    </w:p>
    <w:p>
      <w:pPr>
        <w:spacing w:after="0" w:line="252" w:lineRule="exact"/>
        <w:rPr>
          <w:sz w:val="20"/>
          <w:szCs w:val="20"/>
          <w:color w:val="auto"/>
        </w:rPr>
      </w:pPr>
    </w:p>
    <w:p>
      <w:pPr>
        <w:ind w:left="540" w:hanging="316"/>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p>
    <w:p>
      <w:pPr>
        <w:spacing w:after="0" w:line="134" w:lineRule="exact"/>
        <w:rPr>
          <w:rFonts w:ascii="Times New Roman" w:cs="Times New Roman" w:eastAsia="Times New Roman" w:hAnsi="Times New Roman"/>
          <w:sz w:val="18"/>
          <w:szCs w:val="18"/>
          <w:b w:val="1"/>
          <w:bCs w:val="1"/>
          <w:color w:val="auto"/>
        </w:rPr>
      </w:pPr>
    </w:p>
    <w:p>
      <w:pPr>
        <w:ind w:left="1080" w:right="320" w:hanging="424"/>
        <w:spacing w:after="0" w:line="282"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Proteovant is focused on the discovery and development of a robust pipeline of protein degraders targeting indications in oncology and immunology.</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Protein degradation:</w:t>
      </w:r>
    </w:p>
    <w:p>
      <w:pPr>
        <w:spacing w:after="0" w:line="134" w:lineRule="exact"/>
        <w:rPr>
          <w:rFonts w:ascii="Times New Roman" w:cs="Times New Roman" w:eastAsia="Times New Roman" w:hAnsi="Times New Roman"/>
          <w:sz w:val="18"/>
          <w:szCs w:val="18"/>
          <w:b w:val="1"/>
          <w:bCs w:val="1"/>
          <w:color w:val="auto"/>
        </w:rPr>
      </w:pPr>
    </w:p>
    <w:p>
      <w:pPr>
        <w:jc w:val="both"/>
        <w:ind w:left="1080" w:right="160" w:hanging="424"/>
        <w:spacing w:after="0" w:line="266"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Protein degraders are a novel class of small molecules that target and destroy cellular proteins, rather than inhibiting them. Degraders are engineered to induce the degradation of specific disease-causing proteins through the ubiquitin-proteasome system, which ordinarily tags and degrades proteins that have been misfolded or have already fulfilled their biological function.</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heterobifunctional degraders, the protein ligand domain, commonly referred to as a “warhead,” targets the specific protein of interest. At the other end of the complex, the ligase ligand recruits a specific E3 ubiquitin ligase. Both ends of the complex are connected by a linker that orients the target protein and E3 ligase in a cooperative ternary complex, driving ubiquitination. Similar to heterobifunctional degraders, molecular-glue-type degraders are small molecules that induce a novel interaction between a ligand of an E3 ubiquitin ligase and a target protein, leading to proteolysis of the target via the ubiquitin-proteasome system.</w:t>
      </w:r>
    </w:p>
    <w:p>
      <w:pPr>
        <w:spacing w:after="0" w:line="88"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degraders represent a promising new approach to drug previously “undruggable” targets and transform the treatment of diseases with significant unmet medical need. Degraders open a new set of opportunities for small molecule drug development and have multiple distinct potential advantages over inhibitors, including that they:</w:t>
      </w:r>
    </w:p>
    <w:p>
      <w:pPr>
        <w:spacing w:after="0" w:line="81"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bound by “inhibitory” requirements, meaning they can target historically “undruggable” proteins, including transcription factors and scaffolding proteins that lack a catalytic pocket;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achieve efficacy at lower doses to decrease off-target dose-limiting toxicities;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demonstrated protein depletion in tumors that have shown resistance to specific inhibitors.</w:t>
      </w:r>
    </w:p>
    <w:p>
      <w:pPr>
        <w:spacing w:after="0" w:line="126"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Proteovant’s degrader strategy:</w:t>
      </w:r>
    </w:p>
    <w:p>
      <w:pPr>
        <w:spacing w:after="0" w:line="121" w:lineRule="exact"/>
        <w:rPr>
          <w:sz w:val="20"/>
          <w:szCs w:val="20"/>
          <w:color w:val="auto"/>
        </w:rPr>
      </w:pPr>
    </w:p>
    <w:p>
      <w:pPr>
        <w:ind w:left="1100" w:right="520"/>
        <w:spacing w:after="0" w:line="312" w:lineRule="auto"/>
        <w:rPr>
          <w:sz w:val="20"/>
          <w:szCs w:val="20"/>
          <w:color w:val="auto"/>
        </w:rPr>
      </w:pPr>
      <w:r>
        <w:rPr>
          <w:rFonts w:ascii="Times New Roman" w:cs="Times New Roman" w:eastAsia="Times New Roman" w:hAnsi="Times New Roman"/>
          <w:sz w:val="17"/>
          <w:szCs w:val="17"/>
          <w:color w:val="auto"/>
        </w:rPr>
        <w:t>Proteovant is positioned for leadership in the field of targeted protein degradation given its long-term sponsored research agreement (“SRA”) with a leading academic lab, its internal R&amp;D capabilities, as well as degrader-specific machine learning capabilities.</w:t>
      </w:r>
    </w:p>
    <w:p>
      <w:pPr>
        <w:spacing w:after="0" w:line="45" w:lineRule="exact"/>
        <w:rPr>
          <w:sz w:val="20"/>
          <w:szCs w:val="20"/>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Proteovant is leveraging leading protein degrader capabilities via its SRA with the lab of Dr. Shaomeng Wang, a world-renowned scientist focused on the discovery of protein degraders, at the University of Michigan.</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Proteovant has assembled a world-class team of scientists and drug developers with deep drug hunting capabilities in the field of small molecule degrader development to support its internal degrader discovery and development efforts. The core skill sets of the Proteovant team span all aspects of drug discovery and development, including medicinal chemistry, biology and structural biology, which is also supported by access to next generation wet labs.</w:t>
      </w:r>
    </w:p>
    <w:p>
      <w:pPr>
        <w:spacing w:after="0" w:line="83"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Proteovant has an exclusive partnership with VantAI, which, through its focus on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design, has developed a number of powerful and distinctive tools to support induced proximity related drug discovery, including:</w:t>
      </w:r>
    </w:p>
    <w:p>
      <w:pPr>
        <w:spacing w:after="0" w:line="65"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novel protein contact-first workflow that utilizes information about known protein-protein interactions to design new degraders that can effectively stabilize target-E3 interfaces;</w:t>
      </w:r>
    </w:p>
    <w:p>
      <w:pPr>
        <w:spacing w:after="0" w:line="67" w:lineRule="exact"/>
        <w:rPr>
          <w:rFonts w:ascii="Times New Roman" w:cs="Times New Roman" w:eastAsia="Times New Roman" w:hAnsi="Times New Roman"/>
          <w:sz w:val="18"/>
          <w:szCs w:val="18"/>
          <w:color w:val="auto"/>
        </w:rPr>
      </w:pPr>
    </w:p>
    <w:p>
      <w:pPr>
        <w:ind w:left="1540" w:right="340" w:hanging="331"/>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degron knowledge graph, which we believe to be industry-leading, that maps the ubiquitin proteasome system and enables the analysis of interactions between E3 ligases and degrons as well as the protein components that bind to E3 ligases and regulate degradation;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unique model for predicting degradation based on millions of carefully curated protein stability datapoints.</w:t>
      </w:r>
    </w:p>
    <w:p>
      <w:pPr>
        <w:spacing w:after="0" w:line="126"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Pipeline:</w:t>
      </w:r>
    </w:p>
    <w:p>
      <w:pPr>
        <w:spacing w:after="0" w:line="134" w:lineRule="exact"/>
        <w:rPr>
          <w:rFonts w:ascii="Times New Roman" w:cs="Times New Roman" w:eastAsia="Times New Roman" w:hAnsi="Times New Roman"/>
          <w:sz w:val="18"/>
          <w:szCs w:val="18"/>
          <w:b w:val="1"/>
          <w:bCs w:val="1"/>
          <w:color w:val="auto"/>
        </w:rPr>
      </w:pPr>
    </w:p>
    <w:p>
      <w:pPr>
        <w:ind w:left="1080" w:right="280" w:hanging="424"/>
        <w:spacing w:after="0" w:line="266" w:lineRule="auto"/>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Proteovant has a broad pipeline of programs across oncology and immunology indications, and its protein degrader structures include hererobifunctionals and molecular glues. The protein degraders in Proteovant’s pipeline range from early target validation through later stages of preclinical development. Select targets include STAT3, CBP/p300, and SMARCA2/4.</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Proteovant’s wholly owned pipeline, Proteovant has an ongoing strategic collaboration with Blueprint Medicines, pursuant to which the two companies intend to advance up to two novel protein degrader compounds into development candidates. In addition, the collaboration includes an option to expand to up to two additional novel protein degrader target programs. As a part of the collaboration, VantAI will deploy its technology for degrader generation and optimization.</w:t>
      </w:r>
    </w:p>
    <w:p>
      <w:pPr>
        <w:spacing w:after="0" w:line="8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Proteovant aims to generate 1-2 INDs per year beginning in 2024.</w:t>
      </w:r>
    </w:p>
    <w:p>
      <w:pPr>
        <w:spacing w:after="0" w:line="126"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60% of the issued and outstanding common shares of Proteovant and 54% on a fully diluted basis.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Genevant Overview</w:t>
      </w:r>
    </w:p>
    <w:p>
      <w:pPr>
        <w:spacing w:after="0" w:line="252" w:lineRule="exact"/>
        <w:rPr>
          <w:sz w:val="20"/>
          <w:szCs w:val="20"/>
          <w:color w:val="auto"/>
        </w:rPr>
      </w:pPr>
    </w:p>
    <w:p>
      <w:pPr>
        <w:ind w:left="540" w:hanging="316"/>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200" w:hanging="424"/>
        <w:spacing w:after="0" w:line="261" w:lineRule="auto"/>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a technology-focused nucleic acid delivery and development company with two delivery platforms—a lipid nanoparticle (“LNP”) platform and a ligand conjugate platform—an expansive intellectual property portfolio and deep scientific expertise, currently focused on partnering with other pharmaceutical or biotechnology companies to enable the development of nucleic acid therapeutics for unmet medical needs.</w:t>
      </w:r>
    </w:p>
    <w:p>
      <w:pPr>
        <w:spacing w:after="0" w:line="8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 platforms:</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has two delivery platforms: LNP and ligand conjugate.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LNP platform:</w:t>
      </w:r>
    </w:p>
    <w:p>
      <w:pPr>
        <w:spacing w:after="0" w:line="128" w:lineRule="exact"/>
        <w:rPr>
          <w:rFonts w:ascii="Times New Roman" w:cs="Times New Roman" w:eastAsia="Times New Roman" w:hAnsi="Times New Roman"/>
          <w:sz w:val="18"/>
          <w:szCs w:val="18"/>
          <w:color w:val="auto"/>
        </w:rPr>
      </w:pPr>
    </w:p>
    <w:p>
      <w:pPr>
        <w:ind w:left="2200" w:right="420" w:hanging="545"/>
        <w:spacing w:after="0" w:line="284" w:lineRule="auto"/>
        <w:tabs>
          <w:tab w:leader="none" w:pos="220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Proven technology as demonstrated by head-to-head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ionizable lipid study assessing LNP potency and immune stimulation</w:t>
      </w:r>
    </w:p>
    <w:p>
      <w:pPr>
        <w:spacing w:after="0" w:line="65" w:lineRule="exact"/>
        <w:rPr>
          <w:rFonts w:ascii="Times New Roman" w:cs="Times New Roman" w:eastAsia="Times New Roman" w:hAnsi="Times New Roman"/>
          <w:sz w:val="18"/>
          <w:szCs w:val="18"/>
          <w:color w:val="auto"/>
        </w:rPr>
      </w:pPr>
    </w:p>
    <w:p>
      <w:pPr>
        <w:ind w:left="2200" w:right="260" w:hanging="545"/>
        <w:spacing w:after="0" w:line="312" w:lineRule="auto"/>
        <w:tabs>
          <w:tab w:leader="none" w:pos="2200" w:val="left"/>
        </w:tabs>
        <w:numPr>
          <w:ilvl w:val="3"/>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Clinically validated for hepatocyte and vaccine applications and in various stages of development for other traditionally hard-to-reach tissues and cell types, including lung, eye, central nervous system, and hepatic stellate and immune cells</w:t>
      </w:r>
    </w:p>
    <w:p>
      <w:pPr>
        <w:spacing w:after="0" w:line="45" w:lineRule="exact"/>
        <w:rPr>
          <w:rFonts w:ascii="Times New Roman" w:cs="Times New Roman" w:eastAsia="Times New Roman" w:hAnsi="Times New Roman"/>
          <w:sz w:val="17"/>
          <w:szCs w:val="17"/>
          <w:color w:val="auto"/>
        </w:rPr>
      </w:pPr>
    </w:p>
    <w:p>
      <w:pPr>
        <w:ind w:left="2200" w:hanging="545"/>
        <w:spacing w:after="0"/>
        <w:tabs>
          <w:tab w:leader="none" w:pos="220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750 issued patents and pending patent applications as of June 15, 2022</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Ligand conjugate platform:</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GalNAc ligands with demonstrated ability to deliver to the liver in preclinical studies</w:t>
      </w:r>
    </w:p>
    <w:p>
      <w:pPr>
        <w:spacing w:after="0" w:line="130" w:lineRule="exact"/>
        <w:rPr>
          <w:rFonts w:ascii="Times New Roman" w:cs="Times New Roman" w:eastAsia="Times New Roman" w:hAnsi="Times New Roman"/>
          <w:sz w:val="18"/>
          <w:szCs w:val="18"/>
          <w:color w:val="auto"/>
        </w:rPr>
      </w:pPr>
    </w:p>
    <w:p>
      <w:pPr>
        <w:ind w:left="2200" w:hanging="545"/>
        <w:spacing w:after="0" w:line="282" w:lineRule="auto"/>
        <w:tabs>
          <w:tab w:leader="none" w:pos="220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preclinical head-to-head testing, demonstrated equal or better preclinical potency, assessed by duration and magnitude of knockdown, compared to a current industry benchmark</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delivery expertise to design novel extrahepatic ligands to expand therapeutic reach</w:t>
      </w:r>
    </w:p>
    <w:p>
      <w:pPr>
        <w:spacing w:after="0" w:line="126"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Collaboration-based business model:</w:t>
      </w:r>
    </w:p>
    <w:p>
      <w:pPr>
        <w:spacing w:after="0" w:line="134" w:lineRule="exact"/>
        <w:rPr>
          <w:rFonts w:ascii="Times New Roman" w:cs="Times New Roman" w:eastAsia="Times New Roman" w:hAnsi="Times New Roman"/>
          <w:sz w:val="18"/>
          <w:szCs w:val="18"/>
          <w:b w:val="1"/>
          <w:bCs w:val="1"/>
          <w:color w:val="auto"/>
        </w:rPr>
      </w:pPr>
    </w:p>
    <w:p>
      <w:pPr>
        <w:ind w:left="1080" w:right="40" w:hanging="424"/>
        <w:spacing w:after="0" w:line="282" w:lineRule="auto"/>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uses its expertise in the delivery of nucleic acid therapeutics to develop optimal delivery systems for its collaborators’ identified payloads or target tissues.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collaboration-based business model is to seek some or all of upfront payments, R&amp;D reimbursements, and milestones and royalties (or profit share) upon success, while also retaining certain rights in the delivery-related intellectual property developed in the context of the collaboration for potential use or out-license.</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current collaboration partners include BioNTech, Takeda, Sarepta, Gritstone, ST Pharm, 2seventy bio, Chulalongkorn University (through its Vaccine Research Center), and Providence Therapeutics.</w:t>
      </w:r>
    </w:p>
    <w:p>
      <w:pPr>
        <w:spacing w:after="0" w:line="6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Clinical data:</w:t>
      </w:r>
    </w:p>
    <w:p>
      <w:pPr>
        <w:spacing w:after="0" w:line="134" w:lineRule="exact"/>
        <w:rPr>
          <w:rFonts w:ascii="Times New Roman" w:cs="Times New Roman" w:eastAsia="Times New Roman" w:hAnsi="Times New Roman"/>
          <w:sz w:val="18"/>
          <w:szCs w:val="18"/>
          <w:b w:val="1"/>
          <w:bCs w:val="1"/>
          <w:color w:val="auto"/>
        </w:rPr>
      </w:pPr>
    </w:p>
    <w:p>
      <w:pPr>
        <w:ind w:left="1080" w:right="300" w:hanging="424"/>
        <w:spacing w:after="0" w:line="282" w:lineRule="auto"/>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LNP technology has been in clinical testing in over a dozen distinct product candidates, representing hundreds of subjects of clinical experience.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LNP technology is included in the first RNA-LNP product to receive FDA-approval, Alnylam’s Onpattro (patisiran).</w:t>
      </w:r>
    </w:p>
    <w:p>
      <w:pPr>
        <w:spacing w:after="0" w:line="126"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83% of the issued and outstanding common shares of Genevant and 67% on a fully diluted basis.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Nucleic Acid Therapeutics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Nucleic acid therapeutics represent an emerging modality that we believe may overcome challenges associated with traditional small molecule drug development in the treatment of genetically defined disease.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82"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vast majority of human proteins are considered “undruggable” by small molecules based on their protein structure. Nucleic acid therapeutics circumvent the question of whether or not a target is undruggable by impacting protein expression itself.</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field of nucleic acid therapeutics has gained significant momentum in recent years, with FDA approval of Alnylam’s Onpattro and Givlaari (givosiran), and approval of multiple mRNA COVID-19 vaccines. There is a substantial pipeline of nucleic acid therapeutics in clinical development that further underscores the transformative potential of nucleic acid therapeutics in the near term. However, nucleic acid therapeutics remain challenged by obstacles in the delivery of nucleic acids to specific cell types. RNA molecules cannot passively cross most cell membranes given their large size and negative charge, and therefore must be administered in conjunction with a delivery technology to ensure transport to target cell types.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work with two proprietary technologies, LNP delivery and ligand conjugate delivery, to improve the likelihood of clinical success of nucleic acid therapeutics. We licensed intellectual property with respect to each of these technologies from Arbutus Biopharma in 2018.</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are focused on expanding our platforms into novel tissue types by leveraging the scientific expertise of several members of the technical team that originally developed or advanced the technologies at Arbutus and its predecessors.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Lipid Nanoparticle Platform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LNP technology platform is designed to deliver nucleic acids, including mRNA, siRNA, antisense and gene editing constructs.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Some key features of our LNP technology are:</w:t>
      </w:r>
    </w:p>
    <w:p>
      <w:pPr>
        <w:spacing w:after="0" w:line="131" w:lineRule="exact"/>
        <w:rPr>
          <w:sz w:val="20"/>
          <w:szCs w:val="20"/>
          <w:color w:val="auto"/>
        </w:rPr>
      </w:pPr>
    </w:p>
    <w:p>
      <w:pPr>
        <w:ind w:left="1540" w:right="140" w:hanging="439"/>
        <w:spacing w:after="0" w:line="282"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Multi-component formulations that contain specialized lipids optimized for potency and tolerability, are capable of encapsulating a broad range of nucleic acid payloads, and have limited constraints on nucleic acid composition, structure or size</w:t>
      </w:r>
    </w:p>
    <w:p>
      <w:pPr>
        <w:spacing w:after="0" w:line="67" w:lineRule="exact"/>
        <w:rPr>
          <w:rFonts w:ascii="Times New Roman" w:cs="Times New Roman" w:eastAsia="Times New Roman" w:hAnsi="Times New Roman"/>
          <w:sz w:val="18"/>
          <w:szCs w:val="18"/>
          <w:color w:val="auto"/>
        </w:rPr>
      </w:pPr>
    </w:p>
    <w:p>
      <w:pPr>
        <w:ind w:left="1540" w:right="340" w:hanging="439"/>
        <w:spacing w:after="0" w:line="282"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manufacturing process developed and scaled to produce stable uniform dispersion of colloidal nanoparticles with particle size appropriate for parenteral or intramuscular administration</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intracellular delivery of nucleic acids to cell cytoplasm via engineered active endosomal escape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171450</wp:posOffset>
            </wp:positionV>
            <wp:extent cx="3943350" cy="2280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4335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82"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 head-to-head study comparing multiple LNP formulations varying only the key ionizable lipid, a newer Genevant formulation outperformed third-party formulations. In particular, our formulation showed superior potency and avoidance of immune stimulation relative to others, including when compared with the LNP utilized in the first FDA-approved RNA-LNP therapeutic, Alnylam’s Onpattro (“MC3” in figure below).</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Genevant LNP Outperformed Third-Party LNPs in Head-to-Head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173990</wp:posOffset>
            </wp:positionV>
            <wp:extent cx="5151755" cy="37801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51755"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Key lipid of first FDA-approved siRNA-LNP (Alnylam’s Onpattro)</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Genevant LNP technology has entered the clinic with more than a dozen distinct product candidates, representing hundreds of subjects of clinical experience.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Substantial clinical experience with Genevant LNP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417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8604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With this track record of success, we are now also focusing our LNP capabilities on historically challenging cell and tissue types, including hepatic stellate cells (“HSCs”).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Historically, attempts to address certain diseases have been limited by the inability to access specific cell types outside of the hepatocyte. We have demonstrated our ability to deliver nucleic acid therapeutics to challenging targets by accessing HSCs in preclinical studies. The activation of HSCs is well established as a central driver of fibrosis, and thus technologies that target activated HSCs may be key to addressing certain liver diseases.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preclinical studies, delivery of RNAi to HSCs via Genevant’s LNP technology demonstrated selective knockdown of an HSC target with minimal activity in hepatocytes, as shown below. Additional preclinical studies support our ability to design LNPs to deliver nucleic acids to the lung, and we believe that our scientific expertise will over time lead to the ability to direct LNPs toward additional cell and tissue types, such as the central nervous system, immune cells and the eye.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82"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LNP delivery of siRNA to HSCs demonstrated selective knockdown of target mRNA in mice with minimal activity in hepatocytes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173990</wp:posOffset>
            </wp:positionV>
            <wp:extent cx="3848735" cy="2451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4873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Ligand Conjugate Platform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to our LNP platform, we also have a proprietary RNAi ligand conjugate platform. Novel ligands can successfully deliver siRNA and certain other oligonucleotides to hepatocytes, and our expertise enables the design of novel ligands with the potential to expand delivery capability to other cell types such as hepatic stellate cells. Our ligand conjugate technology has demonstrated equal or better preclinical potency, assessed by duration and magnitude of knockdown compared to current industry benchmark. We currently have an allowed US patent and multiple patent applications pending with respect to our ligand conjugate platform.</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82"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208280</wp:posOffset>
            </wp:positionV>
            <wp:extent cx="5143500" cy="44405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developing a next-generation ligand conjugate platform that we refer to as “RNAi 2.0.” Our RNAi 2.0 platform has demonstrated superior strength and duration of knockdown compared to legacy ligand conjugates (“RNAi 1.0”) in a head-to-head preclinical study in nonhuman primates. In addition, our RNAi 2.0 platform:</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intrinsic endosomolytic properties</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demonstrated marked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enhancement in potency</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maintained a subcutaneous dosing regimen and is expected to be dosed subcutaneously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Remains compatible with other ligand types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60"/>
          </w:cols>
          <w:pgMar w:left="320" w:top="482"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Next Generation RNAi 2.0 Conjugate Platform Shows Improved Potency, Magnitude and Duration of Knockdown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173990</wp:posOffset>
            </wp:positionV>
            <wp:extent cx="5143500" cy="2040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Genevant seeks to partner with other pharmaceutical or biotechnology companies in the development of RNA therapeutics, crafting mutually beneficial collaborations that allow collaboration partners to access innovative technologies while providing Genevant the opportunity to leverage our expertise to expand the technology and its therapeutic application.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provides the following benefits to collaborators:</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validated technology to deliver nucleic acid therapeutics for hepatocyte or vaccine applications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deliver RNA payloads to historically challenging-to-reach tissue or cell types, as well as nucleic acid design capabilities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need to build internal delivery expertise or build intellectual property estate from scratch in an increasingly complex field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provides the following benefits to Genevant:</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expand core delivery technology and capabilities, maintaining leadership position in nucleic acid delivery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Typically, the ability to exploit certain rights to delivery-related intellectual property developed in the context of collaboration ourselves or with other collaborators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generate revenue through deal structures including some combination of upfront payments, R&amp;D reimbursements and additional milestones and royalties upon successful outcomes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To date, Genevant has partnered with leading companies with a shared vision of advancing innovative nucleic acid medicines to transform the lives of patients. Our collaborations currently include:</w:t>
      </w:r>
    </w:p>
    <w:p>
      <w:pPr>
        <w:spacing w:after="0" w:line="63"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Gritstone</w:t>
      </w:r>
      <w:r>
        <w:rPr>
          <w:rFonts w:ascii="Times New Roman" w:cs="Times New Roman" w:eastAsia="Times New Roman" w:hAnsi="Times New Roman"/>
          <w:sz w:val="18"/>
          <w:szCs w:val="18"/>
          <w:color w:val="auto"/>
        </w:rPr>
        <w:t>—Access to Genevant’s LNP technology for use in Gritstone’s self-amplifying RNA COVID-19 vaccine program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Gritstone</w:t>
      </w:r>
      <w:r>
        <w:rPr>
          <w:rFonts w:ascii="Times New Roman" w:cs="Times New Roman" w:eastAsia="Times New Roman" w:hAnsi="Times New Roman"/>
          <w:sz w:val="18"/>
          <w:szCs w:val="18"/>
          <w:color w:val="auto"/>
        </w:rPr>
        <w:t>—Access to LNP technology for use with self-amplifying RNA for an unspecified indication</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82"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both"/>
        <w:ind w:left="1080" w:right="320" w:hanging="424"/>
        <w:spacing w:after="0" w:line="26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Sarepta</w:t>
      </w:r>
      <w:r>
        <w:rPr>
          <w:rFonts w:ascii="Times New Roman" w:cs="Times New Roman" w:eastAsia="Times New Roman" w:hAnsi="Times New Roman"/>
          <w:sz w:val="18"/>
          <w:szCs w:val="18"/>
          <w:color w:val="auto"/>
        </w:rPr>
        <w:t>—Research collaboration and option agreement for the delivery of LNP-gene editing therapeutics for specified neuromuscular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diseases; Genevant will design and collaborate with Sarepta in the development of muscle targeted LNPs to be applied to gene editing targets in multiple indications, including Duchenne muscular dystrophy</w:t>
      </w:r>
    </w:p>
    <w:p>
      <w:pPr>
        <w:spacing w:after="0" w:line="76" w:lineRule="exact"/>
        <w:rPr>
          <w:rFonts w:ascii="Times New Roman" w:cs="Times New Roman" w:eastAsia="Times New Roman" w:hAnsi="Times New Roman"/>
          <w:sz w:val="18"/>
          <w:szCs w:val="18"/>
          <w:color w:val="auto"/>
        </w:rPr>
      </w:pPr>
    </w:p>
    <w:p>
      <w:pPr>
        <w:ind w:left="1080" w:right="600" w:hanging="424"/>
        <w:spacing w:after="0" w:line="28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BioNTech</w:t>
      </w:r>
      <w:r>
        <w:rPr>
          <w:rFonts w:ascii="Times New Roman" w:cs="Times New Roman" w:eastAsia="Times New Roman" w:hAnsi="Times New Roman"/>
          <w:sz w:val="18"/>
          <w:szCs w:val="18"/>
          <w:color w:val="auto"/>
        </w:rPr>
        <w:t>—Co-development in up to five rare diseases with high unmet medical need, and access to LNP technology for use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BioNTech’s mRNA for a specified number of oncology targets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Takeda</w:t>
      </w:r>
      <w:r>
        <w:rPr>
          <w:rFonts w:ascii="Times New Roman" w:cs="Times New Roman" w:eastAsia="Times New Roman" w:hAnsi="Times New Roman"/>
          <w:sz w:val="18"/>
          <w:szCs w:val="18"/>
          <w:color w:val="auto"/>
        </w:rPr>
        <w:t>—Access to LNP technology to develop nucleic acid therapeutics directed to specified targets in HSC to treat liver fibrosis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Takeda</w:t>
      </w:r>
      <w:r>
        <w:rPr>
          <w:rFonts w:ascii="Times New Roman" w:cs="Times New Roman" w:eastAsia="Times New Roman" w:hAnsi="Times New Roman"/>
          <w:sz w:val="18"/>
          <w:szCs w:val="18"/>
          <w:color w:val="auto"/>
        </w:rPr>
        <w:t>—Access to LNP technology to develop nonviral gene therapies for up to two rare liver diseases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 Pharm</w:t>
      </w:r>
      <w:r>
        <w:rPr>
          <w:rFonts w:ascii="Times New Roman" w:cs="Times New Roman" w:eastAsia="Times New Roman" w:hAnsi="Times New Roman"/>
          <w:sz w:val="18"/>
          <w:szCs w:val="18"/>
          <w:color w:val="auto"/>
        </w:rPr>
        <w:t>—Access to Genevant’s LNP technology for use in specified territories in ST Pharm’s mRNA COVID-19 vaccine program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Providence</w:t>
      </w:r>
      <w:r>
        <w:rPr>
          <w:rFonts w:ascii="Times New Roman" w:cs="Times New Roman" w:eastAsia="Times New Roman" w:hAnsi="Times New Roman"/>
          <w:sz w:val="18"/>
          <w:szCs w:val="18"/>
          <w:color w:val="auto"/>
        </w:rPr>
        <w:t>—Access to Genevant’s LNP technology for use in Providence’s mRNA COVID-19 vaccine program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2seventy</w:t>
      </w:r>
      <w:r>
        <w:rPr>
          <w:rFonts w:ascii="Times New Roman" w:cs="Times New Roman" w:eastAsia="Times New Roman" w:hAnsi="Times New Roman"/>
          <w:sz w:val="18"/>
          <w:szCs w:val="18"/>
          <w:color w:val="auto"/>
        </w:rPr>
        <w:t>—Access to LNP technology to develop gene editing therapies for hemophilia 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Chulalongkorn University</w:t>
      </w:r>
      <w:r>
        <w:rPr>
          <w:rFonts w:ascii="Times New Roman" w:cs="Times New Roman" w:eastAsia="Times New Roman" w:hAnsi="Times New Roman"/>
          <w:sz w:val="18"/>
          <w:szCs w:val="18"/>
          <w:color w:val="auto"/>
        </w:rPr>
        <w:t>—Access to LNP technology for use in specified Asian territories in its mRNA COVID-19 vaccine program</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Benefits of Genevant’s Delivery Platforms</w:t>
      </w:r>
    </w:p>
    <w:p>
      <w:pPr>
        <w:spacing w:after="0" w:line="133" w:lineRule="exact"/>
        <w:rPr>
          <w:sz w:val="20"/>
          <w:szCs w:val="20"/>
          <w:color w:val="auto"/>
        </w:rPr>
      </w:pPr>
    </w:p>
    <w:p>
      <w:pPr>
        <w:ind w:left="108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Robust and expansive patent portfolio. </w:t>
      </w:r>
      <w:r>
        <w:rPr>
          <w:rFonts w:ascii="Times New Roman" w:cs="Times New Roman" w:eastAsia="Times New Roman" w:hAnsi="Times New Roman"/>
          <w:sz w:val="18"/>
          <w:szCs w:val="18"/>
          <w:color w:val="auto"/>
        </w:rPr>
        <w:t>As of June 15, 2022, there are approximately 750 issued patents and pending patent applications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LNP platform, including coverage directed to individual lipid structure, particle composition, particle morphology, manufacturing and mRNA-containing LNP formulations. As we continue to develop these technologies, we expect to have the opportunity to expand our intellectual property portfolio further, to enhance protection and support additional licensing opportunities.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7"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Experienced leadership team. </w:t>
      </w:r>
      <w:r>
        <w:rPr>
          <w:rFonts w:ascii="Times New Roman" w:cs="Times New Roman" w:eastAsia="Times New Roman" w:hAnsi="Times New Roman"/>
          <w:sz w:val="18"/>
          <w:szCs w:val="18"/>
          <w:color w:val="auto"/>
        </w:rPr>
        <w:t>Our leadership team has deep technical expertise in nucleic acid drug development and a track record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executing successfully in innovative areas. We believe this positions Genevant to expand delivery to historically challenging tissues and cell types, thereby creating potential opportunities for creative collaboration.</w:t>
      </w:r>
    </w:p>
    <w:p>
      <w:pPr>
        <w:spacing w:after="0" w:line="78" w:lineRule="exact"/>
        <w:rPr>
          <w:rFonts w:ascii="Times New Roman" w:cs="Times New Roman" w:eastAsia="Times New Roman" w:hAnsi="Times New Roman"/>
          <w:sz w:val="18"/>
          <w:szCs w:val="18"/>
          <w:color w:val="auto"/>
        </w:rPr>
      </w:pPr>
    </w:p>
    <w:p>
      <w:pPr>
        <w:ind w:left="1080" w:right="740" w:hanging="424"/>
        <w:spacing w:after="0" w:line="284"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Manufacturing know-how. </w:t>
      </w:r>
      <w:r>
        <w:rPr>
          <w:rFonts w:ascii="Times New Roman" w:cs="Times New Roman" w:eastAsia="Times New Roman" w:hAnsi="Times New Roman"/>
          <w:sz w:val="18"/>
          <w:szCs w:val="18"/>
          <w:color w:val="auto"/>
        </w:rPr>
        <w:t>Since inception, we have made strategic investments in expanding our manufacturing know-how.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process is rapid and reproducible, has intellectual property protection and is capable of commercial scale.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Expansive Patent Portfolio</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LNP platform is protected with a robust patent portfolio, covering a wide range of aspects required for successful nucleic acid delivery.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patents are directed to:</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Lipid structures, including cationic and PEG-lipids;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Particle compositions, including commonly used ranges of lipid ratios for nucleic acid-containing particles;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Nucleic acid-containing particles with certain structural characteristics;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mRNA-containing LNP formulations;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aspects of our manufacturing process.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Priovant Overview</w:t>
      </w:r>
    </w:p>
    <w:p>
      <w:pPr>
        <w:spacing w:after="0" w:line="252"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200" w:hanging="424"/>
        <w:spacing w:after="0" w:line="282"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is developing brepocitinib, a potent small molecule inhibitor of TYK2 and JAK1, for the treatment of dermatomyositis (“DM”), systemic lupus erythematosus (“SLE”) and other immune-mediated diseases.</w:t>
      </w:r>
    </w:p>
    <w:p>
      <w:pPr>
        <w:spacing w:after="0" w:line="6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Lead program</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280" w:hanging="424"/>
        <w:spacing w:after="0" w:line="282"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is a potentially first-in-class, orally administered, small molecule inhibitor of TYK2 and JAK1 that suppresses signaling of TYK2- and JAK1-dependent cytokines linked to autoimmunity, including type I and type II interferon, IL-6, IL-12, and IL-23.</w:t>
      </w:r>
    </w:p>
    <w:p>
      <w:pPr>
        <w:spacing w:after="0" w:line="6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Disease 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120" w:hanging="424"/>
        <w:spacing w:after="0" w:line="266"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 is a chronic, immune-mediated disease of the skin and muscles. Patients with DM usually present with a characteristic skin rash and proximal muscle weakness, which may lead to significant functional impairment or disfigurement. Patients with DM are at a substantially increased risk of interstitial lung disease, malignancy, and heart failure, contributing to an estimated 5-year mortality rate of 10-40%.</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SLE is a chronic, immune-mediated connective tissue disease that can impact nearly all major organ systems. The most common manifestations of SLE are cutaneous and musculoskeletal symptoms, although neurological, gastrointestinal, hematological, and renal symptoms are regularly observed as well. Patients with SLE are at a substantially increased risk of infection and cardiovascular disease, contributing to estimated 10- and 15-year mortality rates of 9% and 15%, respectively.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that there are approximately 37,000 adult DM patients and up to 300,000 adult SLE patients in the US.</w:t>
      </w:r>
    </w:p>
    <w:p>
      <w:pPr>
        <w:spacing w:after="0" w:line="12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of current treatments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260" w:hanging="424"/>
        <w:spacing w:after="0" w:line="266"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Corticosteroids, disease-modifying antirheumatic drugs (“DMARDs”), and immunosuppressants, administered alone or in combination, are traditional therapies for patients with DM and SLE. Many of these therapies are associated with significant toxicities and limited efficacy.</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with DM who do not respond adequately to traditional therapies, IVIg (OCTAGAM 10%) is an important FDA-approved treatment. However, clinical trial data from the Phase 3 ProDERM study of IVIg in patients with DM and case reports from years of prior off-label use confirm that even with IVIg, many patients with DM continue to suffer from residual disease activity. Moreover, IVIg administration is burdensome, typically requiring several hours of infusion therapy for multiple days each month. IVIg also has a black box warning for serious risks, including thrombosis and kidney failure.</w:t>
      </w:r>
    </w:p>
    <w:p>
      <w:pPr>
        <w:spacing w:after="0" w:line="88"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with SLE who do not respond adequately to traditional therapies, belimumab (BENLYSTA) and anifrolumab (SAPHNELO) are FDA-approved biologic treatments. However, in each of belimumab’s BLISS Phase 3 program and anifrolumab’s TULIP Phase 3 program, the clinical trial data demonstrates that many patients failed to respond to these therapies, and both therapies are administered intravenously or subcutaneously.</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Clinical data</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260" w:hanging="424"/>
        <w:spacing w:after="0" w:line="266"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has been evaluated in five completed placebo-controlled Phase 2 studies in immune-mediated diseases (psoriatic arthritis, plaque psoriasis, ulcerative colitis, alopecia areata, and hidradenitis suppurativa). In all five of these studies, treatment with brepocitinib was associated with statistically significant and clinically meaningful efficacy.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Statistical</w:t>
            </w:r>
          </w:p>
        </w:tc>
      </w:tr>
      <w:tr>
        <w:trPr>
          <w:trHeight w:val="19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Study Population</w:t>
            </w:r>
          </w:p>
        </w:tc>
        <w:tc>
          <w:tcPr>
            <w:tcW w:w="1700" w:type="dxa"/>
            <w:vAlign w:val="bottom"/>
          </w:tcPr>
          <w:p>
            <w:pPr>
              <w:spacing w:after="0"/>
              <w:rPr>
                <w:sz w:val="16"/>
                <w:szCs w:val="16"/>
                <w:color w:val="auto"/>
              </w:rPr>
            </w:pPr>
          </w:p>
        </w:tc>
        <w:tc>
          <w:tcPr>
            <w:tcW w:w="360" w:type="dxa"/>
            <w:vAlign w:val="bottom"/>
            <w:gridSpan w:val="2"/>
          </w:tcPr>
          <w:p>
            <w:pPr>
              <w:ind w:left="60"/>
              <w:spacing w:after="0" w:line="173" w:lineRule="exact"/>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0"/>
                <w:szCs w:val="20"/>
                <w:b w:val="1"/>
                <w:bCs w:val="1"/>
                <w:color w:val="auto"/>
                <w:vertAlign w:val="superscript"/>
              </w:rPr>
              <w:t>1</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Brepocitinib Dose</w:t>
            </w:r>
          </w:p>
        </w:tc>
        <w:tc>
          <w:tcPr>
            <w:tcW w:w="4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Primary Endpoint Result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Significance</w:t>
            </w:r>
          </w:p>
        </w:tc>
      </w:tr>
      <w:tr>
        <w:trPr>
          <w:trHeight w:val="185"/>
        </w:trPr>
        <w:tc>
          <w:tcPr>
            <w:tcW w:w="27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Psoriatic Arthritis</w:t>
            </w:r>
          </w:p>
        </w:tc>
        <w:tc>
          <w:tcPr>
            <w:tcW w:w="2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6"/>
              </w:rPr>
              <w:t>218</w:t>
            </w:r>
          </w:p>
        </w:tc>
        <w:tc>
          <w:tcPr>
            <w:tcW w:w="100" w:type="dxa"/>
            <w:vAlign w:val="bottom"/>
          </w:tcPr>
          <w:p>
            <w:pPr>
              <w:spacing w:after="0"/>
              <w:rPr>
                <w:sz w:val="16"/>
                <w:szCs w:val="16"/>
                <w:color w:val="auto"/>
              </w:rPr>
            </w:pPr>
          </w:p>
        </w:tc>
        <w:tc>
          <w:tcPr>
            <w:tcW w:w="16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30 mg once daily</w:t>
            </w:r>
          </w:p>
        </w:tc>
        <w:tc>
          <w:tcPr>
            <w:tcW w:w="100" w:type="dxa"/>
            <w:vAlign w:val="bottom"/>
          </w:tcPr>
          <w:p>
            <w:pPr>
              <w:spacing w:after="0"/>
              <w:rPr>
                <w:sz w:val="16"/>
                <w:szCs w:val="16"/>
                <w:color w:val="auto"/>
              </w:rPr>
            </w:pPr>
          </w:p>
        </w:tc>
        <w:tc>
          <w:tcPr>
            <w:tcW w:w="40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23.4% placebo-adjusted ACR20 RR at week 16</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P = 0.0197</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Plaque Psoriasis</w:t>
            </w:r>
          </w:p>
        </w:tc>
        <w:tc>
          <w:tcPr>
            <w:tcW w:w="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212</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30 mg once daily</w:t>
            </w:r>
          </w:p>
        </w:tc>
        <w:tc>
          <w:tcPr>
            <w:tcW w:w="4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 placebo-adjusted CFB in PASI score at week 12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 &lt; 0.0001</w:t>
            </w:r>
          </w:p>
        </w:tc>
      </w:tr>
      <w:tr>
        <w:trPr>
          <w:trHeight w:val="215"/>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Ulcerative Colitis</w:t>
            </w:r>
          </w:p>
        </w:tc>
        <w:tc>
          <w:tcPr>
            <w:tcW w:w="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167</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30 mg once daily</w:t>
            </w:r>
          </w:p>
        </w:tc>
        <w:tc>
          <w:tcPr>
            <w:tcW w:w="4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-2.28 placebo-adjusted CFB in Mayo Score at week 8</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 = 0.0005</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Alopecia Areata</w:t>
            </w:r>
          </w:p>
        </w:tc>
        <w:tc>
          <w:tcPr>
            <w:tcW w:w="2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8"/>
              </w:rPr>
              <w:t>94</w:t>
            </w:r>
            <w:r>
              <w:rPr>
                <w:rFonts w:ascii="Times New Roman" w:cs="Times New Roman" w:eastAsia="Times New Roman" w:hAnsi="Times New Roman"/>
                <w:sz w:val="25"/>
                <w:szCs w:val="25"/>
                <w:color w:val="auto"/>
                <w:w w:val="98"/>
                <w:vertAlign w:val="superscript"/>
              </w:rPr>
              <w:t>2</w:t>
            </w:r>
          </w:p>
        </w:tc>
        <w:tc>
          <w:tcPr>
            <w:tcW w:w="100" w:type="dxa"/>
            <w:vAlign w:val="bottom"/>
          </w:tcPr>
          <w:p>
            <w:pPr>
              <w:spacing w:after="0"/>
              <w:rPr>
                <w:sz w:val="18"/>
                <w:szCs w:val="18"/>
                <w:color w:val="auto"/>
              </w:rPr>
            </w:pPr>
          </w:p>
        </w:tc>
        <w:tc>
          <w:tcPr>
            <w:tcW w:w="174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8"/>
                <w:szCs w:val="18"/>
                <w:color w:val="auto"/>
                <w:w w:val="97"/>
              </w:rPr>
              <w:t>30 mg once daily</w:t>
            </w:r>
            <w:r>
              <w:rPr>
                <w:rFonts w:ascii="Times New Roman" w:cs="Times New Roman" w:eastAsia="Times New Roman" w:hAnsi="Times New Roman"/>
                <w:sz w:val="25"/>
                <w:szCs w:val="25"/>
                <w:color w:val="auto"/>
                <w:w w:val="97"/>
                <w:vertAlign w:val="superscript"/>
              </w:rPr>
              <w:t>3</w:t>
            </w:r>
          </w:p>
        </w:tc>
        <w:tc>
          <w:tcPr>
            <w:tcW w:w="4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49.18 placebo-adjusted CFB in SALT Score at week 24</w:t>
            </w:r>
          </w:p>
        </w:tc>
        <w:tc>
          <w:tcPr>
            <w:tcW w:w="104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6"/>
              </w:rPr>
              <w:t>P &lt; 0.0001</w:t>
            </w:r>
            <w:r>
              <w:rPr>
                <w:rFonts w:ascii="Times New Roman" w:cs="Times New Roman" w:eastAsia="Times New Roman" w:hAnsi="Times New Roman"/>
                <w:sz w:val="25"/>
                <w:szCs w:val="25"/>
                <w:color w:val="auto"/>
                <w:w w:val="96"/>
                <w:vertAlign w:val="superscript"/>
              </w:rPr>
              <w:t>4</w:t>
            </w:r>
          </w:p>
        </w:tc>
      </w:tr>
      <w:tr>
        <w:trPr>
          <w:trHeight w:val="3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Hidradenitis Suppurativa</w:t>
            </w:r>
          </w:p>
        </w:tc>
        <w:tc>
          <w:tcPr>
            <w:tcW w:w="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100</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45 mg once daily</w:t>
            </w:r>
            <w:r>
              <w:rPr>
                <w:rFonts w:ascii="Times New Roman" w:cs="Times New Roman" w:eastAsia="Times New Roman" w:hAnsi="Times New Roman"/>
                <w:sz w:val="25"/>
                <w:szCs w:val="25"/>
                <w:color w:val="auto"/>
                <w:w w:val="97"/>
                <w:vertAlign w:val="superscript"/>
              </w:rPr>
              <w:t>5</w:t>
            </w:r>
          </w:p>
        </w:tc>
        <w:tc>
          <w:tcPr>
            <w:tcW w:w="4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18.7% placebo-adjusted HiSCR rate at week 16</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 = 0.0298</w:t>
            </w:r>
            <w:r>
              <w:rPr>
                <w:rFonts w:ascii="Times New Roman" w:cs="Times New Roman" w:eastAsia="Times New Roman" w:hAnsi="Times New Roman"/>
                <w:sz w:val="25"/>
                <w:szCs w:val="25"/>
                <w:color w:val="auto"/>
                <w:w w:val="96"/>
                <w:vertAlign w:val="superscript"/>
              </w:rPr>
              <w:t>4</w:t>
            </w:r>
          </w:p>
        </w:tc>
      </w:tr>
    </w:tbl>
    <w:p>
      <w:pPr>
        <w:spacing w:after="0" w:line="125" w:lineRule="exact"/>
        <w:rPr>
          <w:sz w:val="20"/>
          <w:szCs w:val="20"/>
          <w:color w:val="auto"/>
        </w:rPr>
      </w:pPr>
    </w:p>
    <w:p>
      <w:pPr>
        <w:ind w:left="1540" w:right="140" w:hanging="439"/>
        <w:spacing w:after="0" w:line="261"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study N represents patients randomized to all brepocitinib dose levels or placebo and excludes patients randomized to other agents.</w:t>
      </w:r>
    </w:p>
    <w:p>
      <w:pPr>
        <w:ind w:left="1540" w:hanging="439"/>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patients from initial 24-week study period only.</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mg QD for 4 weeks followed by 30 mg QD for 20 weeks.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One-sided p-value (pre-specified statistical analysis).</w:t>
      </w:r>
    </w:p>
    <w:p>
      <w:pPr>
        <w:spacing w:after="0" w:line="9"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45 mg once daily was the only dose evaluated in this study.</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ACR20: American College of Rheumatology 20% Improvement; RR: Response Rate; CFB: Change From Baseline; PASI: Psoriasis Area</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 Severity Index; SALT: Severity of Alopecia Tool; HiSCR: Hidradenitis Suppurativa Clinical Response</w:t>
      </w:r>
    </w:p>
    <w:p>
      <w:pPr>
        <w:spacing w:after="0" w:line="112" w:lineRule="exact"/>
        <w:rPr>
          <w:sz w:val="20"/>
          <w:szCs w:val="20"/>
          <w:color w:val="auto"/>
        </w:rPr>
      </w:pPr>
    </w:p>
    <w:p>
      <w:pPr>
        <w:ind w:left="1080" w:right="40" w:hanging="424"/>
        <w:spacing w:after="0" w:line="261"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Brepocitinib’s safety database includes over 1,000 exposed participants evaluated in 14 completed Phase 1 and Phase 2 studies and three ongoing Phase 1 and Phase 2 studies. In these studies, brepocitinib was generally safe and well-tolerated, and rates of JAK class treatment-emergent adverse events (“TEAEs”) of interest were comparable to those observed in the development programs of approved JAK inhibitors. Collectively, these data suggest a safety profile that is similar to those of approved JAK inhibitors.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has not been evaluated in DM to-date. However, several FDA-approved JAK inhibitors have been clinically validated in DM patients refractory to standard-of-care therapies, as reported in more than 100 off-label case reports and in an open-label clinical trial. In addition, since DM pathobiology is driven by dysregulations in cytokines whose signaling is mediated by both TYK2 and JAK1, we believe that, with its unique dual inhibition of both TYK2 and JAK1, brepocitinib, as compared to inhibitors selective to either TYK2 or JAK1 has the potential to demonstrate superior clinical efficacy in DM.</w:t>
      </w:r>
    </w:p>
    <w:p>
      <w:pPr>
        <w:spacing w:after="0" w:line="88"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has not been evaluated in SLE to-date. However, FDA-approved and investigational JAK inhibitors have completed successful proof-of-concept studies in SLE patients. And, like DM, SLE pathobiology is driven by dysregulations in cytokines whose signaling is mediated by both TYK2 and JAK1. We believe that, with its unique dual inhibition of both TYK2 and JAK1, brepocitinib, as compared to inhibitors selective to either TYK2 or JAK1, has the potential to demonstrate superior clinical efficacy in SLE.</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160" w:hanging="424"/>
        <w:spacing w:after="0" w:line="261"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is currently conducting a large randomized, controlled Phase 3 study of brepocitinib in patients with refractory dermatomyositis. This study will enroll approximately 225 subjects in total and will evaluate 15 mg and 30 mg of brepocitinib once-daily compared to placebo. The primary endpoint of this study is the mean Total Improvement Score (“TIS”), a validated myositis improvement index, at Week 52.</w:t>
      </w:r>
    </w:p>
    <w:p>
      <w:pPr>
        <w:spacing w:after="0" w:line="85"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is currently being evaluated in a large, randomized controlled Phase 2B study in patients with moderate to severe active SLE. This study will enroll approximately 350 subjects in total and will evaluate 15 mg, 30 mg, and 45 mg of brepocitinib once-daily compared to placebo. The primary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endpoint of this study is the Systemic Lupus Erythematosus Responder Index (“SRI-4”), a validated SLE improvement index, at Week 52.</w:t>
      </w:r>
    </w:p>
    <w:p>
      <w:pPr>
        <w:spacing w:after="0" w:line="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Priovant anticipates receiving topline results from this study in the second half of 2023.</w:t>
      </w:r>
    </w:p>
    <w:p>
      <w:pPr>
        <w:spacing w:after="0" w:line="112" w:lineRule="exact"/>
        <w:rPr>
          <w:sz w:val="20"/>
          <w:szCs w:val="20"/>
          <w:color w:val="auto"/>
        </w:rPr>
      </w:pPr>
    </w:p>
    <w:p>
      <w:pPr>
        <w:ind w:left="1080" w:hanging="424"/>
        <w:spacing w:after="0"/>
        <w:tabs>
          <w:tab w:leader="none" w:pos="10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is also evaluating brepocitinib for the development of hidradenitis suppurativa and non-infectious uveitis.</w:t>
      </w:r>
    </w:p>
    <w:p>
      <w:pPr>
        <w:spacing w:after="0" w:line="12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Roivant ownership</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75% of the issued and outstanding shares of Priovant and 70% on a fully diluted basis.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below schematics show the trial designs for the ongoing DM Phase 3 and SLE Phase 2B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171450</wp:posOffset>
            </wp:positionV>
            <wp:extent cx="5143500" cy="3857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40" w:right="1320" w:hanging="5417"/>
        <w:spacing w:after="0" w:line="456" w:lineRule="auto"/>
        <w:rPr>
          <w:sz w:val="20"/>
          <w:szCs w:val="20"/>
          <w:color w:val="auto"/>
        </w:rPr>
      </w:pPr>
      <w:r>
        <w:rPr>
          <w:rFonts w:ascii="Times New Roman" w:cs="Times New Roman" w:eastAsia="Times New Roman" w:hAnsi="Times New Roman"/>
          <w:sz w:val="18"/>
          <w:szCs w:val="18"/>
          <w:i w:val="1"/>
          <w:iCs w:val="1"/>
          <w:color w:val="auto"/>
        </w:rPr>
        <w:t xml:space="preserve">Note: The sample size for the SLE trial is subject to a protocol amendment which requires review and approval in multiple territories. </w:t>
      </w:r>
      <w:r>
        <w:rPr>
          <w:rFonts w:ascii="Times New Roman" w:cs="Times New Roman" w:eastAsia="Times New Roman" w:hAnsi="Times New Roman"/>
          <w:sz w:val="18"/>
          <w:szCs w:val="18"/>
          <w:color w:val="auto"/>
        </w:rPr>
        <w:t>41</w:t>
      </w:r>
    </w:p>
    <w:p>
      <w:pPr>
        <w:sectPr>
          <w:pgSz w:w="11900" w:h="16838" w:orient="portrait"/>
          <w:cols w:equalWidth="0" w:num="1">
            <w:col w:w="11060"/>
          </w:cols>
          <w:pgMar w:left="320" w:top="482"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Kinevant Overview</w:t>
      </w:r>
    </w:p>
    <w:p>
      <w:pPr>
        <w:spacing w:after="0" w:line="252"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Kinevant is focused on developing namilumab for sarcoidosis and potentially other diseases.</w:t>
      </w:r>
    </w:p>
    <w:p>
      <w:pPr>
        <w:spacing w:after="0" w:line="12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Lead program:</w:t>
      </w:r>
    </w:p>
    <w:p>
      <w:pPr>
        <w:spacing w:after="0" w:line="134" w:lineRule="exact"/>
        <w:rPr>
          <w:rFonts w:ascii="Times New Roman" w:cs="Times New Roman" w:eastAsia="Times New Roman" w:hAnsi="Times New Roman"/>
          <w:sz w:val="18"/>
          <w:szCs w:val="18"/>
          <w:b w:val="1"/>
          <w:bCs w:val="1"/>
          <w:color w:val="auto"/>
        </w:rPr>
      </w:pPr>
    </w:p>
    <w:p>
      <w:pPr>
        <w:ind w:left="1080" w:right="200" w:hanging="424"/>
        <w:spacing w:after="0" w:line="266" w:lineRule="auto"/>
        <w:tabs>
          <w:tab w:leader="none" w:pos="1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Namilumab is a fully human anti-GM-CSF monoclonal antibody with broad potential in inflammatory and autoimmune diseases being developed with potentially the least frequent dosing schedule among subcutaneous anti-GM-CSFs in Phase 2 clinical trials, with a single dose every four weeks after an initial loading period.</w:t>
      </w:r>
    </w:p>
    <w:p>
      <w:pPr>
        <w:spacing w:after="0" w:line="7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Disease overview:</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line="289" w:lineRule="auto"/>
        <w:tabs>
          <w:tab w:leader="none" w:pos="10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Sarcoidosis is a multi-system inflammatory disease characterized by the presence of non-necrotizing granulomas believed to be formed by an exaggerated immune response to unidentified antigens. Sarcoidosis primarily affects the lungs and lymphatic system, though sarcoidosis may damage any organ. GM-CSF, a key pathogenic cytokine, has been implicated in multiple parts of the granulomatous response.</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Sarcoidosis affects approximately 200,000 people in the United States, with over 90% of cases presenting with pulmonary involvement.</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estimated 54% of pulmonary sarcoidosis patients are diagnosed, and approximately 90% of these patients receive some form of treatment. Market research with HCPs and third-party analysis of claims data suggest that approximately 25% of diagnosed and treated pulmonary sarcoidosis would be eligible for treatment with second-line or later therapy.</w:t>
      </w:r>
    </w:p>
    <w:p>
      <w:pPr>
        <w:spacing w:after="0" w:line="7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of current treatments:</w:t>
      </w:r>
    </w:p>
    <w:p>
      <w:pPr>
        <w:spacing w:after="0" w:line="134" w:lineRule="exact"/>
        <w:rPr>
          <w:rFonts w:ascii="Times New Roman" w:cs="Times New Roman" w:eastAsia="Times New Roman" w:hAnsi="Times New Roman"/>
          <w:sz w:val="18"/>
          <w:szCs w:val="18"/>
          <w:b w:val="1"/>
          <w:bCs w:val="1"/>
          <w:color w:val="auto"/>
        </w:rPr>
      </w:pPr>
    </w:p>
    <w:p>
      <w:pPr>
        <w:jc w:val="both"/>
        <w:ind w:left="1080" w:right="120" w:hanging="424"/>
        <w:spacing w:after="0" w:line="266" w:lineRule="auto"/>
        <w:tabs>
          <w:tab w:leader="none" w:pos="1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Corticosteroids are the most widely used treatment for sarcoidosis, but they carry significant side effects when used longer-term. Second-and third-line treatment options, including immunosuppressive therapies and biologics, are limited by slow onset, safety risk, inconsistent effectiveness, and reimbursement challenges, leaving significant unmet medical need that could be met by a novel biologic.</w:t>
      </w:r>
    </w:p>
    <w:p>
      <w:pPr>
        <w:spacing w:after="0" w:line="7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Clinical data:</w:t>
      </w:r>
    </w:p>
    <w:p>
      <w:pPr>
        <w:spacing w:after="0" w:line="134" w:lineRule="exact"/>
        <w:rPr>
          <w:rFonts w:ascii="Times New Roman" w:cs="Times New Roman" w:eastAsia="Times New Roman" w:hAnsi="Times New Roman"/>
          <w:sz w:val="18"/>
          <w:szCs w:val="18"/>
          <w:b w:val="1"/>
          <w:bCs w:val="1"/>
          <w:color w:val="auto"/>
        </w:rPr>
      </w:pPr>
    </w:p>
    <w:p>
      <w:pPr>
        <w:ind w:left="1080" w:right="60" w:hanging="424"/>
        <w:spacing w:after="0" w:line="282" w:lineRule="auto"/>
        <w:tabs>
          <w:tab w:leader="none" w:pos="1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clinical data in pharmacokinetic/pharmacodynamic (PK/PD) and subsequent Phase 2 studies showed namilumab to be well-tolerated with a single subcutaneous injection given up to every four weeks.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Phase 1 study of healthy volunteers with a single subcutaneous injection, namilumab was observed to be generally well-tolerated.</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Phase 2 trial in patients with moderate to severe rheumatoid arthritis conducted by Takeda, namilumab demonstrated decreased disease activity compared to placebo. In this trial, patients were given a subcutaneous injection of either 20, 80, or 150 mg of namilumab four times over a ten-week period. Over the 12-week study period, 14 of 27 (52%) subjects receiving placebo and 45 of 81 (56%) receiving namilumab experienced a treatment-emergent adverse event (TEAE). The most common TEAEs were nasopharyngitis, dyspnea, bronchitis, and headache.</w:t>
      </w:r>
    </w:p>
    <w:p>
      <w:pPr>
        <w:spacing w:after="0" w:line="8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p>
    <w:p>
      <w:pPr>
        <w:spacing w:after="0" w:line="134" w:lineRule="exact"/>
        <w:rPr>
          <w:rFonts w:ascii="Times New Roman" w:cs="Times New Roman" w:eastAsia="Times New Roman" w:hAnsi="Times New Roman"/>
          <w:sz w:val="18"/>
          <w:szCs w:val="18"/>
          <w:b w:val="1"/>
          <w:bCs w:val="1"/>
          <w:color w:val="auto"/>
        </w:rPr>
      </w:pPr>
    </w:p>
    <w:p>
      <w:pPr>
        <w:ind w:left="1080" w:right="60" w:hanging="424"/>
        <w:spacing w:after="0" w:line="282" w:lineRule="auto"/>
        <w:tabs>
          <w:tab w:leader="none" w:pos="1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initiated a Phase 2 trial to evaluate the safety and efficacy of namilumab in pulmonary sarcoidosis, with a readout expected in the first half of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2022, we own 88% of the issued and outstanding common shares of Kinevant, and 83% on a fully diluted basis.</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below schematic shows the trial design for the Phase 2 trial in pulmonary sarcoidosis: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171450</wp:posOffset>
            </wp:positionV>
            <wp:extent cx="4732020" cy="2065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3202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360"/>
          </w:cols>
          <w:pgMar w:left="320" w:top="482" w:right="1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Hemavant Overview</w:t>
      </w:r>
    </w:p>
    <w:p>
      <w:pPr>
        <w:spacing w:after="0" w:line="252"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20" w:hanging="424"/>
        <w:spacing w:after="0" w:line="282"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Hemavant is developing RVT-2001, a small molecule SF3B1 modulator, for the treatment of transfusion-dependent anemia in patients with lower-risk myelodysplastic syndromes (“MDS”).</w:t>
      </w:r>
    </w:p>
    <w:p>
      <w:pPr>
        <w:spacing w:after="0" w:line="6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Lead program</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440" w:hanging="424"/>
        <w:spacing w:after="0" w:line="282"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RVT-2001 is a potentially first-in-class, orally administered, small molecule SF3B1 modulator that corrects SF3B1 mutation-induced splicing defects in mRNA transcripts that encode proteins thought to be associated with the development of MDS.</w:t>
      </w:r>
    </w:p>
    <w:p>
      <w:pPr>
        <w:spacing w:after="0" w:line="6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Disease 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line="261"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Myelodysplastic syndromes are a group of hematologic malignancies in which immature blood cells in the bone marrow do not mature and become healthy blood cells. MDS patients are at risk for symptoms related to anemia, infection and bleeding, and they have variable survival expectations and rates of progression to acute myeloid leukemia. Assessment of prognosis is a key aspect in selecting therapy for the patient with MDS, and prognostic models broadly differentiate patients into either lower-risk MDS or higher-risk MDS.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there are approximately 115,000 MDS patients in the US, with approximately 17,000 new MDS cases per year, two thirds of which are lower-risk MDS.</w:t>
      </w:r>
    </w:p>
    <w:p>
      <w:pPr>
        <w:spacing w:after="0" w:line="6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of current treatments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120" w:hanging="424"/>
        <w:spacing w:after="0" w:line="282"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anemia in patients with MDS requires regular and repeated red blood cell (“RBC”) transfusions, creating a significant burden for patients and an increased risk of organ toxicity from iron overload.</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primary goals of treatment is to reduce or eliminate RBC transfusion dependence while minimizing treatment-related toxicity. The first line of treatment for most lower-risk MDS patients consists of erythropoiesis-stimulating agents (“ESAs”), which are ineffective in over 50% of patients.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who fail ESAs, the available treatment options depend on mutational status and disease phenotypes. In 2020, Reblozyl (luspatercept) became the only FDA-approved therapy for lower-risk MDS patients who are ring sideroblast positive and who have failed an ESA. Although Reblozyl can lead to transfusion independence, it is ineffective in over 50% of patients and is most effective in patients with a low transfusion burden. Reblozyl is delivered as an injection and is associated with numerous adverse events, including fatigue, a significant concern for patients already experiencing fatigue from anemia.</w:t>
      </w:r>
    </w:p>
    <w:p>
      <w:pPr>
        <w:spacing w:after="0" w:line="8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Clinical data</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line="261"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dose-escalation portion of an ongoing Phase 1/2 study, over 30% (6/19) of patients with lower-risk, transfusion-dependent MDS treated with RVT-2001 became RBC-transfusion independent (“RBC-TI”), with a median duration of treatment of approximately two years for responders. The dose-escalation portion of the study was conducted in a highly refractory patient population, which we believe may have decreased the observed treatment response relative to what would be expected in a less refractory target population.</w:t>
      </w:r>
    </w:p>
    <w:p>
      <w:pPr>
        <w:spacing w:after="0" w:line="85" w:lineRule="exact"/>
        <w:rPr>
          <w:rFonts w:ascii="Times New Roman" w:cs="Times New Roman" w:eastAsia="Times New Roman" w:hAnsi="Times New Roman"/>
          <w:sz w:val="18"/>
          <w:szCs w:val="18"/>
          <w:color w:val="auto"/>
        </w:rPr>
      </w:pPr>
    </w:p>
    <w:p>
      <w:pPr>
        <w:jc w:val="both"/>
        <w:ind w:left="1080" w:right="360" w:hanging="424"/>
        <w:spacing w:after="0" w:line="266"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dose-escalation portion of this ongoing Phase 1/2 study, which had a total of 84 patients with acute myeloid leukemia (“AML”), chronic myelomonocytic leukemia or MDS, RVT-2001 was observed to be generally well-tolerated, with the majority of events being classified as Grade 1.</w:t>
      </w:r>
    </w:p>
    <w:p>
      <w:pPr>
        <w:spacing w:after="0" w:line="7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080" w:right="120" w:hanging="424"/>
        <w:spacing w:after="0" w:line="282"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amended the IND for the ongoing open-label Phase 1/2 trial to add a dose-optimization cohort. We are enrolling a less refractory patient population in the dose-optimization cohort than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5" w:lineRule="auto"/>
        <w:rPr>
          <w:sz w:val="20"/>
          <w:szCs w:val="20"/>
          <w:color w:val="auto"/>
        </w:rPr>
      </w:pPr>
      <w:r>
        <w:rPr>
          <w:rFonts w:ascii="Times New Roman" w:cs="Times New Roman" w:eastAsia="Times New Roman" w:hAnsi="Times New Roman"/>
          <w:sz w:val="18"/>
          <w:szCs w:val="18"/>
          <w:color w:val="auto"/>
        </w:rPr>
        <w:t>population from which the first 19 lower-risk, transfusion-dependent MDS patients were drawn during the dose-escalation portion by excluding patients with prior exposure to lenalidomide or hypomethylating agents. We are targeting a genetically defined subpopulations by enrolling only lower-risk MDS patients with SF3B1 mutations. In addition, we are evaluating baseline expression of TMEM14C transcripts as a potential biomarker predictive of response to RVT-2001, since among the 7 MDS patients with the highest levels of aberrant TMEM14C transcripts in the dose-escalation portion of this Phase 1/2 trial, 71% (5/7) became RBC-TI. We also aim to strengthen the phamacodynamic effect by optimizing the dosage of RVT-2001. We expect data from the dose-optimization cohort of the Phase 1/2 trial to be available in 2023.</w:t>
      </w:r>
    </w:p>
    <w:p>
      <w:pPr>
        <w:spacing w:after="0" w:line="94" w:lineRule="exact"/>
        <w:rPr>
          <w:sz w:val="20"/>
          <w:szCs w:val="20"/>
          <w:color w:val="auto"/>
        </w:rPr>
      </w:pPr>
    </w:p>
    <w:p>
      <w:pPr>
        <w:ind w:left="1080" w:right="860" w:hanging="424"/>
        <w:spacing w:after="0" w:line="282"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plan is to position RVT-3002 as second line therapy in SF3B1-mutated patients, with the potential to expand to other spliceosome mutations and ultimately first line treatment.</w:t>
      </w:r>
    </w:p>
    <w:p>
      <w:pPr>
        <w:spacing w:after="0" w:line="6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100% of the issued and outstanding common shares of Hemavant and 100% on a fully diluted basis.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below schematic shows the trial design for the dose-optimization cohort of our ongoing Phase 1/2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171450</wp:posOffset>
            </wp:positionV>
            <wp:extent cx="5143500" cy="1637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Affivant Overview</w:t>
      </w:r>
    </w:p>
    <w:p>
      <w:pPr>
        <w:spacing w:after="0" w:line="252"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p>
    <w:p>
      <w:pPr>
        <w:spacing w:after="0" w:line="134" w:lineRule="exact"/>
        <w:rPr>
          <w:rFonts w:ascii="Times New Roman" w:cs="Times New Roman" w:eastAsia="Times New Roman" w:hAnsi="Times New Roman"/>
          <w:sz w:val="18"/>
          <w:szCs w:val="18"/>
          <w:b w:val="1"/>
          <w:bCs w:val="1"/>
          <w:color w:val="auto"/>
        </w:rPr>
      </w:pPr>
    </w:p>
    <w:p>
      <w:pPr>
        <w:jc w:val="both"/>
        <w:ind w:left="1080" w:right="140" w:hanging="424"/>
        <w:spacing w:after="0" w:line="312" w:lineRule="auto"/>
        <w:tabs>
          <w:tab w:leader="none" w:pos="108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Affivant is focused on the future development and commercialization of AFVT-2101 and other bispecific antibodies through its licensing and strategic collaboration agreement with Affimed to develop and commercialize novel innate cell engagers for multiple cancer targets.</w:t>
      </w:r>
    </w:p>
    <w:p>
      <w:pPr>
        <w:spacing w:after="0" w:line="41"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Lead program:</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line="282"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AFVT-2101 is a preclinical immune-engaging bispecific antibody licensed from Affimed with potential applicability to several solid tumor indications.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Bispecific innate cell engagers (“ICE”), which are generated by Affimed’s Redirected Optimized Cell Killing (“ROCK”) platform technology, are a novel class of drugs that activate the innate immune system and trigger a concerted anti-tumoral immune response. These bispecific antibodies consist of tumor-associated antigen binding domains, which cause high affinity and high specificity binding to the tumor surface, and immune cell binding domains, which bind and activate specific immune cell subsets able to kill the tumor cell.</w:t>
      </w:r>
    </w:p>
    <w:p>
      <w:pPr>
        <w:spacing w:after="0" w:line="85"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AFVT-2101 is an ICE program whose Fc region is fused to two high affinity CD16A binding single chain variable regions to maximize NK cell and macrophage engagement. The biological target of AFVT-2101’s tumor-associated antigen binding domain has been clinically validated via other targeted agents (mAb and ADC), including both evidence of single agent activity and a generally well-tolerated safety profile of the corresponding mAb in published studies.</w:t>
      </w:r>
    </w:p>
    <w:p>
      <w:pPr>
        <w:spacing w:after="0" w:line="85"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AFVT-2101 has potential applicability across several highly prevalent solid tumor types, providing the optionality to pursue multiple large-market indications.</w:t>
      </w:r>
    </w:p>
    <w:p>
      <w:pPr>
        <w:spacing w:after="0" w:line="6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Preclinical data:</w:t>
      </w:r>
    </w:p>
    <w:p>
      <w:pPr>
        <w:spacing w:after="0" w:line="134" w:lineRule="exact"/>
        <w:rPr>
          <w:rFonts w:ascii="Times New Roman" w:cs="Times New Roman" w:eastAsia="Times New Roman" w:hAnsi="Times New Roman"/>
          <w:sz w:val="18"/>
          <w:szCs w:val="18"/>
          <w:b w:val="1"/>
          <w:bCs w:val="1"/>
          <w:color w:val="auto"/>
        </w:rPr>
      </w:pPr>
    </w:p>
    <w:p>
      <w:pPr>
        <w:ind w:left="1080" w:right="400" w:hanging="424"/>
        <w:spacing w:after="0" w:line="282"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head-to-head preclinical study, AFVT-2101’s potency, as measured by target cell killing, exceeded that of a monoclonal antibody (“mAb”) that has been clinically validated against the same tumor target.</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AFVT-2101’s potency also exceeded the potency of antibody-drug conjugate (“ADC”) agents that have been clinically validated against the same tumor target, as reported in published preclinical studies.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preclinical and clinical experiences with other ICE antibodies in separate studies, we believe that the tolerability of AFVT-2101 has the potential to be superior to that observed to date with ADCs in published literature.</w:t>
      </w:r>
    </w:p>
    <w:p>
      <w:pPr>
        <w:spacing w:after="0" w:line="6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file an IND for AFVT-2101 in the first half of calendar year 2023.</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collaboration and licensing agreement between Affivant and Affimed, Affimed is conducting a significant portion of the AFVT-2101 preclinical work for the collaboration under the governance of a Joint Steering Committee controlled by Affivant.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agreement Affivant will be responsible for submitting any IND or equivalent for AFVT-2101, and will be responsible for all future clinical development and commercialization worldwide, with Affimed retaining an option for co-promotion.</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have the option to license from Affimed additional ICE molecules directed against targets that are not (a) currently licensed or optioned to third parties or (b) directed against targets included in Affimed’s current pipeline.</w:t>
      </w:r>
    </w:p>
    <w:p>
      <w:pPr>
        <w:spacing w:after="0" w:line="6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100% of the issued and outstanding common shares of Affivant and 99% on a fully diluted basis.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82"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 Acquisition and License Agreements; Other Vant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Dermavant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GSK and Welichem Agreements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July 2018, our subsidiary Dermavant Sciences GmbH (“DSG”) acquired the worldwide rights (other than for China) with respect to certain intellectual property rights retained by Welichem Biotech Inc. (“Welichem”) to VTAMA and related compounds from Glaxo Group Limited and GlaxoSmithKline Intellectual Property Development Ltd. (collectively, “GSK”) pursuant to an asset purchase agreement (the “GSK Agreement”). GSK previously acquired rights to a predecessor formulation of VTAMA from Welichem pursuant to an asset purchase agreement between GSK and Welichem entered into in May 2012 (the “Welichem Agreement”). Under the GSK Agreement, DSG made an upfront payment of £150.0 million (approximately $191 million) to GSK.</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DSG is also obligated to pay GSK £100.0 million (approximately $126 million on the date of achievement) within 70 days following the receipt of marketing approval of VTAMA in the United States. The GSK Agreement does not require DSG to pay any royalties on sales of VTAMA following commercialization or make any commercial milestone payments, except for milestones owed to Welichem as described below.</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addition, under the GSK Agreement, DSG assumed all obligations under the Welichem Agreement, including initially up to CAD$180.0</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million in potential development and commercial milestone payments, of which CAD$80.0 million have been achieved and paid as of March 31, 2022.</w:t>
      </w:r>
    </w:p>
    <w:p>
      <w:pPr>
        <w:spacing w:after="0" w:line="207"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In August 2018, in connection with the GSK Agreement, DSG and GlaxoSmithKline Trading Services Limited (“GSK Trading”) entered into a clinical manufacturing and supply agreement for VTAMA pursuant to which DSG obtained an existing supply of VTAMA drug product and drug substance as well as additional supply of VTAMA drug product for clinical trials on a cost plus basis. As required under the GSK Agreement, in April 2019, DSG and GSK Trading also entered into a commercial manufacturing and supply agreement (the “Commercial Supply Agreement”) pursuant to which DSG will obtain VTAMA drug product and drug substance from GSK Trading. Under the Commercial Supply Agreement, GSK Trading will provide development services to prepare for the manufacture and supply of VTAMA at commercial scale. DSG will obtain commercial supply of VTAMA on a cost plus basis under the Commercial Supply Agreement.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 with Japan Tobacco Inc.</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January 2020, DSG entered into a collaboration and license agreement with Japan Tobacco Inc. (“Japan Tobacco”) (the “Japan Tobacco Agreement”). Pursuant to the Japan Tobacco Agreement, DSG granted Japan Tobacco exclusive rights to develop, register and market tapinarof in Japan for the treatment of dermatological diseases and conditions, including psoriasis and atopic dermatitis. In connection with the Japan Tobacco Agreement, Japan Tobacco has signed an exclusive license with its subsidiary, Torii, for co-development and commercialization of tapinarof in Japan.</w:t>
      </w:r>
    </w:p>
    <w:p>
      <w:pPr>
        <w:spacing w:after="0" w:line="180"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Under the Japan Tobacco Agreement, DSG has received (i) an upfront payment of $60.0 mllion in January 2020 and (ii) a payment of $10.0 million in December 2021 related to development milestones that were achieved, and DSG may receive up to an additional $43.0 million upon the achievement of certain development milestones for tapinarof in psoriasis and atopic dermatitis. In addition, DSG will be entitled to tiered purchase prices specified in the Japan Tobacco Agreement in consideration of DSG’s commercial supply of tapinarof to Japan Tobacco under the terms of a separate commercial supply agreement to be negotiated by the parties. DSG also has the right to receive royalties, to be negotiated by the parties and consistent with the purchase prices, based on product sales of tapinarof in the indications to the extent that DSG is no longer responsible for supplying tapinarof to Japan Tobacco.</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Japan Tobacco Agreement will remain in effect until expiration of the obligation to pay royalties, unless terminated in accordance with the following: (1) for any reason by Japan Tobacco upon written notice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DSG, which notice must be provided (x) at least 90 days in advance, if the termination is prior to regulatory approval of tapinarof in Japan for any dermatological disease or condition, and (y) at least 180 days in advance, if the termination is subsequent to regulatory approval of tapinarof in Japan for any dermatological disease or condition; (2) by either party upon written notice for the other party’s material breach if such party fails to cure such breach within the specified cure period; or (3) by DSG if Japan Tobacco or its affiliates or sublicenses participate in a challenge to certain of our patents.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Dermavant Financing Agreements—Dermavant Revenue Interest Purchase and Sale Agreement</w:t>
      </w:r>
    </w:p>
    <w:p>
      <w:pPr>
        <w:spacing w:after="0" w:line="119" w:lineRule="exact"/>
        <w:rPr>
          <w:sz w:val="20"/>
          <w:szCs w:val="20"/>
          <w:color w:val="auto"/>
        </w:rPr>
      </w:pPr>
    </w:p>
    <w:p>
      <w:pPr>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In May 2021, DSG, as seller, entered into a Revenue Interest Purchase and Sale Agreement (the “RIPSA”) with XYQ Luxco, NovaQuest Co-Investment Fund XVII, L.P., an affiliate of NovaQuest Capital Management, LLC, and MAM Tapir Lender, LLC, an affiliate of Marathon Asset Management, L.P. (collectively, the “Purchasers”), together with U.S. Bank National Association, as collateral agent.</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June 2022, following satisfaction of the funding conditions set forth in the RIPSA, including receipt of marketing approval from the FDA for VTAMA (received in May 2022), the Purchasers paid DSG a total of $160.0 million in accordance with the terms and conditions set forth in the RIPSA (the “Purchase Price”). In consideration therefor, each of the Purchasers has the right to receive a low single-digit to high single-digit tiered percentage of quarterly revenues based on the achievement of specified net sales thresholds for VTAMA in the U.S., up to a cap of $344.0 million. Payments of such quarterly revenues to the Purchasers under the RIPSA are secured by a security interest in certain VTAMA-related assets, including intellectual property rights and certain other assets that are owned by, licensed to or otherwise controlled by DSG related to the development and commercialization of VTAMA.</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RIPSA contains certain representations and warranties and covenants applicable to DSL and its subsidiaries. The RIPSA also contains certain Events of Default (as defined in the RIPSA) such as the breach of payment and other obligations, bankruptcy-related events and cross-defaults with respect to other related documents and agreements creating indebtedness. The occurrence of an Event of Default following the Purchasers’ funding of the Purchase Price triggers DSG’s obligation to pay an Event of Default Fee (as defined in the RIPSA) of $160.0 million, less revenue payments previously paid, as liquidated damages. In addition, the occurrence of a change of control of DSG prior to the Purchasers funding the Purchase Price triggers DSG’s right, but not the obligation, to terminate the RIPSA by payment of the Pre-Funding Change of Control Option Price (as defined in the RIPSA) to all of the Purchasers, which varies based on the date of termination and certain milestones with respect to VTAMA.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Dermavant Financing Agreements—Dermavant Credit Agreement with XYQ Luxco</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May 2021, our subsidiaries Dermavant Sciences Ltd. (“DSL”), Dermavant Holdings Limited, Dermavant Sciences IRL Limited and DSG, as borrowers (the “Borrowers”), and certain other subsidiaries of DSL, as initial guarantors, entered into a credit agreement (the “Credit Agreement”) with XYQ Luxco, as lender, and U.S. Bank National Association, as collateral agent. The Credit Agreement provides for a term loan of $40.0 million (the “Term Loan”), the proceeds of which were used by the Borrowers to repay in full and terminate an existing credit facility with Hercules Capital Inc., with the remaining proceeds to be used for working capital and other general corporate purposes.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Term Loan bears interest at a fixed interest rate of 10.0% per annum, with interest paid quarterly in arrears until maturity in May 2026, at which time the principal amount is due. The Borrowers have the option to prepay the Term Loan in whole or in part, subject to (i) until May 2023, a prepayment premium of 5.0% of the principal amount being repaid (plus the present value of all future scheduled interest on the principal being prepaid that would accrue through May 2023 calculated based on a discount rate equal to the treasury rate plus 100 basis points, except in the event the prepayment is due to a change of control), (ii) from May 2023 to May 2024, a prepayment premium of 5.0% of the principal amount being repaid, and (iii) from May 2024 to May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2025, a prepayment premium of 2.5% of the principal amount being repaid. From May 2025 through maturity, the Term Loan may be prepaid in whole or in part without a prepayment premium. Optional and mandatory prepayment of the Term Loan, as well as other forms of prepayment, repayment, applications or reductions, will also require that DSL pays an Exit Fee (as defined in the Credit Agreement), calculated based on the amount so prepaid, repaid, applied or reduced.</w:t>
      </w:r>
    </w:p>
    <w:p>
      <w:pPr>
        <w:spacing w:after="0" w:line="180"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Borrowers’ obligations under the Credit Agreement are unconditionally guaranteed by the initial guarantors and secured by first priority security interests in substantially all of the tangible and intangible assets of the Borrowers and guarantors, including certain intellectual property rights, bank accounts, any and all insurance receivables, intercompany receivables and/or trade receivables and certain quotas and/or participation rights.</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 contains certain representations and warranties, affirmative covenants, negative covenants and conditions that are customarily required for similar financings, including a covenant against the occurrence of a “change in control” (subject to the Borrowers’ right to prepay the Term Loan), financial reporting obligations and certain limitations on indebtedness, liens (including on intellectual property and other assets), investments, distributions (including dividends), collateral, transfers, mergers or acquisitions, taxes, corporate changes and deposit accounts.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Credit Agreement contains a minimum cash covenant that requires the initial Borrowers and the guarantors thereunder to maintain a minimum cash balance of $10.0 million until the earlier of (a) a Qualified IPO (as defined in the Credit Agreement), (b) an Ultimate Parent Spinout (as defined in the Credit Agreement), and (c) the date that XYQ Luxco, in its capacity as a purchaser under the RIPSA, has received cumulative payments from DSG under the RIPSA in an aggregate amount equal to its pro rata portion of the funding amount thereunder. The Credit Agreement also contains customary events of default (subject, in certain instances, to specified grace periods) including, but not limited to, the failure to make payments of interest, premium, fees, indemnity or principal under the Term Loan, the failure to comply with certain covenants and agreements specified in the Credit Agreement, defaults in respect of certain other indebtedness and certain events relating to bankruptcy or insolvency. If any event of default occurs, the principal, premium, if any, interest and any other monetary obligations on all the then outstanding amounts under the Term Loan may become due and payable immediately. Upon the occurrence of an event of default, a default interest rate of an additional 2% per year may be applied to the outstanding principal balance, and the lender may declare all outstanding obligations immediately due and payable and take such other actions as set forth in the Credit Agreement. Upon the occurrence of certain bankruptcy and insolvency events, the obligations under the Credit Agreement would automatically become due and payable.</w:t>
      </w:r>
    </w:p>
    <w:p>
      <w:pPr>
        <w:spacing w:after="0" w:line="190" w:lineRule="exact"/>
        <w:rPr>
          <w:sz w:val="20"/>
          <w:szCs w:val="20"/>
          <w:color w:val="auto"/>
        </w:rPr>
      </w:pPr>
    </w:p>
    <w:p>
      <w:pPr>
        <w:ind w:left="120" w:right="140" w:firstLine="440"/>
        <w:spacing w:after="0" w:line="276" w:lineRule="auto"/>
        <w:rPr>
          <w:sz w:val="20"/>
          <w:szCs w:val="20"/>
          <w:color w:val="auto"/>
        </w:rPr>
      </w:pPr>
      <w:r>
        <w:rPr>
          <w:rFonts w:ascii="Times New Roman" w:cs="Times New Roman" w:eastAsia="Times New Roman" w:hAnsi="Times New Roman"/>
          <w:sz w:val="17"/>
          <w:szCs w:val="17"/>
          <w:color w:val="auto"/>
        </w:rPr>
        <w:t>On the closing date of the Term Loan and in accordance with the Credit Agreement, DSL issued to XYQ Luxco a warrant to purchase an aggregate of 1,199,072 common shares of DSL. The warrant is exercisable at any time until the earlier of (x) seven years from the date of issuance and</w:t>
      </w:r>
    </w:p>
    <w:p>
      <w:pPr>
        <w:spacing w:after="0" w:line="1" w:lineRule="exact"/>
        <w:rPr>
          <w:sz w:val="20"/>
          <w:szCs w:val="20"/>
          <w:color w:val="auto"/>
        </w:rPr>
      </w:pPr>
    </w:p>
    <w:p>
      <w:pPr>
        <w:ind w:left="120" w:right="20" w:hanging="4"/>
        <w:spacing w:after="0" w:line="255" w:lineRule="auto"/>
        <w:tabs>
          <w:tab w:leader="none" w:pos="3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years from the closing of an underwritten initial public offering of DSL’s common shares pursuant to an effective registration statement. The warrant includes customary registration rights and customary anti-dilution provisions for the common shares underlying the warrant in respect of certain corporate events (including share splits, share combinations, share dividends and other recapitalization transactions).</w:t>
      </w:r>
    </w:p>
    <w:p>
      <w:pPr>
        <w:spacing w:after="0" w:line="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Immunovant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 Agreement with HanAll Biopharma Co., Ltd.</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December 2017, our wholly owned subsidiary, Roivant Sciences GmbH (“RSG”), entered into a license agreement with HanAll Biopharma Co., Ltd. (“HanAll”) (the “HanAll Agreement”). Under the HanAll Agreement, RSG received (i) the non-exclusive right to manufacture and (ii) the exclusive, royalty-bearing right to develop, import and use the antibody referred to as IMVT-1401 and certain back-up and next-generation antibodies, and products containing such antibodies, and to commercialize such products, in the United States,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72" w:lineRule="auto"/>
        <w:rPr>
          <w:sz w:val="20"/>
          <w:szCs w:val="20"/>
          <w:color w:val="auto"/>
        </w:rPr>
      </w:pPr>
      <w:r>
        <w:rPr>
          <w:rFonts w:ascii="Times New Roman" w:cs="Times New Roman" w:eastAsia="Times New Roman" w:hAnsi="Times New Roman"/>
          <w:sz w:val="17"/>
          <w:szCs w:val="17"/>
          <w:color w:val="auto"/>
        </w:rPr>
        <w:t>Canada, Mexico, the E.U., the U.K., Switzerland, the Middle East, North Africa and Latin America (the “HanAll Licensed Territory”), for all human and animal uses. RSG also received the right to grant a sublicense, with prior written notice to HanAll of such sublicense, to: (i) a third-party in any country in the HanAll Licensed Territory outside of the United States and E.U.; (ii) an affiliate of RSG in any country in the HanAll Licensed Territory; and</w:t>
      </w:r>
    </w:p>
    <w:p>
      <w:pPr>
        <w:spacing w:after="0" w:line="2" w:lineRule="exact"/>
        <w:rPr>
          <w:sz w:val="20"/>
          <w:szCs w:val="20"/>
          <w:color w:val="auto"/>
        </w:rPr>
      </w:pPr>
    </w:p>
    <w:p>
      <w:pPr>
        <w:ind w:left="120" w:right="60" w:hanging="4"/>
        <w:spacing w:after="0" w:line="250" w:lineRule="auto"/>
        <w:tabs>
          <w:tab w:leader="none" w:pos="4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in the United States and E.U. only after submission of a biologics license application in the United States or a Marketing Authorization Application in the E.U. Pursuant to the HanAll Agreement, RSG granted to HanAll an exclusive, royalty-free license under certain RSG</w:t>
      </w:r>
    </w:p>
    <w:p>
      <w:pPr>
        <w:ind w:left="12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know-how and other intellectual property relating to such antibodies and products to develop, manufacture and commercialize such antibodies and products for use outside of the HanAll Licensed Territory.</w:t>
      </w:r>
    </w:p>
    <w:p>
      <w:pPr>
        <w:spacing w:after="0" w:line="18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December 2018, Immunovant Sciences GmbH, (“ISG”) obtained and assumed all rights, title, interest and obligations under the HanAll Agreement from RSG, including all rights to IMVT-1401 in the HanAll Licensed Territory, for an aggregate purchase price of $37.8 million. HanAll and RSG have agreed that neither they nor certain of their affiliates will clinically develop or commercialize certain competitive products in the HanAll Licensed Territory.</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Under the HanAll Agreement, the parties may choose to collaborate on a research program directed to the research and development of next generation FcRn inhibitors in accordance with an agreed plan and budget. ISG is obligated to reimburse HanAll for half of such research and development expenses incurred by HanAll, up to an aggregate reimbursement amount of $20.0 million.</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Pursuant to the HanAll Agreement, RSG made an upfront payment of $30.0 million to HanAll in December 2017. In May 2019, ISG achieved its first development and regulatory milestone, which resulted in a $10.0 million milestone payment that ISG subsequently paid to HanAll in August 2019. ISG will be responsible for future contingent payments and royalties, including up to a maximum of $442.5 million upon the achievement of certain development, regulatory and sales milestone events. ISG is also obligated to pay HanAll tiered royalties ranging from the mid-single digits</w:t>
      </w:r>
    </w:p>
    <w:p>
      <w:pPr>
        <w:spacing w:after="0" w:line="3" w:lineRule="exact"/>
        <w:rPr>
          <w:sz w:val="20"/>
          <w:szCs w:val="20"/>
          <w:color w:val="auto"/>
        </w:rPr>
      </w:pP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to mid-teens on net sales of licensed products, subject to standard offsets and reductions as set forth in the HanAll Agreement. These royalty obligations apply on a product-by-product and country-by-country basis and end upon the latest of (i) the date on which the last valid claim of the licensed patents that cover such licensed product in such country expires, (ii) the date on which the data or market exclusivity for such licensed product in such country expires or (iii) 11 years after the first commercial sale of such licensed product in such country. The HanAll Agreement will expire on</w:t>
      </w:r>
    </w:p>
    <w:p>
      <w:pPr>
        <w:spacing w:after="0" w:line="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 product-by-product basis on the expiration of the last royalty term with respect to a given licensed product, unless earlier terminated. ISG may terminate the HanAll Agreement in its entirety without cause upon 180 days’ written notice following 30 days of discussion. Either party may terminate the HanAll Agreement upon 60 days’ written notice for uncured material breach (or 30 days in the case of non-payment), or immediately upon written notice if the other party files a voluntary petition, is subject to a substantiated involuntary petition or for certain other solvency events. HanAll may terminate the HanAll Agreement if ISG or its affiliates challenge the validity or enforceability of any of the licensed patents.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Proteovant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Michigan Research Agreement</w:t>
      </w:r>
    </w:p>
    <w:p>
      <w:pPr>
        <w:spacing w:after="0" w:line="11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January 2018, our subsidiary Oncopia entered into a research agreement with the Regents of the University of Michigan (the “University of Michigan”) (the “Michigan Research Agreement”). Pursuant to the Michigan Research Agreement, Oncopia and the University of Michigan are collaborating to discover and optimize small molecule protein degraders. Any intellectual property developed under the Michigan Research Agreement that is directed to certain targets will be licensed by the University of Michigan to Oncopia pursuant to the Michigan License Agreement, as described below. Pursuant to the Michigan Research Agreement, Oncopia is obligated to provide a low eight-digit amount in funding between 2021 and 2023. Unless earlier terminated based on customary termination rights or extended by mutual agreement, the Research Agreement continues until December 2023.</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Michigan License Agreement</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November 2020, Oncopia entered into an amended and restated patent license agreement with the University of Michigan (the “Michigan License Agreement”), pursuant to which the University of Michigan granted Oncopia an exclusive, worldwide, sublicensable license under certain patents related to certain existing small molecule protein degraders and certain future small molecule protein degraders that may be developed under the Michigan Research Agreement to make, use and commercialize certain products covered by such patents. Such license grant is subject to, among other things, certain rights required to be granted under prior research or sponsorship agreements.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Under the Michigan License Agreement, Oncopia is obligated to pay the University of Michigan a low-to-mid single-digit royalty on net sales of each licensed product. Oncopia’s royalty obligations apply on a product-by-product, country-by-country basis and end upon the expiration of</w:t>
      </w:r>
    </w:p>
    <w:p>
      <w:pPr>
        <w:ind w:left="120" w:right="180"/>
        <w:spacing w:after="0" w:line="251" w:lineRule="auto"/>
        <w:rPr>
          <w:sz w:val="20"/>
          <w:szCs w:val="20"/>
          <w:color w:val="auto"/>
        </w:rPr>
      </w:pPr>
      <w:r>
        <w:rPr>
          <w:rFonts w:ascii="Times New Roman" w:cs="Times New Roman" w:eastAsia="Times New Roman" w:hAnsi="Times New Roman"/>
          <w:sz w:val="18"/>
          <w:szCs w:val="18"/>
          <w:color w:val="auto"/>
        </w:rPr>
        <w:t>the last-to-expire valid claim of the licensed patents under the University of Michigan Agreement which covers such licensed product in such country. The patents and pending patent applications, if granted, currently licensed under the Michigan License Agreement are expected to expire as early as 2037, and as late as 2042, without giving effect to any potential patent term extensions or patent term adjustments. Oncopia is obligated to pay the University of Michigan minimum annual royalties in the low five-digit range from March 2021 until the first commercial sale of a licensed product, at which time such minimum annual royalties will increase to a low six-digit amount. Oncopia may also be obligated to pay up to a maximum of a high seven-digit amount in development and commercial milestone payments on a per product basis. Unless earlier terminated based on customary termination rights, the term of the Michigan License Agreement will continue until the expiration of the last-to-expire valid claim of the licensed patents.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Genevant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Cross-License Agreement with Arbutus Biopharma Corporation</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April 2018, our subsidiary, Genevant Sciences Ltd. (together with its subsidiaries, “Genevant”), entered into a cross-license agreement with our affiliate, Arbutus Biopharma Corporation (“Arbutus”), which the parties amended twice in June 2018 (as amended, the “Arbutus Cross-License Agreement”). Pursuant to the Arbutus Cross-License Agreement Arbutus granted Genevant an exclusive, sublicensable, worldwide, transferable, irrevocable and perpetual license under certain patents and know-how relating to Arbutus’s lipid nanoparticle and GaINAc technology</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 RNA-based applications other than hepatitis B virus (“HBV”), and certain other excluded fields. The license is subject to certain rights which have previously been licensed by Arbutus to other third parties. Under the Arbutus Cross-License Agreement, Genevant granted back to Arbutus an exclusive, sublicensable, worldwide, irrevocable, perpetual, royalty-free license under the intellectual property licensed under the Arbutus Cross-License Agreement and certain intellectual property acquired by Genevant after the effective date of the Arbutus Cross-License Agreement for applications involving the treatment and prevention of HBV.</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Genevant is obligated to pay Arbutus tiered low single-digit percentage royalties on sales of products covered by the licensed patents. If Genevant sublicenses intellectual property licensed from Arbutus or collaborates with any third-party to develop, manufacture or commercialize any products covered by the intellectual property licensed by Arbutus, it will be required to pay Arbutus the lesser of (i) up to 20% of the Royalty-Related Receipts (as defined in the Arbutus Cross-License Agreement) received by Genevant from such sublicensees or collaborators and (ii) tiered low single-digit royalties on net sales by sublicensees. Genevant’s royalty obligations apply on a product-by-product, country-by-country basis and end on the date on which the last valid claim of the licensed patents in such country that covers such licensed product expires. The patents and pending patent applications, if granted, currently licensed under the Arbutus Cross-License Agreement are expected to expire as early as 2023, and as late as 2039, without giving effect to any potential patent term extensions or patent term adjustments. Unless earlier terminated based on customary termination rights, the Arbutus Cross-License Agreement will continue until the expiration of Genevant’s royalty obligations.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December 2021, Arbutus and Genevant Sciences GmbH, as an assignee of Genevant, entered into the third amendment (the “Amendment”) to the Arbutus Cross License Agreement, which, among other things, clarified the treatment of proceeds received by Genevant from an action for infringement by any third parties of Arbutus’s intellectual property licensed to Genevant. In such an infringement action, Arbutus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 The Amendment also clarified that, if a third-party sublicensee of intellectual property licensed by Genevant from Arbutus commercializes a sublicensed product, Arbutus becomes entitled to receive a specified percentage of certain revenue that may be received by Genevant for such sublicense, including royalties, commercial milestones and other sales 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Hemavant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 Agreement with Eisai Co. Ltd.</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November 2021, our subsidiary, Pharmavant 7 GmbH (“Hemavant”), entered into a license agreement with Eisai Co. Ltd. (“Eisai”) (the “Eisai License Agreement”). Pursuant to the Eisai License Agreement, Eisai granted Hemavant (i) an exclusive, worldwide, sublicensable, royalty-bearing license under certain patents and know-how and (ii) a non-exclusive, worldwide, sublicensable, royalty-bearing license under certain additional patents, know-how and inventions, in each case, to develop, manufacture and commercialize the compound known as RVT-2001 and products incorporating RVT-2001 (“licensed products”) for all human and animal uses.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Hemavant paid Eisai an upfront fee of $15.0 million, consisting of (i) $8.0 million in cash and (ii) newly issued Roivant Common Shares with a value of $7.0 million. Hemavant may also be obligated to pay up to a maximum of $65.0 million in development and regulatory milestone payments (with respect to the product for the first indication) and up to a maximum of $18.0 million in payments (with respect to the product for each additional indication) and up to a maximum of $295.0 million in commercial milestone payments. Hemavant may also be obligated to pay a tiered high single-digit to sub-teens royalty, subject to certain customary reductions, on net sales of licensed products. Hemavant’s royalty obligations apply on a licensed product-by-licensed product, country-by-country basis commencing on the first commercial sale of such licensed product in such country and ending upon the latest of (i) the date on which the last valid claim of the licensed patents that cover the licensed product in such country expires, (ii) ten years after the first commercial sale of such licensed product in such country and (iii) the date on which the regulatory exclusivity for such licensed product in such country expires. Unless earlier terminated based on customary termination rights, the Eisai License Agreement will continue in effect until it expires (i) on a licensed product-by-licensed product and country-by-country basis upon the expiration of the royalty term with respect to such licensed product in such country and (ii) in its entirety upon the expiration of all applicable royalty obligations with respect to all licensed products in all countries.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Priovant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 and Collaboration Agreement with Pfizer, Inc.</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September 2021, our subsidiary, Priovant Therapeutics, Inc. (“Priovant”), entered into a license and collaboration agreement with Pfizer, Inc. (“Pfizer”) (the “Pfizer License Agreement”). Pursuant to the Pfizer License Agreement, Pfizer granted Priovant (i) an exclusive, worldwide, sublicensable, royalty-bearing license under certain patents and (ii) a non-exclusive, worldwide, sublicensable, royalty-bearing license under certain know-how, in each case, to develop, manufacture and commercialize Brepo and TYK2 compounds and products incorporating such compounds for all human and animal uses. In exchange for Pfizer’s inventory of these compounds, Priovant paid Pfizer $10.0 million. Priovant also granted back to Pfizer (i) an exclusive,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sublicensable, royalty-bearing license under certain patents and (ii) a non-exclusive, sublicensable, royalty-bearing license under certain know-how, in each case, to commercialize (x) Brepo and products incorporating such compound outside of the U.S. and Japan, and (y) TYK2 compounds and products incorporating such compound outside of the U.S., in each case for all human and animal uses.</w:t>
      </w:r>
    </w:p>
    <w:p>
      <w:pPr>
        <w:spacing w:after="0" w:line="176"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Priovant is obligated to pay Pfizer a mid tens-of-millions sales milestone payment if aggregate net sales of its licensed products in Priovant’s territory in a given year exceed a mid hundreds-of-millions amount. Pfizer is obligated to pay Priovant a low tens-of-millions milestone payment if aggregate net sales of its licensed products outside of Priovant’s territory in a given year exceed a mid hundreds-of-millions amount.</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Priovant is obligated to pay Pfizer a tiered, sub-teens royalty, on aggregate net sales of its licensed products in Priovant’s territory. Pfizer is obligated to pay Priovant a tiered high single-digit to sub-teens royalty, on aggregate net sales of its licensed products outside of Priovant’s territory. Each of Priovant’s and Pfizer’s royalty obligations apply on a product-by-product and country-by-country basis and end upon the expiration of a customary royalty term, which is the latest of (a) a certain amount of years following the first commercial sale of the applicable products in the applicable country, (b) the date on which the regulatory exclusivity provided by the applicable government authority for the applicable products in that country expires and (c) the date upon which the use, sale, offer for sale or importation of such product in such country would no longer be covered by a valid claim of a licensed product right. Either party may terminate for the other party’s uncured breach and Priovant has the right to terminate for convenience.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Our commercial success depends in part on our ability to obtain and maintain proprietary protection for current and future products and product candidates, technologies and know-how; to operate without infringing, misappropriating or otherwise violating the proprietary rights of others; and to prevent others from infringing our proprietary rights. Our policy is to seek to protect our proprietary position by, among other methods, filing</w:t>
      </w:r>
    </w:p>
    <w:p>
      <w:pPr>
        <w:spacing w:after="0" w:line="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or in-licensing U.S. and foreign patents and patent applications related to our proprietary technology, inventions and improvements that are important to the development and implementation of our business. We may also rely on trade secrets, know-how, continuing technological innovation and potential in-licensing opportunities to develop and maintain our proprietary position.</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like us are generally uncertain and involve complex legal and factual questions. No consistent policy regarding the scope of claims allowable in patents in the fields of genetic therapy, cell therapy, biologics or pharmaceutical products generally has emerged in the United States or in Europe, among other countries. Changes in the patent laws and rules, either by legislation, judicial decisions, or regulatory interpretation in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We cannot be sure that any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product candidates and technology. Moreover, our issued patents and those that may issue in the future may not guarantee us the right to practice our technology in relation to the commercialization of our product candidates or technology. The area of patents and other intellectual property rights in biotechnology is an evolving one with many risks and uncertainties, which may prevent us from commercializing our current and future products and product candidates and practicing our proprietary technology.</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issued patents and those that may issue in the future may be challenged, narrowed, circumvented or invalidated, which could limit our ability to stop competitors from marketing related products or technologies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82"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or limit the length of the term of patent protection that we may have for our current and future products and product candidates and technologies. In addition, the rights granted under any issued patents may not provide us with complete protection or competitive advantages against competitors or other third parties with similar technology. Furthermore, our competitors may independently develop similar technologies that achieve similar outcomes but with different approaches. For these reasons, we may have competition for our product candidates. Moreover, the time required for development, testing and regulatory review of our product candidates may shorten the length of effective patent protection following commercialization. For this and other risks related to our proprietary technology, inventions, improvements, platforms and product candidates, please see the section entitled “Risk Factors— Risks Related to Roivant’s Business and Industry—Risks Related to Our Intellectual Property.”</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Dermavant</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May 1, 2022, DSG is the exclusive owner of patent families that include six issued U.S. patents and at least 10 pending U.S. patent applications, as well as more than 25 issued patents and more than 50 pending patent applications in other jurisdictions, including the European Union and Japan, relating to VTAMA, the synthesis of VTAMA, intermediates made in the synthesis, the drug substance crystal form, topical formulations of VTAMA and uses thereof in certain diseases and disorders.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One of these patent families is directed to the topical formulation of VTAMA, and its use to treat plaque psoriasis, that Dermavant has evaluated in Phase 3 clinical trials, as well as its use to treat atopic dermatitis which has been evaluated in Phase 2b clinical trials, which includes a patent that was issued in the United States and has a natural expiration date in 2036, without taking into account any possible patent term adjustment or extensions and assuming payment of all appropriate maintenance, renewal, annuity, or other governmental fees. This formulation patent includes 113 claims directed to topical, homogeneous, oil-in-water micro-emulsions containing VTAMA, an oil phase, a surfactant and other specific ingredients. DSG also owns an issued patent in the United States covering methods of using the patented formulations to treat inflammatory diseases, including psoriasis and atopic dermatitis. Like the formulation patent, the method-of-use patent has a natural expiration date in 2036 in the United States, without taking into account any possible patent term adjustment or extensions and assuming payment of all appropriate maintenance, renewal, annuity, or other governmental fees. The foreign counterpart formulation and method-of-use applications are pending, and if patents issue from these applications, they will also have a natural expiration date in 2036, without taking into account any possible patent term adjustment or extensions and assuming payment of all appropriate maintenance, renewal, annuity, or other governmental fees.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DSG also owns a drug substance (“DS”) patent in the United States covering the high purity crystal form of VTAMA, as DS, the DS synthesis and several novel intermediates that are formed in the synthesis. This DS patent has a natural expiration date in 2038, without taking into account any possible patent term adjustment or extensions and assuming payment of all appropriate maintenance, renewal, annuity, or other governmental fees. DSG has also filed foreign counterpart DS applications that are still pending in foreign jurisdictions and, if patents issue from these applications, they will similarly have a natural expiration date in 2038, without taking into account any possible patent term adjustment or extensions and assuming payment of all appropriate maintenance, renewal, annuity, or other governmental fees.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IMVT-1401</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Following ISG’s assumption of all rights, title, interest and obligations under the HanAll Agreement from RSG in December 2018, by virtue of the license of patent rights under the HanAll Agreement, ISG is the exclusive licensee of technology directed to IMVT-1401, and certain back-up and next-generation antibodies, and products containing such antibodies, in the licensed territory. As of May 1, 2022, the patent portfolio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includes pending patent applications and/or issued patent(s) in the United States and numerous foreign jurisdictions. The in-licensed patent portfolio includes a patent family that discloses anti-FcRn antibodies, pharmaceutical compositions thereof, methods of treating autoimmune disease using the same, polynucleotides encoding such antibodies, expression vectors including such polynucleotides, host cells transfected with such recombinant expression vectors, methods of manufacturing such antibodies and methods of detecting FcRn in vivo or in vitro using such antibodies. This patent family includes an issued U.S. patent with claims directed to an isolated anti-FcRn antibody or antigen-binding fragment thereof, and a pharmaceutical composition comprising such antibody or antigen-binding fragment thereof as well as a second issued U.S. patent with claims directed to an isolated anti-FcRn antibody or antigen-binding fragment thereof, a pharmaceutical composition thereof as well as methods of treating various autoimmune diseases using such antibody or antigen-binding fragment, polynucleotides and expression vectors encoding the same, host cells capable of expressing the same and methods of producing such antibody or antigen-binding fragment. The patents and pending applications of this patent family, if issued, are expected to expire as early as 2035, in each case without taking into account any possible patent term adjustment or extensions and assuming payment of all appropriate maintenance, renewal, annuity, or other governmental fees. In addition, the in-licensed patent portfolio includes another patent family that discloses a formulation for an anti-FcRn antibody with any patent issued therefrom expected to expire in 2041. For information regarding ISG’s license agreement with HanAll, please see “—Asset Acquisitions and License Arrangements.”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as of May 1, 2022, independent of the licensed patent portfolio, ISG has a patent family directed to methods of treating thyroid eye disease using anti-FcRn antibodies that includes patent applications in the United States as well as foreign counterparts in certain jurisdictions within its licensed territory and another patent family that includes an internationally filed patent application directed to methods of treating warm autoimmune hemolytic anemia using anti-FcRn antibodies. Any patent issued from these patent families is expected to expire in 2039 and 2040, respectively, exclusive of any patent term adjustment or extension.</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Proteovant</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May 1, 2022, we own, co-own or have licensed rights to 28 patent families containing four issued U.S. patents, two issued European patents, 26 patents in a number of other jurisdictions and containing at least 80 pending patent applications in the U.S., Europe and a number of other jurisdictions. These patents and pending applications, if issued, are expected to expire as early as 2037, without taking into account any possible patent term adjustment or extensions and assuming payment of all appropriate maintenance, renewal, annuity, or other governmental fees.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Genevant</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May 1, 2022, we own or co-own 18 patent families containing at least 44 issued patents and at least 64 pending patent applications in the U.S., European Union and numerous other jurisdictions, including claims relating to lipid nanoparticle delivery technology and polymers. These patents and pending applications, if issued, are expected to expire between 2024 and 2041, in each case without taking into account any possible patent term adjustment or extensions and assuming payment of all appropriate maintenance, renewal, annuity or other governmental fees.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May 1, 2022, we have licensed 37 patent families containing at least 479 issued patents and at least 217 pending patent applications in the U.S., European Union and numerous other jurisdictions, including claims relating to delivery systems. These patents and pending applications, if issued, are expected to expire between 2021 and 2039, in each case without taking into account any possible patent term adjustment or extensions and assuming payment of all appropriate maintenance, renewal, annuity or other governmental fees.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Hemavant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of May 1, 2022, Hemavant has exclusively licensed rights to four patent families containing at least 87 issued patents and 27 pending patent applications in the U.S. and other jurisdictions, including the European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82"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Union and Japan, with claims covering a composition of matter, a polymorph, methods of treating MDS, and biomarkers for MDS. These exclusively licensed patents and pending applications, if issued, are expected to expire as early as 2037, in each case without taking into account any possible patent term adjustment or extensions and assuming payment of all appropriate maintenance, renewal, annuity, or other governmental fees.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May 1, 2022 Hemavant has non-exclusively licensed rights to three patent families containing at least 12 issued patents and 28 pending patent applications in the U.S. and other jurisdictions with claims covering methods of treating splice mutant cancers, spliceosome mutations, and combinations of a spliceosome modulator and a BCL inhibitor. The non-exclusively licensed patents and pending applications, if issued, are expected to expire as early as 2037, in each case without taking into account any possible patent term adjustment or extensions and assuming payment of all appropriate maintenance, renewal, annuity, or other governmental fees.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Priovant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May 1, 2022, Priovant Therapeutics, Inc. has (1) exclusively licensed rights to four patent families for brepocitinib containing at least 149 issued patents and 77 pending patent applications in the U.S. and other jurisdictions, including the European Union and Japan, with claims covering a composition of matter, a crystalline form, a topical formulation, and a process for making brepocitinib. These patents and pending applications, if issued, are expected to expire as early as 2035, in each case without taking into account any possible patent term adjustment or extensions and assuming payment of all appropriate maintenance, renewal, annuity, or other governmental fees, and (2) exclusively licensed rights to four patent families for brepocitinib containing at least 105 issued patents and 65 pending patent applications in the U.S. and other jurisdictions, including the European Union and Japan, with claims covering a composition of matter, a method of treating hidradenitis, a method of treating ulcerative colitis, and a crystalline form. These patents and pending applications, if issued, are expected to expire as early as 2037, in each case without taking into account any possible patent term adjustment or extensions and assuming payment of all appropriate maintenance, renewal, annuity, or other governmental fees.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our reliance on patent protection for our inventions, product candidates and research programs, we also rely on trade</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secrets, know-how, continuing technological innovation and potential in-licensing opportunities to develop and maintain our competitive position. We seek to protect our proprietary information, in part, using confidentiality and invention assignment agreements with our commercial partners, collaborators, employees and consultants. These agreements are designed to protect our proprietary information and, in the case of the invention assignment agreements, to grant us ownership of technologies that are developed through a relationship with an employee or a third-party. These agreements may be breached, and we may not have adequate remedies for any breach. In addition, our trade secrets may otherwise become known or be independently discovered by competitors or other third parties. As a result, we may not be able to meaningfully protect our trade secrets. For more information regarding the risks related to our intellectual property, see “Risk Factors—Risks Related to Roivant’s Business and Industry—Risks Related to Our Intellectual Property.”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regulate, among other things, the research, development, manufacture, testing, quality control, approval, labeling, packaging, storage, record-keeping, promotion, advertising, distribution, post-approval monitoring and reporting, marketing and export and import of drug and biological products, as well as diagnostics, and any future product candidates. Generally, before a new drug, biologic or diagnostic can be marketed, considerable data demonstrating its quality, safety and efficacy must be obtained, organized into a format specific for each regulatory authority, submitted for review and approved, authorized, or cleared by the applicable regulatory authority.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 of Drug and Biological Products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(the “FDCA”) and its implementing regulations and biologics under the FDCA and the Public Health Service Act (the “PHSA”), and their implementing regulations. Both drugs and biologics also are subject to other federal, state and local statutes and regulations, such as those related to competition.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actions or judicial sanctions. These actions and sanctions could include, among other actions, the FDA’s refusal to approve pending applications, withdrawal of an approval, license revocation, a clinical hold, untitled or warning letters, voluntary or mandatory product recalls or market withdrawals, product seizures, total or partial suspension of production or distribution, injunctions, fines, refusals of government contracts, restitution, disgorgement, debarment from producing or marketing drug products or biologics, disqualification from conducting research, and civil or criminal fines or penalties. Any agency or judicial enforcement action could have a material adverse effect on our business, the market acceptance of our products and our reputation.</w:t>
      </w:r>
    </w:p>
    <w:p>
      <w:pPr>
        <w:spacing w:after="0" w:line="19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product candidates must be approved by the FDA through either an NDA or a BLA (as defined below) process before they may be legally marketed in the United States. The process generally involves the following:</w:t>
      </w:r>
    </w:p>
    <w:p>
      <w:pPr>
        <w:spacing w:after="0" w:line="67" w:lineRule="exact"/>
        <w:rPr>
          <w:sz w:val="20"/>
          <w:szCs w:val="20"/>
          <w:color w:val="auto"/>
        </w:rPr>
      </w:pPr>
    </w:p>
    <w:p>
      <w:pPr>
        <w:ind w:left="1080" w:right="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GLP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human trial may be initiated;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and requirements, GCP requirements and other clinical trial-related regulations to establish the safety and efficacy of the investigational product for each proposed indication;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accept the filing for review;</w:t>
      </w:r>
    </w:p>
    <w:p>
      <w:pPr>
        <w:spacing w:after="0" w:line="130"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or biologic will be produced to assess compliance with cGMP requirements to assure that the facilities, methods and controls are adequate to preserve the drug or biologic’s identity, strength, quality and purity;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inspection of the clinical trial sites that generated the data in support of the NDA or BLA and/or us as the sponsor;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or BLA (unless a fee waiver applies);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with FDA on the final labeling for the product and the design and implementation of any required REMS; and</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including consideration of the views of any FDA advisory committee, prior to any commercial marketing or sale of the drug or biologic in the United States.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preclinical and clinical testing and approval process requires substantial time, effort and financial resources, and the regulatory scheme for drugs and biologics is evolving and subject to change at any time. We cannot be certain that any approvals for our product candidates will be granted on a timely basis, or at all.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Before testing any drug or biological product candidate in humans, the product candidate must undergo rigorous preclinical testing. Preclinical studies include laboratory evaluation of product chemistry and formulation, as well as in vitro and animal studies to assess safety and in some cases to establish a rationale for therapeutic use. In the U.S., the conduct of preclinical studies is subject to federal and state regulations and requirements, including GLP regulations for nonclinical (e.g., safety/toxicology) studies.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U.S., an IND sponsor must submit the results of the preclinical tests, together with manufacturing information, analytical data, any available clinical data or literature and plans for clinical trials,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AEs and carcinogenicity, may continue, and additional preclinical testing may commence,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Additionally, the review of information in an IND submission may prompt FDA to, among other things, scrutinize existing INDs or marketed products and could generate requests for information or clinical holds on other product candidates or programs.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In the U.S.,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Clinical trials generally are conducted in three sequential phases, known as Phase 1, Phase 2 and Phase 3, and may overlap or be combined.</w:t>
      </w:r>
    </w:p>
    <w:p>
      <w:pPr>
        <w:spacing w:after="0" w:line="131" w:lineRule="exact"/>
        <w:rPr>
          <w:sz w:val="20"/>
          <w:szCs w:val="20"/>
          <w:color w:val="auto"/>
        </w:rPr>
      </w:pPr>
    </w:p>
    <w:p>
      <w:pPr>
        <w:ind w:left="1080" w:right="32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product candidate.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involve studies in disease-affected patients to evaluate proof of concept and/or determine the dose required to produce the desired benefits. At the same time, safety and further PK and PD information is collected, possible adverse effects and safety risks are identified, and a preliminary evaluation of efficacy is conducted.</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March 2022, the FDA finalized a guidance entitled “Expansion Cohorts: Use in First-In-Human Clinical Trials to Expedite Development of Oncology Drugs and Biologics,” the draft of which was released in August 2018. This final guidance outlines how drug developers can utilize an adaptive trial design commonly referred to as a seamless trial design in early stages of oncology drug development, i.e., the first-in-human clinical trial, to compress early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developmental costs and time.</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 or post-approval.</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and written IND safety reports must be submitted to the FDA and the investigators 15 days after the trial sponsor determines the information qualifies for reporting for serious and unexpected suspected AEs, findings from other studies or animal or in vitro testing that suggest a significant risk for human subjects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Phase 1, Phase 2, Phase 3 and other types of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FDA Review Process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(the “PDUFA”), as amended, each NDA or BLA must be accompanied by a user fee.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review of the NDA or BLA. Under the goals and policies agreed to by the FDA under PDUFA, the FDA targets ten months, from the filing date, in which to complete its initial review of a new molecular entity NDA or original BLA and respond to the applicant, and six months from the filing date of a new molecular entity NDA or original BLA designated for priority review. The FDA does not always meet its PDUFA goal dates for standard and priority NDAs or BLAs, and the review process is often extended by FDA requests for additional information or clarification. During the COVID-19 pandemic, because of travel and other restrictions, the FDA has significantly curtailed its inspection program. The reduction in pre-approval inspections has resulted in delays to some product approvals. Even with the increase in FDA inspections, there may be delays to product approvals in the future based on a resurgence of problems with respect to the FDA’s ability to conduct inspections and then, even after a complete resumption of the FDA’s normal inspection program, a possible backlog in applications under review by the agency.</w:t>
      </w:r>
    </w:p>
    <w:p>
      <w:pPr>
        <w:spacing w:after="0" w:line="19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FDA has developed the Oncology Center of Excellence RTOR pilot program to facilitate a more efficient review process for certain oncology product candidates. Although this program allows FDA to begin reviewing clinical data prior to submission of a complete NDA or BLA, the program is not intended to change the PDUFA review timelines.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Before approving an NDA or BLA, the FDA will typically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products or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which could result in extensive discussions between the FDA and the applicant during the review process. After the FDA evaluates an NDA or BLA, it will issue an approval letter or a Complete Response Letter. An approval letter authorizes commercial marketing of the drug or biologic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the applicant to obtain additional clinical data, including the potential requirement to conduct additional pivotal Phase 3 clinical trial(s) and/or to complete other significant and time-consuming requirements related to clinical trials, or to conduct additional preclinical studies or manufacturing activities. If a Complete Response Letter is issued, the applicant may either resubmit the NDA or BLA, addressing all of the deficiencies identified in the letter, or withdraw the application or request an opportunity for a hearing.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 subsequent human drug or biologic application after the date of approval of the rare pediatric disease drug product, referred to as a priority review voucher (a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sponsor may seek to develop and obtain approval of its product candidates under programs designed to accelerate the development, FDA review and approval of new drugs and biologics that meet certain criteria. For example, the FDA has a fast-track program that is intended to expedite or facilitate the process for reviewing new drugs and biologics that are intended to treat a serious or life-threatening disease or condition and demonstrate the potential to address unmet medical needs for the disease or condition. Fast track designation applies to both the product and the specific indication for which it is being studied. For a fast track-designated product, the FDA may consider sections of the NDA or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The sponsor can request the FDA to designate the product for fast-track status any time before receiving NDA or BLA approval, but ideally no later than the pre-NDA or pre-BLA meeting.</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product submitted to the FDA for marketing, including under a fast-track program, may be eligible for other types of FDA programs intended to expedite development or review, such as priority review and accelerated approval. Priority review means that, for an NDA for a new molecular entity or original BLA, the FDA sets a target date for FDA action on the marketing application at six months after accepting the application for filing as opposed to ten months. A product is eligible for priority review if it is designed to treat a serious or life-threatening disease condition and, if approved, would provide a significant improvement in safety and effectiveness compared to available therapies. The FDA will attempt to direct additional resources to the evaluation of an application for a new drug or biologic designated for priority review in an effort to facilitate the review. If criteria are not met for priority review, the NDA for a new molecular entity or original BLA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 product may also be eligible for accelerated approval if it is designed to treat a serious or life-threatening disease or condition, generally provides a meaningful advantage over other available therapies, and demonstrates an effect on either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disease or condition and the availability or lack of alternative treatments. As a condition of approval, the FDA may require that a sponsor of a drug or biologic receiving accelerated approval perform adequate and well-controlled post-marketing clinical trials. In addition, the FDA currently requires as a condition for accelerated</w:t>
      </w:r>
    </w:p>
    <w:p>
      <w:pPr>
        <w:spacing w:after="0" w:line="5" w:lineRule="exact"/>
        <w:rPr>
          <w:sz w:val="20"/>
          <w:szCs w:val="20"/>
          <w:color w:val="auto"/>
        </w:rPr>
      </w:pPr>
    </w:p>
    <w:p>
      <w:pPr>
        <w:jc w:val="both"/>
        <w:ind w:left="120" w:right="100"/>
        <w:spacing w:after="0" w:line="255" w:lineRule="auto"/>
        <w:rPr>
          <w:sz w:val="20"/>
          <w:szCs w:val="20"/>
          <w:color w:val="auto"/>
        </w:rPr>
      </w:pPr>
      <w:r>
        <w:rPr>
          <w:rFonts w:ascii="Times New Roman" w:cs="Times New Roman" w:eastAsia="Times New Roman" w:hAnsi="Times New Roman"/>
          <w:sz w:val="18"/>
          <w:szCs w:val="18"/>
          <w:color w:val="auto"/>
        </w:rPr>
        <w:t>approval pre-approval of promotional materials, which could adversely impact the timing of the commercial launch of the product. FDA may withdraw approval of a drug or indication approved under accelerated approval if, for example, the confirmatory trial fails to verify the predicted clinical benefit of the product.</w:t>
      </w:r>
    </w:p>
    <w:p>
      <w:pPr>
        <w:spacing w:after="0" w:line="186" w:lineRule="exact"/>
        <w:rPr>
          <w:sz w:val="20"/>
          <w:szCs w:val="20"/>
          <w:color w:val="auto"/>
        </w:rPr>
      </w:pPr>
    </w:p>
    <w:p>
      <w:pPr>
        <w:jc w:val="both"/>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a drug or biologic may be eligible for designation as a breakthrough therapy if the product is intended, alone or in combination with one or more other drugs or biologics, to treat a serious or life-threatening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condition and preliminary clinical evidence indicates that the product may demonstrate substantial improvement over currently approved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fast-track designation, which means that the sponsor may file sections of the NDA or BLA for review on a rolling basis if certain conditions are satisfied, including an agreement with the FDA on the proposed schedule for submission of portions of the application and the payment of applicable user fees before the FDA may initiate a review.</w:t>
      </w:r>
    </w:p>
    <w:p>
      <w:pPr>
        <w:spacing w:after="0" w:line="19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FDA has also announced the availability of the RTOR pilot program for oncology product candidates that are likely to demonstrate substantial improvements over available therapy, which may include drugs previously granted breakthrough therapy designation for the same or other indications and candidates meeting other criteria for other expedited programs, such as fast track and priority review. Submissions for RTOR consideration should also have straightforward study designs and endpoints that can be easily interpreted (such as overall survival or progression free survival). Acceptance into the RTOR pilot does not guarantee or influence approvability of the application, which is subject to the usual benefit-risk evaluation by FDA reviewers, but the program allows FDA to review data earlier, before an applicant formally submits a complete application. The RTOR pilot program does not affect FDA’s PDUFA timelines.</w:t>
      </w:r>
    </w:p>
    <w:p>
      <w:pPr>
        <w:spacing w:after="0" w:line="189"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accelerated approval, breakthrough therapy and RMAT designation do not change the standards for approval.</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(the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(the “FDASIA”), amended the FDCA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drug or biologic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Post-Marketing Requirements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Following approval of a new product, the manufacturer and the approved product are subject to continuing regulation by the FDA, including, among other things, monitoring and record-keeping activities, reporting of adverse experiences and certain problems in the manufacturing process,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any promotion that is false or misleading, and a company that is found to have improperly promoted off-label uses or in a false or misleading manner may be subject to significant liability, including investigation by federal and state authorities. Prescription drug promotional materials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FDA may also place other conditions on approvals including the requirement for a REMS, to assure the safe use of the product. If the FDA concludes a REMS is needed, the sponsor of the NDA or BLA must submit a proposed REMS. The FDA will not approve the NDA or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manufacturer or holder of an approved NDA or BLA, including recall.</w:t>
      </w:r>
    </w:p>
    <w:p>
      <w:pPr>
        <w:spacing w:after="0" w:line="19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Once an approval is granted, the FDA may issue enforcement letters or withdraw the approval of the product if compliance with regulatory requirements and standards is not maintained or if problems occur after the drug or biologic reaches the market. Corrective action could delay drug or biologic distribution and require significant time and financial expenditures. Later discovery of previously unknown problems with a drug or biologic, including AEs of unanticipated severity or frequency, or with manufacturing processes, or failure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1" w:lineRule="exact"/>
        <w:rPr>
          <w:sz w:val="20"/>
          <w:szCs w:val="20"/>
          <w:color w:val="auto"/>
        </w:rPr>
      </w:pPr>
    </w:p>
    <w:p>
      <w:pPr>
        <w:ind w:left="1080" w:right="1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or biologic, suspension of the approval, complete withdrawal of the drug from the market or product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drug or biologic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or biologic seizure or detention, or refusal to permit the import or export of drugs;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debarment from producing or marketing drug products or biologics.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Success of certain product candidates may depend, in part, on the development and commercialization of a companion diagnostic. A companion diagnostic is a medical device, often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 information that is essential for the safe and effective use of a corresponding drug or biological product. Companion diagnostics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generally regulated as medical devices by the FDA.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through the premarket notification process (“510(k) clearance”) or premarket approval from the FDA prior to commercialization.</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other predicate devices, for which the FDA has not yet called for the submission of a premarket approval application (“PMA”). In making a determination that the device is substantially equivalent to a predicate device, the FDA compares the proposed device to the predicate device or predicate devices and assesses whether the subject device is comparable to the predicate device or predicate devices with respect to intended use, technology, design and other features which could affect safety and effectiveness. If the FDA determines that the subject device is substantially equivalent to the predicate device or predicate devices, the subject device may be cleared for marketing. The 510(k) premarket notification pathway generally takes from three to twelve months from the date the application is completed, but can take significantly longer.</w:t>
      </w:r>
    </w:p>
    <w:p>
      <w:pPr>
        <w:spacing w:after="0" w:line="188"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typically conduct</w:t>
      </w:r>
    </w:p>
    <w:p>
      <w:pPr>
        <w:spacing w:after="0" w:line="1" w:lineRule="exact"/>
        <w:rPr>
          <w:sz w:val="20"/>
          <w:szCs w:val="20"/>
          <w:color w:val="auto"/>
        </w:rPr>
      </w:pPr>
    </w:p>
    <w:p>
      <w:pPr>
        <w:ind w:left="120" w:right="540"/>
        <w:spacing w:after="0" w:line="260" w:lineRule="auto"/>
        <w:rPr>
          <w:sz w:val="20"/>
          <w:szCs w:val="20"/>
          <w:color w:val="auto"/>
        </w:rPr>
      </w:pPr>
      <w:r>
        <w:rPr>
          <w:rFonts w:ascii="Times New Roman" w:cs="Times New Roman" w:eastAsia="Times New Roman" w:hAnsi="Times New Roman"/>
          <w:sz w:val="18"/>
          <w:szCs w:val="18"/>
          <w:color w:val="auto"/>
        </w:rPr>
        <w:t>a pre-approval inspection of the manufacturing facility or facilities to ensure compliance with the Quality System Regulation (the “QSR”), which requires manufacturers to follow design, testing, control, corrective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2"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preventative action, documentation, and other quality assurance procedures. The FDA’s review of an initial PMA application is generally required by statute to take six months, although the process typically takes longer, and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 Once cleared or approved, the companion diagnostic device must adhere to post-marketing requirements including the requirements of FDA’s quality system regulation, adverse event reporting, recalls and corrections along with product marketing requirements and limitations. Like drug and biologic makers, companion diagnostic makers are subject to unannounced FDA inspections at any time during which the FDA is able to conduct an inspection of the product(s) and the company’s facilities for compliance with its authorities.</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FDA has taken the position that developers of companion diagnostic tests associated with novel therapeutic products should seek clearance or approval at the same time that the therapeutic developer seeks approval. FDA has recognized that contemporaneous clearance or approval of a companion diagnostic with a therapeutic is not always possible, though FDA has indicated that coordination of contemporaneous clearances/approvals is a policy goal. In October 2018, FDA issued a safety alert warning against the use of unapproved or uncleared genetic tests to predict patient response to specific medications. While FDA has historically exercised enforcement discretion against laboratory developed tests—tests which are developed and performed in a single Clinical Laboratory Improvement Amendments (“CLIA”) certified laboratory—the 2018 alert and a subsequent 2019 Warning Letter against Inova Genomics Laboratory suggest that FDA may prioritize for enforcement certain uncleared or unapproved tests marketed as companion diagnostic tests. Subsequently, FDA has attempted to encourage collaboration between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developers and therapeutic developers and to clarify FDA expectations as to companion diagnostic labeling, particularly through guidance in the oncology area. In June 2021, the Verifying Accurate Leading-edge IVCT Development Act of 2021 (the “VALID Act”) was introduced in the U.S. House of Representatives and Senate. Similar to the 2020 iteration of the bill, among other things, the VALID Act would likely classify all companion diagnostic tests as requiring FDA premarket review and would formalize and arguably expand FDA’s regulatory authority over diagnostic testing. Though passage of the VALID Act is uncertain, strong bipartisan support remains for some kind of diagnostic testing legislative reform in the near term.</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Certain of our product candidates, including IMVT-1401, are regulated as biologics. An abbreviated approval pathway for biological products shown to be similar to, or interchangeable with, an FDA-licensed reference biological product was created by the Biologics Price Competition and Innovation Act of 2009 (the “BPCI Act”), as part of the Affordable Care Act (the “ACA”). This amendment to the PHSA, in part, attempts to minimize duplicative testing. 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Complexities associated with the larger, and often more complex, structure of biological products as compared to small molecule drugs,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as well as the processes by which such products are manufactured, pose significant hurdles to implementation that are still being worked out by the FDA.</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reference biological product is granted four and twelve year exclusivity periods from the time of first licensure of the product. The FDA will not accept an application for a biosimilar or interchangeable product based on the reference biological product until four years after the date of first licensure of the reference product, and the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are also subject to regulation by numerous regulatory authorities in the United States in addition to the FDA, including the Centers for Medicare and Medicaid Services (the “CMS”), the Office of Inspector General and Office for Civil Rights, other divisions of the Department of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making clinically-appropriate decisions enabling patient access to any products for which we obtain marketing approval. Our current and future arrangements with healthcare providers and physicians and any future arrangements with third-party payers, may expose us to broadly applicable fraud and abuse and other healthcare laws and regulations that may constrain the business or financial arrangements and relationships through which we market, sell and distribute any drugs for which we obtain marketing approval. In the United States, these laws include: the federal Anti-Kickback Statute, the False Claims Act, and HIPAA.</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Anti-Kickback Statute makes it illegal for any person, including a prescription drug manufacturer (or a party acting on its behalf), to knowingly and willfully solicit, receive, offer or pay any remuneration, directly or indirectly, in cash or in kind,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a person or entity does not need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federal civil False Claims Act.</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Drug manufacturers can be held liable under the federal civil False Claims Act, which imposes civil penalties, including through civil whistleblower or qui tam actions, against individuals or entities (including manufacturers) for, among other things, knowingly presenting, or causing to be presented to federal programs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(including Medicare and Medicaid) claims for items or services, including drugs, that are false or fraudulent, claims for items or services not provided as claimed, or claims for medically unnecessary items or services. Penalties for a False Claims Act violation include three times the actual damages sustained by the government, plus mandatory civil penalties for each separate false claim; the potential for exclusion from participation in federal healthcare programs, which would preclude reimbursement of our products under the Medicare and Medicaid programs; and, although the federal False Claims Act is a civil statute, conduct that results in a False Claims Act violation may also implicate various federal criminal statutes. The government may deem manufacturers to have “caused” the submission of false or fraudulent claims by, for example, providing certain billing or coding information to customers or promoting a product off-label. Claims which include items or services resulting from a violation of the federal Anti-Kickback Statute are false or fraudulent claims for purposes of the False Claims Act. Our future marketing and activities relating to federal, state, and commercial reimbursement for our products, and the sale and marketing of our product candidates, are subject to scrutiny under this law.</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HIPAA created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18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data privacy and security regulations administered and enforced by the federal government as well as statutes and regulations adopted in the states in which we conduct our business. At the federal level, the FDA regulations for the protection of human research subjects require that we protect the privacy of personal information and obtain appropriate informed consent in connection with research using identifiable subject information or identifiable biological samples. In addition, the data privacy and security regulations implementing HIPAA impose strict limitations on the use and disclosure of individually identifiable health information, including for research purposes. Civil and criminal penalties may be imposed on entities subject to HIPAA, both by the HHS Office for Civil Rights and by state attorneys general, who have the authority to file civil actions for damages or injunctions in federal courts to enforce the HIPAA privacy and security regulations and to seek attorney’s fees and costs associated with pursuing such actions. In addition, the Federal Trade Commission has broad authority to investigate and initiate enforcement actions regarding any activity affecting the privacy or security of personal information that it deems deceptive or unfair. At the state level, a rapidly growing body of privacy and data protection laws impose requirements and restrictions, some of which are more stringent than federal law and many of which differ from each other in significant ways, thus complicating compliance efforts. Failure to comply with these laws can result in the imposition of significant civil and criminal penalties.</w:t>
      </w:r>
    </w:p>
    <w:p>
      <w:pPr>
        <w:spacing w:after="0" w:line="19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Additionally, the federal Physician Payments Sunshine Act (the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physicians, certain other healthcare professionals, and teaching hospitals and to report annually certain ownership and investment interests held by physicians, certain other healthcare professionals,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and their immediate family members. Effective January 1, 2022, these reporting obligations were extended to include transfers of value made to certain non-physician providers such as physician assistants and nurse practitioners. 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Similar federal, state and foreign fraud and abuse laws and regulations, such as state anti-kickback and false claims laws, may apply to sales or marketing arrangements and claims involving healthcare items or services. Such laws are generally broad and are enforced by various state agencies and private actions. Also, many states have similar fraud and abuse statutes or regulations that may be broader in scope and may apply regardless of payor, in addition to items and services reimbursed under Medicaid and other state programs. Some state laws require pharmaceutical companies to comply with the pharmaceutical industry’s voluntary compliance guidelines and the relevant federal government compliance guidance, and require drug manufacturers to report information related to payments and other transfers of value to physicians and other healthcare providers or marketing expenditures.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individual imprisonment, exclusion of drugs from government funded healthcare programs, such as Medicare and Medicaid, and the curtailment or restructuring of our operations, any of which could adversely affect our ability to operate our business and our financial results.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Ensuring business arrangements comply with applicable healthcare laws, as well as responding to possible investigations by government authorities, can be time- and resource-consuming and can divert a company’s attention from the business.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Legislation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example, in March 2010, the ACA was enacted in the United States. The ACA includes measures that have significantly changed, and are expected to continue to significantly change, the way healthcare is financed by both governmental and private insurers. Among the changes made by the ACA to preexisting law of importance to the pharmaceutical industry are that the ACA:</w:t>
      </w:r>
    </w:p>
    <w:p>
      <w:pPr>
        <w:spacing w:after="0" w:line="81" w:lineRule="exact"/>
        <w:rPr>
          <w:sz w:val="20"/>
          <w:szCs w:val="20"/>
          <w:color w:val="auto"/>
        </w:rPr>
      </w:pPr>
    </w:p>
    <w:p>
      <w:pPr>
        <w:ind w:left="1080" w:right="200" w:hanging="424"/>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several changes to the Medicaid Drug Rebate Program, including increasing pharmaceutical manufacturers’ rebate liability by raising the minimum basic Medicaid rebate on most branded prescription drugs to 23.1% of average manufacturer price (“AMP”), and adding a new rebate calculation for “line extensions” (i.e., new formulations, such as extended release formulations) of solid oral dosage forms of branded products, as well as potentially impacting their rebate liability by modifying the statutory definition of AMP.</w:t>
      </w:r>
    </w:p>
    <w:p>
      <w:pPr>
        <w:spacing w:after="0" w:line="85" w:lineRule="exact"/>
        <w:rPr>
          <w:rFonts w:ascii="Times New Roman" w:cs="Times New Roman" w:eastAsia="Times New Roman" w:hAnsi="Times New Roman"/>
          <w:sz w:val="18"/>
          <w:szCs w:val="18"/>
          <w:color w:val="auto"/>
        </w:rPr>
      </w:pPr>
    </w:p>
    <w:p>
      <w:pPr>
        <w:jc w:val="both"/>
        <w:ind w:left="1080" w:right="34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requirement on manufacturers of branded drugs to provide a 70% (increased pursuant to the Bipartisan Budget Act of 2018, effective as of 2019) point-of-sale discount off the negotiated price of branded drugs dispensed to Medicare Part D beneficiaries in the coverage gap (i.e., “donut hole”) as a condition for a manufacturer’s outpatient drugs being covered under Medicare Part 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a manufacturer’s Medicaid rebate liability to covered drugs dispensed to individuals who are enrolled in Medicaid managed care organizations.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entities eligible for discounts under the 340B Drug Discount Program.</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methodology by which rebates owed by manufacturers under the Medicaid Drug Rebate Program are calculated for drugs that are inhaled, infused, instilled, implanted, or injected.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an annual, nondeductible fee on any entity that manufactures or imports certain branded prescription drugs, apportioned among these entities according to their market share in certain government healthcare programs.</w:t>
      </w:r>
    </w:p>
    <w:p>
      <w:pPr>
        <w:spacing w:after="0" w:line="67"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Patient-Centered Outcomes Research Institute to oversee, identify priorities in, and conduct comparative clinical effectiveness research, along with funding for such research. The research conducted by the Patient-Centered Outcomes Research Institute may affect the market for certain pharmaceutical products. The ACA established the Center for Medicare and Medicaid Innovation within CMS to test innovative payment and service delivery models to lower Medicare and Medicaid spending, potentially including prescription drug spending.</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and we expect there will be additional challenges and amendments to the ACA in the future. Most recently, the Supreme Court upheld the constitutionality of the law in June 2021; however, future legal disputes remain possible. Additionally, Congress has introduced several pieces of legislation aimed at significantly revising or repealing the ACA, and the law may be subjected to various Executive Orders and/or regulatory action to expand or reduce the scope of the law, based on the administration controlling the White House. The implementation of the ACA is ongoing, and the law may continue to exert significant pressure on pharmaceutical pricing and our profitability.</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Moreover, in May 2018, the Trump administration released its “Blueprint to Lower Drug Prices and Reduce Out-of-Pocket Costs,” or the Blueprint, and former President Trump also issued a number of Executive Orders in 2020 that were aimed at lowering the prices of prescription drugs. Some rules enacted under the Trump Administration have been stayed as a result of pending litigation or are under review or have been rescinded by the Biden Administration and/or Congress. For example, a rule enacted under the Trump Administration known as the “Most Favored Nations” rule would set Medicare Part B reimbursement at an amount no higher than the lowest price that a drug manufacturer receives on a particular product in an index of foreign countries. This rule currently was the subject of litigation, and was formally rescinded the Biden Administration in August 2021. Other initiatives under the Trump administration have taken effect. For example, in May 2019, CMS issued a final rule to allow Medicare Advantage Plans the option of using step therapy, a form of drug utilization management, for Part B drugs beginning January 1, 2020.</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82"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following passage of the Bipartisan Budget Act of 2013, and will remain in effect through 2029 unless additional congressional action is taken. However, pursuant to the CARES Act and subsequent legislation, these reductions were suspended starting on May 1, 2020 due to the COVID-19 pandemic. Recently enacted legislation extended the suspension through March 2022, with a 1% cut through the end of June 2022, after which the cuts would return to 2%unless additional Congressional action is taken. Additionally, the American Rescue Plan Act of 2021 eliminates the Medicaid unit rebate cap effective as of January 1, 2024, and the removal of this rebate cap could significantly impact our Medicaid rebate liability beginning in 2024.</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There also have been several recent U.S. Congressional inquiries and proposed bills designed to, among other things, require drug pricing negotiations in Medicare, redesign the Part D benefit to lower patient costs and overall spending, introduce enhanced transparency measures into drug pricing, and reform government program reimbursement methodologies for drugs, for example, by introducing inflationary penalties for Parts B and D drugs. The Biden Administration has indicated that lowering prescription drug prices is a priority. In July 2021, President Biden issued an executive order pertaining to drug pricing, which expressed support for legislation allowing direct negotiation in Medicare Part D and inflationary rebates, and directed various executive branch agencies to take actions to lower drug prices and promote generic competition. Additionally, on November 19, 2021, the House passed the Build Back Better Act, which among other provisions, would permit the Secretary of HHS to negotiate certain high-expenditure Part D drugs, impose inflationary rebates for Part D drugs, and redesign the Part D benefit. The Senate Finance Committee introduced a modified version of the legislation on December 11, 2021, but negotiations have since stalled. Although the House and Senate versions of this legislation would grant certain exceptions for “small biotech drugs” and “specified small manufacturers,” if passed, we cannot predict how these exceptions would be implemented and their impact on Roivant. Ultimately, we cannot predict whether these or other drug pricing initiatives will be adopted in the future. Further federal, state and foreign legislative and regulatory developments are likely, and we expect ongoing initiatives to increase pressure on drug pricing. Reforms could have an adverse effect on anticipated revenues from product candidates and may affect our overall financial condition and ability to develop product candidates.</w:t>
      </w:r>
    </w:p>
    <w:p>
      <w:pPr>
        <w:spacing w:after="0" w:line="19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biotherapeutic product pricing, including restrictions on pricing or reimbursement at the state government level, limitations on discounts to patients, marketing cost disclosure and transparency measures, and, in some cases, policies to encourage importation from other countries (subject to federal approval) and bulk purchasing, including the National Medicaid Pooling Initiative. In particular, the obligation to provide notices of price increases to purchasers under laws such as California’s SB-17 may influence customer ordering patterns for our products, which in turn may increase the volatility of our revenues as a reflection of changes in inventory volumes.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Packaging and Distribution in the United States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our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w:t>
      </w:r>
    </w:p>
    <w:p>
      <w:pPr>
        <w:spacing w:after="0" w:line="27" w:lineRule="exact"/>
        <w:rPr>
          <w:sz w:val="20"/>
          <w:szCs w:val="20"/>
          <w:color w:val="auto"/>
        </w:rPr>
      </w:pPr>
    </w:p>
    <w:p>
      <w:pPr>
        <w:ind w:left="340" w:hanging="224"/>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arrangements; (ii) additions or modifications to product labeling; (iii) the recall or discontinuation of our products; or</w:t>
      </w:r>
    </w:p>
    <w:p>
      <w:pPr>
        <w:spacing w:after="0" w:line="9"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 requirements. If any such changes were to be imposed, they could adversely affect the operation of our business.</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U.S. Environmental, Health and Safety Laws and Regulations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future product candidates, some of our U.S.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82"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Marketing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Drug Development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Lisbon Treaty. The United Kingdom formally left the European Union on January 31, 2020. A transition period began on February 1, 2020, during which EU pharmaceutical law remained applicable in the United Kingdom. However this ended on December 31, 2020. On December 30, 2020, the United Kingdom and European Union signed the Trade and Cooperation Agreement, which includes an agreement on free trade between the two parties. Since the regulatory framework in the United Kingdom covering the quality, safety and efficacy of pharmaceutical products, clinical trials, marketing authorizations, commercial sales, and distribution of pharmaceutical products is derived from EU Directives and Regulations, Brexit could materially impact the future regulatory regime which applies to products and the approval of product candidates in the United Kingdom, as the UK legislation now has the potential to diverge from EU legislation. It remains to be seen how Brexit will impact regulatory requirements for medicinal products and devices in the United Kingdom in the long term. The MHRA has published detailed guidance for industry and organizations to follow now the transition period is over, which will be updated as the United Kingdom’s regulatory position on medicinal products and medical devices evolves over time. There are also a number of ongoing consultations on the future legislation in the UK.</w:t>
      </w:r>
    </w:p>
    <w:p>
      <w:pPr>
        <w:spacing w:after="0" w:line="19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the EEA, which is comprised of the Member States of the European Union plus Norway, Iceland and Liechtenstein, and United Kingdom, our future products also may be subject to extensive regulatory requirements. As in the United States, medicinal products can be marketed only if a marketing authorization from the relevant competent authority has been obtained.</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Similar to the United States, the various phases of preclinical and clinical research in the EEA and United Kingdom are subject to significant regulatory controls. The EU Clinical Trials Directive 2001/20/EC (the “Directive”) sought to harmonize the EU clinical trials regulatory framework, setting out common rules for the control and authorization of clinical trials in the EU, the EU Member States have transposed and applied the provisions of the Directive differently into their national laws, including in the UK. This has led to significant variations in the Member State regimes. Under this regime, before a clinical trial can be initiated it must be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approved in each of the EU/UK countries where the trial is to be conducted by two distinct bodies: the National Competent Authority (the “NCA”), and one or more Ethics Committees (“ECs”). Under this regime all suspected unexpected serious adverse reactions to the investigated drug that occur during the clinical trial have to be reported to the NCA and ECs of the country where they occurred.</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EU clinical trials legislation is undergoing a transition process due to the application of a new Clinical Trials Regulation (EU) No 536/2014 (the “Regulation”), which is mainly aimed at harmonizing and streamlining clinical trial authorization, simplifying adverse-event reporting procedures, improving the supervision of clinical trials and increasing their transparency. In April 2014, the EU adopted the Regulation, which started to apply on January 31, 2022 and replaced the current Directive. Specifically, the new Regulation, which is directly applicable in all Member States without the need for EU Member States to transpose it into national law, aims at simplifying and streamlining the approval of clinical trials in the EU. For instance, the new Regulation provides for a streamlined application procedure via a single entry point and strictly defined deadlines for the assessment of clinical trial applications.</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Following Brexit, this Regulation is not applicable in the UK, and the national legislation put in place to implement the Directive continues to apply to trials conducted in the UK.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Drug Marketing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Much like the federal Anti-Kickback Statue prohibition in the United States, the provision of benefits or advantages to physicians and/or healthcare organizations to induce or encourage the prescription, recommendation, endorsement, purchase, supply, order, administration or use of medicinal products is also prohibited in the EEA and United Kingdom. EU Directive 2001/83/EC, which is the Directive governing medicinal products for human use, as implemented in the relevant Member State and the UK, the national anti-bribery laws of the European Union Member States, and the Bribery Act 2010 in the UK, as well as the industry Codes of Practice that are based on the European Federation of Pharmaceutical Industries and Associations (EFPIA) Code of Practice, collectively govern the provision of benefits or advantages to induce or reward improper performance. Infringement of these laws could result in substantial fines and imprisonment. EU Directive 2001/83/EC, which is the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national laws of the EU Member States, as well as in the UK Human Medicines Regulations 2012 and so remains applicable in the UK despite its departure from the EU.</w:t>
      </w:r>
    </w:p>
    <w:p>
      <w:pPr>
        <w:spacing w:after="0" w:line="19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Depending on the applicable national rules in the EU Member States and the UK, payments and other transfers of value made to physicians, physician associations, medical students, healthcare organizations, patient organizations and other stakeholders in the EU Member States, the UK and Member States of the EEA must be publicly disclosed. Moreover, agreements with physicians often must be the subject of prior notification and approval by the physician’s employer, his or her competent professional organization and/or the regulatory authorities of the individual country. These requirements are provided in the national laws, industry codes or professional codes of conduct, applicable in the relevant country. Failure to comply with these requirements could result in reputational risk, public reprimands, administrative penalties, fines or imprisonment.</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Drug Review and Approval</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the EEA, medicinal products can only be commercialized after obtaining a marketing authorization (“MA”). There are two main types of marketing authorizations for innovative medicinal products, which, however, are based on largely identical regulatory rules, requirements and timelines, including the requirements concerning the presentation and content of the application for marketing authorization.</w:t>
      </w:r>
    </w:p>
    <w:p>
      <w:pPr>
        <w:spacing w:after="0" w:line="81" w:lineRule="exact"/>
        <w:rPr>
          <w:sz w:val="20"/>
          <w:szCs w:val="20"/>
          <w:color w:val="auto"/>
        </w:rPr>
      </w:pPr>
    </w:p>
    <w:p>
      <w:pPr>
        <w:ind w:left="1080" w:right="1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centralized MA is issued by the European Commission through the centralized procedure, based on the opinion of the Committee for Medicinal Products for Human Use (the “CHMP”), of the EMA,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6" w:lineRule="auto"/>
        <w:rPr>
          <w:sz w:val="20"/>
          <w:szCs w:val="20"/>
          <w:color w:val="auto"/>
        </w:rPr>
      </w:pPr>
      <w:r>
        <w:rPr>
          <w:rFonts w:ascii="Times New Roman" w:cs="Times New Roman" w:eastAsia="Times New Roman" w:hAnsi="Times New Roman"/>
          <w:sz w:val="18"/>
          <w:szCs w:val="18"/>
          <w:color w:val="auto"/>
        </w:rPr>
        <w:t>and is valid throughout the entire territory of the EEA. The centralized procedure is mandatory for certain types of products, such as biotechnology medicinal products,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EEA</w:t>
      </w:r>
    </w:p>
    <w:p>
      <w:pPr>
        <w:spacing w:after="0" w:line="93" w:lineRule="exact"/>
        <w:rPr>
          <w:sz w:val="20"/>
          <w:szCs w:val="20"/>
          <w:color w:val="auto"/>
        </w:rPr>
      </w:pPr>
    </w:p>
    <w:p>
      <w:pPr>
        <w:ind w:left="1080" w:hanging="424"/>
        <w:spacing w:after="0" w:line="253"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If a product is to be authorized in more than one Member State, the assessment procedure is coordinated between the relevant EU Member States. Where a product has already been authorized for marketing in a Member State of the EEA, the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(the “RMS”). The competent authority of the RMS coordinates the preparation of a draft assessment report, a draft summary of the product characteristics (the “SmPC”), and a draft of the labeling and package leaflet, which are sent to the other Member States (referred to as the Concerned Member States) for their final approval. If the Concerned Member States raise no objections, based on a potential serious risk to public health, to the assessment, SmPC, labeling, or packaging circulated by the RMS, the coordinated procedures is closed, and the product is subsequently granted a national MA in all the Member States (i.e., in the RMS and the Concerned Member States).</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Under the above-described procedures, during the assessment of the documents submitted in the MAA and before granting the MA, the EMA or the competent authorities of the Member States of the EEA make an assessment of the risk-benefit balance of the product on the basis of scientific criteria concerning its quality, safety and efficacy.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Now that the United Kingdom (which comprises Great Britain and Northern Ireland) has left the European Union, Great Britain is no longer covered by centralized MAs (under the Northern Irish Protocol of the Withdrawal Agreement, centralized MAs will continue to apply in Northern Ireland). All medicinal products with a valid centralized MA as of December 31, 2020 were automatically converted to MAs valid in Great Britain on January, 1 2021 (unless the MA holder opted out of this procedure). For a period of two years from January 1, 2021 (although this may be extended), the Medicines and Healthcare products Regulatory Agency (the “MHRA”), the UK medicines regulator, may rely on a decision taken by the European Commission on the approval of a new MA in the centralized procedure, in order to more quickly grant a new MA valid in Great Britain. A separate application will, however, still be required and the MHRA has the right to undertake its own assessment of the dossier. The MHRA also has the power to have regard to MAs approved in EEA Member States through decentralized or mutual recognition procedures with a view to more quickly granting a MA in the United Kingdom or Great Britain.</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Data Protection and Market Exclusivity</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EEA and UK, innovative medicinal products, approved on the basis of a full dossier of preclinical and clinical data as part of the MAA, qualify for eight years of data protection upon marketing authorization and an additional two years of market exclusivity. The data protection, if granted, prevents generic or biosimilar applicants from referencing the innovator’s preclinical and clinical trial data contained in the dossier of the reference innovative product when applying for a generic or biosimilar MA in the EEA/UK, for a period of eight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years from the date of authorization of the reference product. During the additional two-year period of market exclusivity, a generic or biosimilar marketing authorization application can be submitted, and the innovator’s data may be referenced, but no generic or biosimilar product can be marketed until the expiration of the market exclusivity. The overall ten-year period can be extended to a maximum of 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currently approved therapies. Even if an innovative medicinal product gains the prescribed period of data protection, however, another company may market another version of the product if such company obtained a MA based on a marketing authorization application with a complete independent data package of pharmaceutical tests, preclinical tests and clinical trials (i.e. without cross-referencing to the data within the reference innovative product).</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Orphan Designation and Exclusivity</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the EEA, the European Commission, based on the scientific assessment from the EMA’s Committee for Orphan Medicinal Products, grants orphan drug designation to promote the development of products that are intended for the diagnosis, prevention or treatment of life-threatening or chronically debilitating conditions and either (i) such condition affects not more than five in 10,000 persons in the EEA, or (ii) it is unlikely that the development of the medicine would generate sufficient return to justify the necessary investment in its development. In either case, the applicant must also demonstrate that no satisfactory method of diagnosis, prevention or treatment has been authorized (or, if a method exists, the product would be a significant benefit to those affected compared to the product available).</w:t>
      </w:r>
    </w:p>
    <w:p>
      <w:pPr>
        <w:spacing w:after="0" w:line="18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In the EEA, orphan drug designation entitles a party to benefits such as scientific advice (protocol assistance) and financial incentives such as reduction of fees or fee waivers. In addition, if the criteria for orphan designation are found to be maintained at the time of authorization of the product, ten years of market exclusivity is granted following grant of an orphan marketing authorization. During this market exclusivity period, neither the EMA nor the European Commission nor any of the competent authorities in the EEA Members States can accept an application or grant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This orphan exclusivity period may be reduced to six years if the orphan drug designation criteria are no longer met, including where it is shown that the product is sufficiently profitable not to justify maintenance of market exclusivity. Market exclusivity may also be broken, so a similar product may be authorized for the same indication, in very select cases, such as if (i) it is established that a similar medicinal product is safer, more effective or otherwise clinically superior to the authorized product; (ii) the marketing authorization holder consents to the grant of the similar product; or</w:t>
      </w:r>
    </w:p>
    <w:p>
      <w:pPr>
        <w:spacing w:after="0" w:line="4" w:lineRule="exact"/>
        <w:rPr>
          <w:sz w:val="20"/>
          <w:szCs w:val="20"/>
          <w:color w:val="auto"/>
        </w:rPr>
      </w:pPr>
    </w:p>
    <w:p>
      <w:pPr>
        <w:jc w:val="both"/>
        <w:ind w:left="120" w:right="60" w:hanging="4"/>
        <w:spacing w:after="0" w:line="255" w:lineRule="auto"/>
        <w:tabs>
          <w:tab w:leader="none" w:pos="4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authorization holder cannot supply enough orphan medicinal product. Orphan drug designation must be requested before submitting an application for marketing approval. Orphan drug designation does not convey any advantage in, or shorten the duration of, the regulatory review and approval process.</w:t>
      </w:r>
    </w:p>
    <w:p>
      <w:pPr>
        <w:spacing w:after="0" w:line="18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upcoming legislative reforms in the EU, which are part of the new EU Pharmaceutical Strategy and some of which could materialize in 2022, may result in a reduction of market exclusivity periods for orphan medicinal products, and or imposition of additional requirements for grant of such exclusivity. In addition, the strategy envisages changes to the concept of unmet medical need and considers introducing novel rewards for medicines addressing an unmet medical need.</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From January 1, 2021, a separate process for orphan drug designation has applied in Great Britain. There is no pre-marketing authorization orphan designation step required (as there is in the EEA), and the application for orphan designation will be reviewed by the MHRA at the time of the marketing authorization application. The criteria are the same as in the EEA, save that they apply to Great Britain only (e.g., there must be no satisfactory method of diagnosis, prevention or treatment of the condition concerned in Great Britain). Orphan exclusivity granted to a centralized marketing authorization will also apply in Northern Ireland.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82"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Pediatric Investigation Plan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EEA and UK, MAAs for new medicinal products have to include the results of studies conducted in the pediatric population, in compliance with a pediatric investigation plan (a “PIP”), agreed with the EMA’s Pediatric Committee (a “PDCO”) or MHRA as relevant. The PIP sets out the timing and measures proposed to generate data to support a pediatric indication of the drug for which marketing authorization is being sought. The PDCO/MHRA can grant a deferral of the obligation to implement some or all of the measures of the PIP until there are sufficient data to demonstrate the efficacy and safety of the product in adults. Further, the obligation to provide pediatric clinical trial data can be waived by the PDCO/MHRA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If a marketing authorization is obtained and trial results are included in the product information, even when negative, and the product is approved in all Member States, non-orphan products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noted above, the upcoming legislative reforms in the EU, which are part of the new EU Pharmaceutical Strategy may result in a reduction of the above pediatric rewards and/or imposition of additional requirements for grant of rewards.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data protection regime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processing of personal data, including health data, in the EEA is governed by the General Data Protection Regulation (the “GDPR”), which became effective May 25, 2018. The GDPR applies to any company established in the EEA and to companies established outside the EEA that process personal data in connection with the offering of goods or services to data subjects in the European Union or EEA or the monitoring of the behavior of data subjects in the European Union or EEA. The GDPR enhances data protection obligations for data controllers of personal data, including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alia </w:t>
      </w:r>
      <w:r>
        <w:rPr>
          <w:rFonts w:ascii="Times New Roman" w:cs="Times New Roman" w:eastAsia="Times New Roman" w:hAnsi="Times New Roman"/>
          <w:sz w:val="18"/>
          <w:szCs w:val="18"/>
          <w:color w:val="auto"/>
        </w:rPr>
        <w:t>stringent requirements relating to lawful and legitimate basis and purposes for the processing of personal data, the consent of data subjects,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disclosures about how personal data is used, requirements to conduct privacy impact assessments for “high risk” processing, limitations on retention of personal data, appointment of a data protection officers, conclusion of data processing agreements, mandatory data breach notification and “privacy by design” requirements, and creates direct obligations on service providers acting as data processors. The GDPR also imposes strict rules on the transfer of personal data outside of the EEA to countries that do not ensure an adequate level of protection, like the United States. Until recently, one such data transfer mechanism was the EU-US Privacy Shield, but the Privacy Shield was invalidated for international transfers of personal data in July 2020 by the CJEU. The CJEU upheld the validity of standard contractual clauses (“SCCs”) as a legal mechanism to transfer personal data but companies relying on SCCs will, subject to additional guidance from regulators in the EEA and the U.K., need to evaluate and implement supplementary measures that provide privacy protections additional to those provided under SCCs. It remains to be seen whether SCCs will remain available and whether additional means for lawful data transfers will become available. Moreover, the competent authorities and courts in a number of EU Member States increasingly scrutinize and question the GDPR compliance of processing of personal data by US-based entities or entities with links to US-based entities, independently of whether personal data is actually transferred outside the EEA. Failure to comply with the requirements of the GDPR and the related national data protection laws of the EEA Member States may result in fines up to €20 million or 4% of a company’s global annual revenues for the preceding financial year, whichever is higher. Moreover, the GDPR grants data subjects the right to claim material and non-material damages resulting from infringement of the GDPR.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such company does not have an establishment in the EU member state in question and the competent authority bringing the claim is not the lead supervisory authority.</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UK specific amendments) into UK law, referred to as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With respect to transfers of personal data from the EEA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Laws and Regulations Governing International Operations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we further expand our operations outside of the United States, we must dedicate additional resources to comply with numerous laws and regulations in each jurisdiction in which we plan to operate. The U.S. Foreign Corrupt Practices Act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Further, other anti-corruption laws, such as the UK Bribery Act, are broader and can regulate payments to non-governmental entities.</w:t>
      </w:r>
    </w:p>
    <w:p>
      <w:pPr>
        <w:spacing w:after="0" w:line="183"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Successful commercialization of new drug products depends in part on the extent to which reimbursement for those drug products will be available from government programs, such as Medicare and Medicaid, private health insurers, and other organizations. Government authorities and third-party payors, such as private health insurers and health maintenance organizations, decide which drug products they will pay for and establish reimbursement levels. The availability and extent of reimbursement by governmental and private payors is essential for most patients to be able to afford a drug product. Sales of drug products depend substantially, both domestically and abroad, on the extent to which the costs of drugs products are covered or paid for by the federal or national government as well as commercial managed care organizations, pharmacy benefit managers, and similar healthcare management organizations.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and efforts of third-party payors to contain or reduce health care costs may adversely affect our ability to establish or maintain appropriate prices for our products or any drugs that we may develop and commercialize. Such efforts include the use of accumulator adjustment programs that do not consider amounts paid by pharmaceutical copay assistance programs as counting towards a patient’s deductible or other out-of-pocket costs. Under new rules promulgated by CMS that will take effect January 1, 2023, such accumulator adjustment (or similar) programs could affect the amount of rebates owed by manufacturers under the Medicaid Drug Rebate Program or affect our ability to offer various forms of patient support, including copay assistance. This regulation is subject to ongoing litigation; however, we cannot predict if the rule ultimately will be overturned or rescinded. At the same time, however, certain states have passed laws prohibiting third-party payors from utilizing accumulator programs.</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Government authorities and third-party payors also have attempted to control costs by limiting coverage and the amount of reimbursement for particular drug products. In many countries, the prices of drug products are subject to varying price control mechanisms as part of national health systems. In general, the prices of drug products under such systems are substantially lower than in the United States. Other countries allow companies to fix their own prices for drug products, but monitor and control company profits. Accordingly, in markets outside the United States, the acquisition costs and reimbursement for drug products may lower than within the United States.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United States, the decisions about reimbursement for new drug products under the Medicare program are made by CMS, an agency within HHS. CMS determines coverage standards for products reimbursed by Medicare, and private payors often adopt coverage standards established by CMS for the commercial marketplace. However, no uniform policy of coverage and reimbursement for drug products exists among third-party payors and coverage and reimbursement levels for drug products can differ significantly from payor to payor.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Third-party payors may limit coverage to specific products on an approved list or formulary, which might not include all of</w:t>
      </w:r>
    </w:p>
    <w:p>
      <w:pPr>
        <w:spacing w:after="0" w:line="2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FDA-approved products for a particular indication. Also, third-party payors may refuse to include a particular branded drug on their formularies or otherwise restrict patient access to a branded drug when a less costly generic equivalent or another alternative is available. Third-party payors are increasingly challenging the prices charged for medical products and services, examining the medical necessity, and reviewing the cost-effectiveness of medical products and services and imposing controls to manage costs.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Further, due to the COVID-19 pandemic, millions of individuals have lost or are expected to lose employer-based insurance coverage, which may adversely affect our ability to successfully commercialize our products.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a manufacturer must enter into agreements with the Secretary of HHS to participate in the Medicaid Drug Rebate Program and the 340B drug discount program. Under the Medicaid Drug Rebate Program, manufacturers are obligated to pay rebates to the State Medicaid Programs on each unit of the manufacturer’s drugs that are reimbursed by State Medicaid Programs—both with regard to Medicaid Fee for Service and Medicaid Managed Care. Additionally, under the 340B drug discount program, manufacturers extend discounts to “covered entities” eligible to participate in the 340B program, including various hospital providers. The required 340B discount on a given product is calculated based on the average manufacturer price (“AMP”) and Medicaid rebate amounts reported and paid by the manufacturer under the Medicaid Drug Rebate Program. As of 2010, the ACA expanded the types of entities eligible to receive discounted 340B pricing, although under current law these newly eligible entities (with the exception of children’s hospitals) will not be eligible to receive discounted 340B pricing on drugs that receive an orphan designation by the FDA. As 340B drug pricing is determined based on AMP and Medicaid rebate data, revisions to the statute and regulations governing the Medicaid Drug Rebate Program may cause the required 340B discount to increase. Additional legislation surrounding the 340B program, including which providers are eligible for the program, may be enacted in the future. These developments could affect our profitability.</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Moreover, there also is significant uncertainty related to the insurance coverage and reimbursement of cell or genetic therapy products. Although a new rule finalized by CMS for the Medicaid Drug Rebate Program increased flexibility regarding the manner in which manufacturers may offer value-based discounting arrangements, and following a regulatory delay, is expected to take effect on July 1, 2022.</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American Recovery and Reinvestment Act of 2009 provides funding for the federal government to compare the effectiveness of different treatments for the same illness. The plan for the research was published in 2012 by the Department of HHS,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82"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Outside of the United States, the pricing of pharmaceutical products and medical devices is subject to governmental control in many countries. For example, in the European Union and UK,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or the amount of profit made on those profits, and issue guidance to physicians to limit prescriptions. Efforts to control prices and utilization of pharmaceutical products and medical devices will likely continue as countries attempt to manage healthcare expenditures.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2022, we and our subsidiaries had approximately 863 full-time employees, including 791 in the United States.</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human capital objectives include sourcing, recruiting, retaining, incentivizing and developing our existing and future employees. We seek to create nimble, entrepreneurial Vants that operate similarly to independent biotechnology companies where each management team, comprised of world-class drug developers and clinical operators, is solely focused on their respective Vant’s mission. Our and our Vants’ equity incentive plans are designed to attract, retain and motivate selected employees, consultants and directors through the granting of share-based compensation awards to encourage focus and calculated risk-taking. In connection with becoming a public company, we expect to continue to hire additional personnel and to implement procedures and processes to address public company regulatory requirements and customary practices.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were registered as an exempted limited company in Bermuda in 2014, under the name Valor Biotechnology Ltd. In November 2014 we changed our name to Roivant Sciences Ltd. Our principal executive offices are located at Suite 1, 3rd Floor, 11-12 St. James’s Square, London SW1Y 4LB, United Kingdom. Our telephone number is +44 207 400 3347.</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web page address is https://roivant.com. Our investor relations website is located at https://investor.roivant.com/. We will make available free of charge on our investor relations website under “SEC Filings” our Annual Reports on Form 10-K, Quarterly Reports on Form 10-Q, Current Reports on Form 8-K, our directors’ and officers’ Section 16 Reports and any amendments to those reports after filing or furnishing such materials to the SEC. Additionally, the SEC maintains an internet site that contains reports, proxy and information statements and other information. The address of the SEC’s website is www.sec.gov. References to our website address do not constitute incorporation by reference of the information contained on the website, and the information contained on the website is not part of this document or any other document that we file with or furnish to the SEC.</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As an EGC,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1A.RISK FACTORS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risks described below, together with the other information contained in this Annual Report on Form 10-K, including “Management’s Discussion and Analysis of Financial Condition and Results of Operations” and the consolidated financial statements and the related notes, as well as the risks, uncertainties and other information set forth in the reports and other materials filed or furnished by us and our majority-controlled subsidiary, Immunovant, Inc. (“Immunovant”), with the SEC. We cannot assure you that any of the events discussed in the risk factors below will not occur. These risks could have a material and adverse impact on our business, prospects, results of operations, financial condition and cash flows. If any such events were to happen, the trading shares of our Common Shares could decline, and you could lose all or part of your investment. Unless the context otherwise requires, references in this section to “we,” “us,” “our,” “Roivant” and the “Company” refer to Roivant Sciences Ltd. and its subsidiaries and affiliates.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Strategy</w:t>
      </w:r>
    </w:p>
    <w:p>
      <w:pPr>
        <w:spacing w:after="0" w:line="117"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the inherent uncertainties and risks involved in biopharmaceutical product development may make it difficult for us to execute on our business model and for you to assess our future viability. We have not generated significant revenue from our operations since inception, and there is no guarantee that we will do so in the future.</w:t>
      </w:r>
    </w:p>
    <w:p>
      <w:pPr>
        <w:spacing w:after="0" w:line="6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a newly commercial-stage biopharmaceutical and healthcare technology company with a limited operating history upon which you can evaluate our business and prospects. We were formed in April 2014, and our operations to date have been limited to acquiring or in-licensing product candidates, efforts to discover new product candidates through our small molecule discovery engine, the creation or acquisition of healthcare technology companies and products, starting or acquiring subsidiary businesses, which we refer to as the Vants, in which to house biopharmaceutical products, product candidates or technologies, and hiring management teams to operate the Vants and oversee the development of our products, product candidates and technologies.</w:t>
      </w:r>
    </w:p>
    <w:p>
      <w:pPr>
        <w:spacing w:after="0" w:line="187" w:lineRule="exact"/>
        <w:rPr>
          <w:sz w:val="20"/>
          <w:szCs w:val="20"/>
          <w:color w:val="auto"/>
        </w:rPr>
      </w:pPr>
    </w:p>
    <w:p>
      <w:pPr>
        <w:ind w:left="120" w:right="40" w:firstLine="440"/>
        <w:spacing w:after="0" w:line="228" w:lineRule="auto"/>
        <w:rPr>
          <w:sz w:val="20"/>
          <w:szCs w:val="20"/>
          <w:color w:val="auto"/>
        </w:rPr>
      </w:pPr>
      <w:r>
        <w:rPr>
          <w:rFonts w:ascii="Times New Roman" w:cs="Times New Roman" w:eastAsia="Times New Roman" w:hAnsi="Times New Roman"/>
          <w:sz w:val="18"/>
          <w:szCs w:val="18"/>
          <w:color w:val="auto"/>
        </w:rPr>
        <w:t>We have recently commenced our transition from a clinical-stage to a company with commercial-stage assets. In May 2022, VTAMA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(tapinarof) for the treatment of adults with plaque psoriasis received regulatory approval in the U.S. VTAMA is not currently approved in any other jurisdictions and we do not have any other product candidates that have received regulatory approvals in the U.S. or in any other jurisdiction.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ability to execute on our business model and generate revenues depends on a number of factors including our ability to:</w:t>
      </w:r>
    </w:p>
    <w:p>
      <w:pPr>
        <w:spacing w:after="0" w:line="13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VTAMA;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new acquisition or in-licensing opportunities;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ongoing preclinical studies and clinical trials and obtain regulatory approvals for our current and future products and product candidates;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new product candidates through our small molecule discovery engine and advance those product candidates into preclinical studies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healthcare technology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additional funds when needed and on terms acceptable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experienced management and advisory teams;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clinical, preclinical manufacturing and commercialization efforts and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7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future product candidates, whether alone or in collaboration with others, including establishing sales, marketing and distribution systems;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relationships with third-party suppliers and manufacturers and have commercial quantities of products and product candidates manufactured at acceptable cost and quality levels and in compliance with the U.S. Food and Drug Administration (the “FDA”) and other regulatory requirements;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acceptable prices for products and product candidates and obtain coverage and adequate reimbursement from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products and product candidates in the medical community and with third-party payors and consumers;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If we cannot successfully execute on these objectives, our business may not succeed and the price of our Common Shares may be negatively impacted.</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and commercialization, we are unable to predict the timing or amount of increased expenses, or when we will be able to generate any meaningful revenue or achieve or maintain profitability, if ever. Our expenses could increase beyond expectations if we are required by the FDA or comparable non-U.S. regulatory authorities to perform studies or clinical trials in addition to those that are currently anticipated or to otherwise provide data beyond that which we currently believe is necessary to support an application for marketing approval or to continue clinical development, or if there are any delays in any of our or our future collaborators’ clinical trials or the development of our product candidates that we may identify. We anticipate incurring significant costs associated with commercializing VTAMA and any future product candidates, if approved, as well as ongoing compliance efforts.</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may never be able to develop new marketable drugs or successfully commercialize a marketable drug or achieve profitability. To become profitable, we must succeed in developing and commercializing products that generate significant revenue. Revenue from the sale of any products or product candidate for which regulatory approval is obtained will be dependent, in part, upon the size of the markets in the territories for which we have or may gain regulatory approval, the accepted price for the product, the ability to obtain reimbursement at any price, the strength and term of patent exclusivity for the product, the competitive landscape of the product market, and whether we own the commercial rights for that territory. For example, even though VTAMA for the treatment of adults with plaque psoriasis has received regulatory approval in the U.S., we can provide no assurances that we will be able to achieve profitability based on sales in that indication alone or that we will be able to receive approval of and commercialize VTAMA in other indications or in other jurisdictions. Even if we achieve profitability in the future, we may not be able to sustain profitability in subsequent periods. Our failure to achieve sustained profitability would depress the value of our company and could impair our ability to raise capital, expand our business, expand our pipeline, market our products and, if approved, product candidates, and continue our operations. Our prior losses, combined with expected future losses, have had and will continue to have an adverse effect on our shareholders’ equity and working capital.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never achieve or maintain profitability.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 product candidate will fail to gain regulatory approval or become commercially viable. While we have received regulatory approval for one product candidate, VTAMA for the treatment of adults with plaque psoriasis in the U.S., we have yet to receive marketing approval for any of our other product candidates anywhere in the world and we have not generated meaningful product revenues from the commercial sale of our biopharmaceutical products. We cannot estimate with precision the extent of our future losses. We may never generate meaningful product revenue from the commercial sales of our products 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82"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approved, product candidates or achieve or maintain profitability. It is possible that we will continue to incur substantial operating losses for the foreseeable future. Our ability to generate meaningful product revenue and achieve profitability is dependent on the ability to complete the development of our products and product candidates, obtain necessary regulatory approvals for our current and future products and product candidates and manufacture and successfully market our current and future products and product candidates alone or in collaboration with others.</w:t>
      </w:r>
    </w:p>
    <w:p>
      <w:pPr>
        <w:spacing w:after="0" w:line="284"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fund our operations, and if we fail to obtain necessary financing, we may not be able to successfully market our products, acquire or in-license new products or product candidates, complete the development and commercialization of our products and product candidates and continue to pursue our drug discovery efforts.</w:t>
      </w:r>
    </w:p>
    <w:p>
      <w:pPr>
        <w:spacing w:after="0" w:line="6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Acquiring or in-licensing, discovering, developing, commercializing and marketing biopharmaceutical products and product candidates is expensive and time consuming, and we expect to require additional capital to acquire or in-license new products or product candidates, pursue the development and commercialization of our current and future products and product candidates, and continue our drug discovery efforts. We are also responsible for payments to third parties under our license and acquisition agreements, including milestone and royalty payments. Because of the inherent uncertainties in these activities – including the outcome of preclinical and clinical trials and the regulatory approval process – we cannot reasonably estimate the actual amounts necessary to successfully complete the development, regulatory approval process and commercialization of our product candidates or any future product candidates.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future funding requirements, both near- and long-term, will depend on many factors, including, but not limited to:</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necessary to complete our ongoing, planned and future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necessary to pursue regulatory approvals for our current and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future acquisitions or in-licensing transactions;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and costs of our preclinical studies, clinical trials and other related activities, including the ability to enroll patients in a timely manner for our ongoing and planned clinical trials and potential future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our ongoing, planned and future preclinical studies and other drug discovery activities;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and negotiate acceptable terms for third-party supply and contract manufacturing agreements with contract manufacturing organizations (“CMOs”);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adequate clinical and commercial supplies of raw materials and drug products for our products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VTAMA, including:</w:t>
      </w:r>
    </w:p>
    <w:p>
      <w:pPr>
        <w:spacing w:after="0" w:line="130" w:lineRule="exact"/>
        <w:rPr>
          <w:rFonts w:ascii="Times New Roman" w:cs="Times New Roman" w:eastAsia="Times New Roman" w:hAnsi="Times New Roman"/>
          <w:sz w:val="18"/>
          <w:szCs w:val="18"/>
          <w:color w:val="auto"/>
        </w:rPr>
      </w:pPr>
    </w:p>
    <w:p>
      <w:pPr>
        <w:ind w:left="1540" w:right="500" w:hanging="331"/>
        <w:spacing w:after="0" w:line="282"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VTAMA, including the cost and timing of expanding sales and marketing capabilities or entering into strategic collaborations with third parties; and</w:t>
      </w:r>
    </w:p>
    <w:p>
      <w:pPr>
        <w:spacing w:after="0" w:line="67" w:lineRule="exact"/>
        <w:rPr>
          <w:rFonts w:ascii="Times New Roman" w:cs="Times New Roman" w:eastAsia="Times New Roman" w:hAnsi="Times New Roman"/>
          <w:sz w:val="18"/>
          <w:szCs w:val="18"/>
          <w:color w:val="auto"/>
        </w:rPr>
      </w:pPr>
    </w:p>
    <w:p>
      <w:pPr>
        <w:ind w:left="1540" w:right="300" w:hanging="331"/>
        <w:spacing w:after="0" w:line="282"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sales and other revenues from VTAMA, including the sales price and the availability of adequate third-party reimbursement.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 including current and future patent infringement actions brought against third parties;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82"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patent infringement actions brought by third parties against us or any of our current or future products or product candidates;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attract and retain qualified personnel.</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cannot be certain that additional capital will be available to us or the Vants on acceptable terms, or at all. If we or the Vants are unable to raise additional capital in sufficient amounts or on terms acceptable to us, we may have to significantly delay, scale back or discontinue our in-licensing and acquisition, discovery, development, commercialization and marketing activities. In addition, attempting to secure additional capital may divert the time and attention of our management from day-to-day activities and harm our business. Because of the numerous risks and uncertainties associated with our business, we are unable to estimate the amounts of increased capital outlays, operating expenditures and capital requirements associated with our current and future product development programs and discovery efforts. Moreover, risks associated with broader market conditions including high levels of inflation and market volatility, both of which have been observed in recent months, may further adversely impact our ability to obtain financing on acceptable terms or at all.</w:t>
      </w:r>
    </w:p>
    <w:p>
      <w:pPr>
        <w:spacing w:after="0" w:line="19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Until such time, if ever, that we can generate substantial revenues, we expect to continue to finance our cash needs through a combination of equity offerings, debt financings, strategic alliances and license and development agreements or other collaborations at Roivant and the Vants. To the extent that we raise additional capital by issuing equity securities at Roivant or the Vants, our existing shareholders’ ownership, or our ownership in the Vants, may experience substantial dilution, and the terms of these securities may include liquidation or other preferences that could harm the rights of our shareholders. Additionally, any agreements for future debt or preferred equity financings, if available, may involve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products and product candidates, future revenue streams, research programs or technologies or grant licenses on terms that may not be favorable to us. The foregoing restrictions associated with potential sources of additional capital may make it more difficult for us to raise additional capital or to pursue business opportunities, including potential acquisitions.</w:t>
      </w:r>
    </w:p>
    <w:p>
      <w:pPr>
        <w:spacing w:after="0" w:line="192"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adequate funds are not available to us, we may be required to forego potential in-licensing or acquisition opportunities, delay, limit or terminate one or more development or discovery programs, scale back marketing efforts for our current and future products or be unable to expand operations or otherwise capitalize on business opportunities, which could materially affect our business, prospects, financial condition and results of operations.</w:t>
      </w:r>
    </w:p>
    <w:p>
      <w:pPr>
        <w:spacing w:after="0" w:line="262"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have limited experience as a commercial company and the marketing and sale of </w:t>
      </w:r>
      <w:r>
        <w:rPr>
          <w:rFonts w:ascii="Times New Roman" w:cs="Times New Roman" w:eastAsia="Times New Roman" w:hAnsi="Times New Roman"/>
          <w:sz w:val="18"/>
          <w:szCs w:val="18"/>
          <w:i w:val="1"/>
          <w:iCs w:val="1"/>
          <w:color w:val="auto"/>
        </w:rPr>
        <w:t>VTAMA</w:t>
      </w:r>
      <w:r>
        <w:rPr>
          <w:rFonts w:ascii="Times New Roman" w:cs="Times New Roman" w:eastAsia="Times New Roman" w:hAnsi="Times New Roman"/>
          <w:sz w:val="18"/>
          <w:szCs w:val="18"/>
          <w:b w:val="1"/>
          <w:bCs w:val="1"/>
          <w:i w:val="1"/>
          <w:iCs w:val="1"/>
          <w:color w:val="auto"/>
        </w:rPr>
        <w:t xml:space="preserve"> or any future products may be unsuccessful or less successful than anticipated.</w:t>
      </w:r>
    </w:p>
    <w:p>
      <w:pPr>
        <w:spacing w:after="0" w:line="5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May 2022, the FDA approved VTAMA for the treatment of adults with plaque psoriasis in the U.S. While we have launched VTAMA in the U.S., we have limited experience as a commercial company and therefore face significant risks and uncertainties relating to the commercialization of VTAMA and any future products that receive marketing approval, including:</w:t>
      </w:r>
    </w:p>
    <w:p>
      <w:pPr>
        <w:spacing w:after="0" w:line="81"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effective sales, marketing and customer service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access to physicians or persuade adequate numbers of physicians to prescribe VTAMA and any future products;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and to price VTAMA and any future products at a price point sufficient to ensure an adequate and attractive level of profitability;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adequate reimbursement for these products will be available from government health administration authorities, private health insurers and other organizations;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82"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potential co-promotion or partnership agreements, including the failure to realize the expected benefits of such arrangements;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unforeseen costs, expenses and risks associated with the commercialization of biopharmaceutical products, including compliance costs.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in preparation for our commercial launch of VTAMA, we expect to significantly increase the amount of cash we spend in order to expand our commercial infrastructure. We expect this level of increased cash spending to increase into calendar year 2023. The increased level of cash spending will support our transition to an integrated commercial biopharmaceutical company and to support the commercialization of VTAMA. To the extent that we are able to gain regulatory approval for VTAMA in any other jurisdiction besides the U.S. or to gain regulatory approval for any of our other product candidates in any jurisdiction, we would expect to incur additional increased cash costs.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limited experience as a commercial-stage company means that there is limited information about our ability to overcome many of the risks and uncertainties encountered by companies commercializing products in the biopharmaceutical industry, including the risks and uncertainties outlined above. Further, as we continue to develop and seek regulatory approval of additional product and products candidates, as well as additional indications for VTAMA, and to pursue regulatory approvals for VTAMA and other products and product candidates outside the U.S., it could be difficult for us to obtain and devote the resources necessary to successfully manage our commercialization efforts. If we are unable to manage the risks and uncertainties associated with the commercialization of VTAMA and any future products or product candidates that receive marketing approval, we may be unable to generate significant revenues from the sales of these products and product candidates to achieve profitability, which will materially affect our business, prospects,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acquire, in-license or discover new product candidates.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successfully identify new product candidates, whether through acquisitions or in-licensing transactions or through our internal discovery capabilities. Our acquisition and in-licensing efforts focus on identifying assets in development by third parties across a diverse range of therapeutic areas that, in our view, are underserved or undervalued. Our strategy often entails designing low-cost studies that result in quick “go/no-go” decisions when deciding whether or how to proceed with future development for a given asset, once acquired. We may decide to proceed with the development of a product candidate on this basis and later determine that the more costly and time intensive trials do not support the initial value the product candidate was thought to hold. Even if a product candidate does prove to be valuable, its value may be less than anticipated at the time of investment. We may also face competition for attractive investment opportunities. A number of entities compete with us for such opportunities, many of which have considerably greater financial and technical resources. If we are unable to identify a sufficient number of such product candidates, or if the product candidates that we identify do not prove to be as valuable as anticipated, we will not be able to generate returns and implement our investment strategy and our business and results of operations may suffer materially.</w:t>
      </w:r>
    </w:p>
    <w:p>
      <w:pPr>
        <w:spacing w:after="0" w:line="19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drug discovery efforts are centered on our small molecule discovery engine. As a company we have relatively limited experience in drug discovery generally, with targeted protein degradation and covalency as approaches to target inhibition and with computational discovery as a technology. Our future success depends, in part, on our ability to successfully use these approaches and technologies to identify promising new product candidates and eventually advance those product candidates through preclinical studies and clinical trials.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Only a limited number of product candidates using the approaches of targeted protein degradation or covalency have been approved in the United States or Europe. The data underlying the feasibility of developing therapeutic products based on these approaches remains both preliminary and limited. We have not yet succeeded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60"/>
          </w:cols>
          <w:pgMar w:left="320" w:top="482"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and may not succeed in advancing any product candidates developed using our small molecule discovery engine into clinical trials, demonstrating the efficacy and safety of such product candidates or obtaining regulatory approval thereafter. As a result, it is difficult to predict the time and cost of product candidate development from our small molecule discovery engine and we cannot predict whether the application of these approaches will result in the development and regulatory approval of any products. Any problems we experience in the future related to this platform or any of our related development programs may cause significant delays or unanticipated costs or may prevent the development of a commercially viable product. Any of these factors may prevent us from completing our preclinical studies or any clinical trials that we may initiate or commercializing any internally discovered product candidates we may develop on a timely or profitable basis, if at all.</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Although we believe that our computational discovery platform has the potential to identify more promising molecules than traditional research methods and to accelerate drug discovery efforts, our focus on using our platform technology to discover and design molecules with therapeutic potential may not result in the discovery and development of commercially viable products for us. Computational discovery is a relatively new approach to drug development. As an organization, we have not yet developed any product candidates using this technology that have advanced into clinical trials and we may fail to identify potential product candidates for clinical development. Even if we are able to advance product candidates identified through our computational discovery platform into clinical trials, those trials may not be successful in demonstrating the efficacy and safety of such product candidates and, as a result, we may not be able to obtain regulatory approvals for those product candidates.</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Any such failure to in-license or acquire new product candidates from third parties, or to discover new product candidates using our small molecule discovery engine or computational discovery platforms, would have a material adverse effect on our business, financial condition, results of operations and prospects.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allocation of capital and personnel across our businesses.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have to make challenging decisions regarding the allocation of capital and personnel across our businesses. We face certain risks associated with these decisions and may fail to capitalize on viable commercial product candidates or profitable market opportunities. For example, we may decide not to pursue a particular in-licensing or acquisition opportunity, or a potential target indication for a product candidate, that later proves to have greater commercial potential than our current and planned development programs and product candidates. Similarly, our management’s attention to one product or product candidate may divert their attention from another opportunity that ultimately might have proven more successful. Our spending on current and future research and development programs and other future product candidates may not yield any commercially viable future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future product candidate.</w:t>
      </w:r>
    </w:p>
    <w:p>
      <w:pPr>
        <w:spacing w:after="0" w:line="19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product candidates or programs, which entails additional risk to us. Identifying, selecting and acquiring promising product candidates requires substantial technical, financial and human resources expertise. Efforts to do so may not result in the actual acquisition or in-license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82"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Vant structure.</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products and product candidates are developed at our Vants, which operate similarly to independent biopharmaceutical companies. While we believe that there are significant competitive advantages to this structure, as compared to traditional pharmaceutical companies or smaller biopharma companies, the Vant structure also poses certain risks for our business.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Operating the Vants independently, rather than under a centralized, consolidated management team, may result in increased costs at the Vants, as certain functions or processes, including sales and marketing, clinical and nonclinical personnel, business development, finance, accounting, human resources and legal functions, are replicated across the Vants. There may also be certain start-up costs, associated with the establishment of a new Vant or integration of a newly acquired business into a Vant, which are greater under the Vant model than they would be under a centralized model. The use of the Vant model may also entail increased costs for us, including the time and expenses associated with hiring Vant CEOs and management teams, overseeing Vant equity incentive arrangements and managing compliance-related risks, including the internal controls, reporting systems and procedures necessary for us to operate as a public company. We may also be exposed to increased “key employee” risks, in the event a Vant CEO were to depart, including the loss of other senior Vant personnel, potentially resulting in adverse impacts to commercialization or development work at the Vant. These increased expenses, complexities and other challenges may make using and scaling the Vant model more challenging and costly than it would be for a traditional pharmaceutical company to both operate and expand the number of product candidates under development, which could have a material adverse effect on our consolidated business, financial condition, results of operations or prospects. This decentralized model could also make compliance with applicable laws and regulations more challenging to monitor and may expose us to increased costs that could, in turn, harm our business, financial condition, results of operations or prospects.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a single or limited number of the Vants may, now or in the future, comprise a large proportion of our value. Similarly, a large proportion of our consolidated revenues may be derived from one or a small number of Vants. For example, our only approved product, VTAMA, was developed and is being commercialized by Dermavant, one of our Vants. Any adverse development at Dermavant or any other Vant, including the loss of key members of management, the termination of a key license agreement or other loss of the intellectual property underlying a product or product candidate or the failure of a clinical trial for a product candidate under development at the Vant, could have a material adverse effect on our consolidated business, financial condition, results of operations or prospects.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manage the Vants in part through our designees who serve on the Vant boards of directors. In their capacities as directors, those individuals owe fiduciary duties to the Vants and their shareholders under applicable law, which may at times require them to take actions that are not directly in our interest. To the extent any such actions have an adverse effect on the value of our ownership interest in the Vant, it could further adversely impact our consolidated business, financial condition, results of operations or prospects.</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pandemic resulting from the outbreak of the novel strain of coronavirus, SARS-CoV-2, which causes COVID-19, could adversely impact our business, including the marketing of our products and our ongoing clinical trials and preclinical studies.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In December 2019, a novel strain of coronavirus, SARS-CoV-2, which causes COVID-19, emerged. COVID-19 has since spread globally, including to the countries in which we and our business partners conduct business. Governments in affected regions have implemented, and may continue to implement or re-implement, safety precautions, including quarantines, travel restrictions, business closures, cancellations of public gatherings and other measures they deem necessary. Like many other organizations and individuals, we and our employees have taken additional steps to avoid or reduce infection, including limiting travel and implementing remote work arrangements. We will continue to actively monitor the situation and may take further actions that could alter our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82"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business operations as may be required by national, state or local authorities, or that we determine are in the best interests of our employees and shareholders.</w:t>
      </w:r>
    </w:p>
    <w:p>
      <w:pPr>
        <w:spacing w:after="0" w:line="16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have experienced, and may in the future experience, disruptions as a result of COVID-19 or future pandemics that severely impact our business, commercial and marketing activities, clinical trials and preclinical studies, including:</w:t>
      </w:r>
    </w:p>
    <w:p>
      <w:pPr>
        <w:spacing w:after="0" w:line="67" w:lineRule="exact"/>
        <w:rPr>
          <w:sz w:val="20"/>
          <w:szCs w:val="20"/>
          <w:color w:val="auto"/>
        </w:rPr>
      </w:pPr>
    </w:p>
    <w:p>
      <w:pPr>
        <w:ind w:left="1080" w:right="1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and market our current and future products and, if approved, product candidates, including as a result of government- or employer-imposed remote work orders and travel and workplace visitor restrictions;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patient health care utilization due to quarantines, travel restrictions, work from home orders or other public health measures;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commercial supply chain including as a result of quarantines, travel restrictions, work from home orders or other public health measures;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 and the consequences of such delays or difficulties, including terminating clinical trials prematurely;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nonclinical experiments due to unforeseen circumstances at contract research organizations (“CROs”), and vendors along their supply chain;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patients withdrawing from our clinical trials following enrollment as a result of contracting COVID-19, being forced to quarantine or not accepting home health visits;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and comparable non-U.S. regulatory agencies, which may impact review and approval timelines;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clinical trials and preclinical studies, including because of sickness of employees or their families, the desire of employees to avoid contact with large groups of people and increased reliance on working from home or mass transit disruptions;</w:t>
      </w:r>
    </w:p>
    <w:p>
      <w:pPr>
        <w:spacing w:after="0" w:line="81"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disruptions to our business generally, including remote working activities and the implementation of new health and safety requirements for our employees;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or suspension of patent or other intellectual property rights.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These and other factors arising from the COVID-19 pandemic, including risks relating to the resurgence or emergence of new variants of SARS-CoV-2, including variants and sub-variants thereof, the efficacy and availability of vaccines and rates of vaccination (including vaccine booster shots), the pandemic worsening in countries that are already afflicted with COVID-19 or the COVID-19 pandemic continuing to spread to additional countries or returning to countries where the pandemic has been partially contained, could further adversely impact our ability to market our products and conduct clinical trials and other business activities, and could have a material adverse impact on our operations and financial condition and results.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operations and financial results, it may also have the effect of heightening many of the other risks described elsewhere, such as those relating to our clinical development operations, the supply chain for our ongoing and planned clinical trials and our ability to seek and receive regulatory approvals for our product candidates.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potential future payments related to our products and product candidates.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asset in-licensing transactions typically involve low upfront payments combined with milestone and royalty payments contingent upon the achievement of certain future development and commercial events. These arrangements generally involve a payment or payments upon the achievement of certain regulatory milestones, including regulatory approval, and then royalty payments upon the achievement of specified levels of sales, which can extend for up to the life of a product. Some of these payments may become due before a product is generating revenues, in which case we may not have sufficient funds available to meet our obligations. If this were to occur, we would default on our payment obligations and could face penalties, delays in commercialization or development activities or reputational damage. Even for a product that is commercialized and generating revenue, payments could become due that are so large that the investment is not profitable or is less profitable than anticipated. For example, this could occur if at the time of the initial investment, we overestimated the value of the product and agreed to a payment schedule using these inflated estimates. If we are unable to make milestone and royalty payments related to our product candidates when due, our business and prospects could suffer.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investment strategy and future growth relies on a number of assumptions, some or all which may not be realized.</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investment strategy and plans for future growth rely on a number of assumptions, including, in the case of our products and product candidates, assumptions related to adoption of a particular therapy, incidence and prevalence of an indication, use of a product or product candidate versus competitor therapies and size of the addressable patient populations. Some or all of these assumptions may be incorrect. We cannot accurately predict whether our products or product candidates will achieve significant market acceptance in line with these assumptions or whether there will be a market for our products or product candidates that reaches the anticipated size. If any of these assumptions are incorrect or overstated, our results and future prospects will be materially and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past and future acquisitions, partnerships, alliances or other strategic transactions.</w:t>
      </w:r>
    </w:p>
    <w:p>
      <w:pPr>
        <w:spacing w:after="0" w:line="121"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We have historically and may in the future enter into various types of corporate transactions, including acquisitions, strategic partnerships, alliances or collaborations and licensing transactions. These past and future transactions pose certain risks to our business, including:</w:t>
      </w:r>
    </w:p>
    <w:p>
      <w:pPr>
        <w:spacing w:after="0" w:line="45"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or our subsidiaries’ equity securities which would result in dilution to existing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including difficulties associated with integrating new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away from operating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uncertainties in our ability to maintain key business relationships;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counterparty to any such transaction;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80"/>
          </w:cols>
          <w:pgMar w:left="320" w:top="482"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eventually generate revenue from acquired technology or products or product candidates sufficient to meet our objectives in undertaking the acquisition or even to offset the associated acquisition and maintenance costs;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including claims from terminated employees, customers, former shareholders or other third parties.</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expenses, any of which could have a material adverse effect on our business, prospects, financial condition or results of operations.</w:t>
      </w:r>
    </w:p>
    <w:p>
      <w:pPr>
        <w:spacing w:after="0" w:line="176"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Further, any such transactions may be complex, time-consuming and expensive to execute and may be subject to regulatory requirements that could impact our business. There can be no guarantee that we will be able to successfully consummate such acquisitions or other transactions, which could result in a significant diversion of management and other employee time, as well as substantial out-of-pocket costs.</w:t>
      </w:r>
    </w:p>
    <w:p>
      <w:pPr>
        <w:spacing w:after="0" w:line="17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any acquisitions or other transactions are not completed for any reason, we may incur significant costs and the market price of our Common Shares may decline. In addition, even if an acquisition or other transaction is consummated, the integration of the acquired business, product or other assets into our Company may be complex and time-consuming, and we may not achieve the anticipated benefits, cost-savings or growth opportunities we expect. Potential difficulties that may be encountered in the integration process include the following: integrating personnel, operations and systems; coordinating geographically dispersed organizations; distracting management and employees from current operations; maintaining the existing business relationships of the acquired company; and managing inefficiencies associated with integrating the operations of the Company and the acquired business, product or other assets. For biopharmaceutical businesses we have acquired or may acquire in the future, or alliances or joint ventures in the biopharmaceutical industry, we may encounter numerous difficulties in developing, manufacturing and marketing any new products or product candidates related to such businesses, which may delay or prevent us from realizing the expected benefits or enhancing our business. We cannot assure you that, following any such acquisition, alliance or partnership, we will achieve the expected synergies to justify the transaction.</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past or future acquisitions, partnerships or strategic alliances could cause us to fail to realize the anticipated benefits of these transactions, incur unanticipated liabilities and harm our business generally. There is also a risk that current or future acquisitions will result in the shareholder litigation, incurrence of debt, contingent liabilities, amortization expenses or incremental operating expenses, any of which could harm our financial condition or results of operations.</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 controlling interest in additional companies in the future, it could adversely affect our operating results and the value of our Common Shares, thereby disrupting our business.</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part of our strategy, we expect to form and invest in additional wholly-owned and majority-owned subsidiaries. Investments in our existing and any future subsidiaries involve numerous risks, including, but not necessarily limited to, risks related to:</w:t>
      </w:r>
    </w:p>
    <w:p>
      <w:pPr>
        <w:spacing w:after="0" w:line="67"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research and development activities in new therapeutic areas or treatment approaches in which we have little to no experience;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managerial resources from existing operations;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conflicts among new and existing Vants to the extent they have overlapping or competing areas of focus or pipeline products;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negotiating a proposed acquisition, in-license or investment in a timely manner and at a price or on terms and conditions favorable to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combining and integrating a potential acquisition into our existing business to fully realize the benefits of such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regulatory reviews on a proposed acquisition, in-license or investment;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with respect to the proposed acquisition, in-license or investment.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fail to properly evaluate potential acquisitions, in-licenses, investments or other transactions associated with the creation of new research and development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pacing w:after="0" w:line="28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suffer reputational harm due to our inability to successfully commercialize VTAMA or other failures of our product candidates, which could have further adverse impacts on our business.</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inability to successfully commercialize VTAMA or the failure of any of our product candidates in ongoing or future clinical trials or preclinical studies, in addition to having a direct adverse impact on our business and prospects, could also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Development of Our Products and Product Candidates</w:t>
      </w:r>
    </w:p>
    <w:p>
      <w:pPr>
        <w:spacing w:after="0" w:line="117"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spacing w:after="0" w:line="6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biopharmaceutical product candidates that are in clinical development or preclinical studies will require, as applicable, extensive clinical testing before a New Drug Application (“NDA”) or other similar application for regulatory approval, such as a Biologics License Application (“BLA”) or an application for marketing authorization in the European Union (“EU”) or United Kingdom (“UK”), may be submitted, or extensive preclinical testing before an Investigational New Drug application (“IND”) or an application for authorization to conduct a clinical trial in the EU or UK may be submitted, a Clinical Trial Application (“CTA”). We cannot provide any assurance that we will submit an IND, NDA, CTA or other similar application for regulatory approval for our product candidates within projected timeframes or whether any such application will be approved by the relevant regulatory authorities.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Clinical trials and preclinical studies are very expensive, time-consuming and difficult to design and implement, in part because they are subject to rigorous regulatory requirements. For instance, the FDA, an institutional review board (“IRB”), an Ethics Committee (“EC”) or other regulatory authorities may not agree with the proposed analysis plans or trial design for the clinical trials of our product candidates, and during any such review, may identify unexpected efficacy or safety concerns, which may delay the effective date of an IND or approval of an NDA, BLA or similar application. The FDA, the European Medicines Agency (“EMA”) or the European Commission or other relevant regulatory authority may also find that the benefits of any product candidate in any applicable indication do not outweigh its risks in a manner sufficient to grant regulatory approval.</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FDA or other regulatory authorities may also not agree with the scope of our proposed investigational plan. For example, they may find that our proposed development program is not sufficient to support a marketing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authorization application, or that the proposed indication is considered to be too broad. Moreover, the FDA or other regulatory authorities may also refuse or impose certain restrictions on our reliance on data supporting our clinical trial application or marketing authorization application should such data originate from studies outside of the relevant jurisdiction or be affected by regulatory non-compliance, including issues of data integrity. In the EU, data derived from clinical trials that were conducted outside the EU cannot be used to support a CTA unless the clinical trial was registered on a relevant database. In each case, this could delay the clinical development and authorization timeline for a given product candidate.</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Failures can occur at any stage of development, including clinical trials or preclinical studies, and we could encounter problems that cause us to abandon or repeat clinical trials or preclinical studies. In addition, results from clinical trials or preclinical studies may require further evaluation, delaying the next stage of development or submission of an IND or an NDA or similar application. Further, product candidates in later stages of clinical trials may fail to show the desired safety and efficacy results despite having successfully progressed through preclinical and earlier stage clinical trials. Such product candidates may exhibit safety signals in later stage clinical trials that they did not exhibit in earlier studies or trials. A number of companies in the biopharmaceutical industry have suffered significant setbacks in, or the discontinuation of, advanced clinical trials with a product candidate due to lack of efficacy or adverse safety findings, despite having promising results in earlier trials or studies. Likewise, the results of early clinical trials or preclinical studies of our product candidates may not be predictive of the results of future development programs. There can also be no assurance that the results of studies conducted by collaborators or other third parties with similar product candidates in similar indications will be viewed favorably or indicative of our own future trial results.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commencement and completion of preclinical studies and clinical trials may be delayed by several factors, including:</w:t>
      </w:r>
    </w:p>
    <w:p>
      <w:pPr>
        <w:spacing w:after="0" w:line="131" w:lineRule="exact"/>
        <w:rPr>
          <w:sz w:val="20"/>
          <w:szCs w:val="20"/>
          <w:color w:val="auto"/>
        </w:rPr>
      </w:pPr>
    </w:p>
    <w:p>
      <w:pPr>
        <w:ind w:left="1080" w:right="4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authorization to commence a clinical trial or reaching consensus with regulatory authorities regarding the design or implementation of our studies;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issues, including the receipt of any inspectional observations on FDA’s Form-483, Warning or Untitled Letters, clinical holds, or complete response letters or similar communications/objections by other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subjects experiencing severe or unexpected adverse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any dosing issues, including those raised by the FDA or other regulatory authorities;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 on acceptable terms with prospective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or failure to recruit suitable patients to participate in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add a sufficient number of clinical trial sites;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impact from changes in or modifications to protocols or clinical trial design, including those that may be required by the FDA or other regulatory authorities;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clinical investigators or study participants to follow our clinical and other applicable protocols or applicable regulatory requirements;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IRB or EC refusing to approve, suspending, or terminating the trial at an investigational site, precluding enrollment of additional subjects, or withdrawing their approval of the trial;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premature discontinuation of study participants from clinical trials or missing data;</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82"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740" w:hanging="424"/>
        <w:spacing w:after="0" w:line="312" w:lineRule="auto"/>
        <w:tabs>
          <w:tab w:leader="none" w:pos="10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manufacture or release sufficient quantities of our product candidates or failure to obtain sufficient quantities of active comparator medications for our clinical trials, if applicable, that in each case meet our quality standards, for use in clinical trials;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unblinding of trial results.</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planned and ongoing clinical trials. Further, we, the FDA or other regulatory authorities may suspend our clinical trials in an entire country at any time, or an IRB/EC may suspend our clinical trial sites within any country, if it appears that we or our collaborators are failing to conduct a trial in accordance with the protocol, applicable regulatory requirements, including Good Clinical Practice (“GCP”) regulations, that we are exposing participants to unacceptable health risks, or if the FDA or other regulatory authority finds deficiencies in our IND or equivalent applications for other countries or in the manner in which clinical trials are conducted. Therefore, we cannot predict with any certainty the schedule for commencement and completion of future clinical trials.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or if we terminate a clinical trial prior to completion, the commercial prospects of our product candidates could be harmed, and our ability to generate product revenue from any of our product candidates, if approved, may be delayed. In addition, any delays in our clinical trials could increase our costs, cause a decline in our share price, slow down the approval process, and jeopardize our ability to commence product sales and generate revenue. Any of these occurrences may harm our business, financial condition and results of operations. In addition, many of the factors that cause or lead to a termination or suspension of, or delay in the commencement or completion of clinical trials may also ultimately lead to the denial of regulatory approval of our product candidates. We may make formulation or manufacturing changes to our product candidates, in which case we may need to conduct additional preclinical or 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 candidates to market before we do, and the commercial viability of our product candidates could be significantly reduced.</w:t>
      </w:r>
    </w:p>
    <w:p>
      <w:pPr>
        <w:spacing w:after="0" w:line="19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authorities may therefore question the integrity of the data generated at the applicable clinical trial site and the utility of the clinical trial itself may be jeopardized. This could result in a delay in approval, or rejection, of our marketing and authorization applications by the FDA or other regulatory authorities, as the case may be, and may ultimately lead to the denial of marketing approval of any of our product candidates.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for our products or product candidates that are in clinical development, prior to our acquisition of the rights to those products or product candidates we had no involvement with or control over the preclinical or clinical development of those products or product candidates. We are therefore dependent on our licensing and other transaction partners having conducted such research and development in accordance with the applicable protocols and legal, regulatory and scientific standards, having accurately reported the results of all clinical trials and other research they conducted prior to our acquisition of the rights to those products or product candidates, having correctly collected and interpreted the data from these trials and other research and having supplied us with complete information, data sets and reports required to adequately demonstrate the results reported through the date of our acquisition of these products or product candidates. Problems associated with the pre-acquisition development of our products or product candidates could result in increased costs and delays in the commercialization of our products or development of our product candidates, which could harm our ability to generate any future revenue from sales of products or, if approved, product candidates.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82"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approach to the discovery and development of product candidates from our </w:t>
      </w:r>
      <w:r>
        <w:rPr>
          <w:rFonts w:ascii="Times New Roman" w:cs="Times New Roman" w:eastAsia="Times New Roman" w:hAnsi="Times New Roman"/>
          <w:sz w:val="18"/>
          <w:szCs w:val="18"/>
          <w:color w:val="auto"/>
        </w:rPr>
        <w:t>small molecule discovery engine</w:t>
      </w:r>
      <w:r>
        <w:rPr>
          <w:rFonts w:ascii="Times New Roman" w:cs="Times New Roman" w:eastAsia="Times New Roman" w:hAnsi="Times New Roman"/>
          <w:sz w:val="18"/>
          <w:szCs w:val="18"/>
          <w:b w:val="1"/>
          <w:bCs w:val="1"/>
          <w:i w:val="1"/>
          <w:iCs w:val="1"/>
          <w:color w:val="auto"/>
        </w:rPr>
        <w:t xml:space="preserve"> is unproven, which makes it difficult to predict the time, cost of development and likelihood of successfully developing any product candidates from this platform.</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Treating diseases using targeted protein degradation, covalency and similar approach is novel and unproven. Our future success depends in part on the successful development of these new therapeutic approaches. Very few small molecule product candidates using targeted protein degradation or covalency have been tested in humans. Only a limited number of product candidates using targeted protein degradation or covalency have been approved in the United States or Europe and the data underlying the feasibility of developing these types of therapeutic products remains both preliminary and limited. If any adverse learnings are made by other developers of protein degraders or covalent inhibitors, development of these product candidates could be materially impacted, which could in turn adversely impact our financial condition and future growth.</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scientific research that forms the basis of our efforts to develop product candidates from our small molecule discovery engine is ongoing and the scientific evidence to support the feasibility of developing these treatments is both preliminary and limited. In addition, we may be unable to replicate the scientific evidence supporting these product candidates observed by our academic collaborators in commercial laboratories.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Further, certain cancer patients have shown inherent primary resistance to approved drugs that inhibit disease-causing proteins and other patients have developed acquired secondary resistance to these inhibitors. Although we believe our product candidates may have the ability to degrade the specific mutations that confer resistance to currently marketed inhibitors of disease-causing enzymes, any inherent primary or acquired secondary resistance to our product candidates in patients, or if the research proves to be contradicted, would prevent or diminish their clinical benefit.</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not yet completed IND-enabling work for, or initiated a clinical trial of, any product candidate associated with our small molecule discovery engine and we have not yet assessed the safety of any of these product candidates in humans. Although some of our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products or product candidates that we cannot predict at this time.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the regulatory approval process for novel product candidates such as those associated with our small molecule discovery engine is uncertain and can be more expensive and take longer than for other, better-known or extensively studied classes of product candidates. Although other companies are also developing therapeutics based on targeted protein degradation and similar approaches, only a limited number of product candidates of this type have been approved in the United States or Europe. As a result, it is difficult for us to predict the time and cost of developing our product candidates and we cannot predict whether any of our product candidates will receive marketing approval or achieve commercial acceptance. Any development problems we experience in the future related to our small molecule discovery engine or any of our related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292"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and product candidates are novel, complex and difficult to manufacture. We could experience manufacturing problems that result in delays in our development or commercialization programs or otherwise harm our business.</w:t>
      </w:r>
    </w:p>
    <w:p>
      <w:pPr>
        <w:spacing w:after="0" w:line="5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manufacturing processes our CMOs use to produce our products and product candidates are complex, novel and, in the case of our product candidates, have not necessarily been validated for commercial use. Several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82"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Our biologic product candidates may require processing steps that are more complex than those required for most small molecule drugs. Moreover, unlike small molecules, the physical and chemical properties of biologics generally cannot be fully characterized.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EU or other applicable standards or specifications with consistent and acceptable production yields and costs.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comparable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 Any problems in our CMOs’ manufacturing processes or facilities could result in delays in planned clinical trials and increased costs, and could make us a less attractive collaborator for potential partners, including larger biopharmaceutical companies and academic research institutions, which could limit access to additional attractive development programs. Problems in any of our manufacturing processes could restrict our ability to meet potential future market demand for our products or to conduct clinical trials with our product candidates.</w:t>
      </w:r>
    </w:p>
    <w:p>
      <w:pPr>
        <w:spacing w:after="0" w:line="291"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enrolling and retaining patients in clinical trials, and clinical development activities could thereby be delayed or otherwise adversely affected.</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encounter delays or difficulties in enrolling, or be unable to enroll, a sufficient number of patients to complete any of our clinical trials for our products or product candidates on current timelines, or at all, and even once enrolled we may be unable to retain a sufficient number of patients to complete any of our clinical trials for these products or product candidates. Enrollment in our clinical trials may also be slower than we anticipate, or be stopped, leading to delays in the development timelines for our products and product candidates.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Patient enrollment and retention in clinical trials depends on many factors, including the size of the patient population, the nature of the trial protocol, our ability to recruit clinical trial investigators with the appropriate competencies and experience, delays in enrollment due to travel or quarantine policies, or other factors, related to COVID-19,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our ability to successfully complete prerequisite studies before enrolling certain patient populations. For certain of our products and product candidates, including batoclimab, which targets certain rare autoimmune indications, there are limited patient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pools from which to draw in order to complete our clinical trials in a timely and cost-effective manner. In addition, for certain of our early-stage development programs, there may be a limited number of sites where it is feasible to run clinical trials, making such programs particularly susceptible to delays caused by issues at those sites.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Furthermore, any negative results or new safety signals we may report in clinical trials of our products or product candidates may make it difficult or impossible to recruit and retain patients in other clinical trials we are conducting or to resume enrolling patients once a paused clinical trial has been resumed. For example, in February 2021, our subsidiary, Immunovant, voluntarily paused dosing in its clinical trials for batoclimab globally due to elevated total cholesterol and low-density lipoprotein (“LDL”) levels observed in some patients treated with batoclimab, resulting in a delay in Immunovant’s development of batoclimab. In current and future trials of batoclimab, it may be more difficult for Immunovant to recruit and retain patients for such clinical trials.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products and product candidates, or could render further development impracticable. In addition, we expect to rely on CROs and clinical trial sites to ensure proper and timely conduct of our future clinical trials, and, while we intend to enter into agreements governing their services, we will be limited in our ability to compel their actual performance. Any such delays in our current or future clinical trials could have a material adverse impact on our operations and financial condition and results.</w:t>
      </w:r>
    </w:p>
    <w:p>
      <w:pPr>
        <w:spacing w:after="0" w:line="28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proposed claims for our products or product candidates, or regulatory approvals on a timely basis or at all, and the results of earlier studies and trials may not be predictive of future trial results.</w:t>
      </w:r>
    </w:p>
    <w:p>
      <w:pPr>
        <w:spacing w:after="0" w:line="5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Success in preclinical testing and early clinical trials does not ensure that later clinical trials will be successful, and we cannot be sure that the results of later clinical trials will replicate the results of prior preclinical studies and earlier clinical trials. For example, we cannot assure you that the reductions in IgG antibodies that we have observed to date in our clinical trials of batoclimab will be observed in any future clinical trials. Likewise, promising interim results or other preliminary analyses do not ensure that the clinical trial as a whole will be successful and may lack statistical significance, which would further limit the reliability of such interim or preliminary data. A number of companies in the pharmaceutical industry, including biotechnology companies, have suffered significant setbacks in, or the discontinuation of, clinical trials, even after promising results were seen with their product candidates in earlier preclinical studies or clinical trials. These setbacks have been caused by, among other things, preclinical findings made while clinical trials were underway and safety or efficacy observations made in clinical trials, including previously unobserved adverse events.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previously disclosed, our subsidiary, Immunovant, voluntarily paused dosing in its early phase clinical studies to evaluate batoclimab-induced elevations in total cholesterol and LDL levels observed in some trial subjects. In December 2021, Immunovant achieved alignment with the FDA Division of Neurology 1 to move forward with its pivotal study of batoclimab as treatment for myasthenia gravis (“MG”) and initiated its Phase 3 trial in MG in June 2022. Following expected discussions with the FDA Division of Hematology, Immunovant intends to initiate a randomized, placebo-controlled study of batoclimab as treatment for warm autoimmune hemolytic anemia (“WAIHA”). In addition, Immunovant recently achieved alignment with the FDA Division of Ophthalmology to move forward in thyroid eye disease (“TED”). It plans to initiate its pivotal program for batoclimab in TED in calendar year 2022. Immunovant continues to evaluate potential new indications for batoclimab and plans to announce two new indications by August 2022. Immunovant expects one of its three indications beyond MG and TED to be initiated as a pivotal study in calendar year 2022. Failure to successfully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82"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complete or replicate clinical trials of batoclimab and to demonstrate the efficacy and safety necessary to obtain regulatory approval to market batoclimab would significantly harm our business.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products and product candidates may not be predictive of the results of later-stage clinical trials. Products and product candidates in later stage clinical trials may fail to show the desired safety and efficacy traits despite having progressed through preclinical and initial clinical trials. A future failure of a clinical trial to meet its pre-specified endpoints may cause us to abandon development of the product candidate in question. Any delay in, or termination of, our clinical trials will prevent or delay the submission of an NDA or other similar applications to the FDA or other relevant comparable non-U.S. regulatory authorities and, ultimately, our ability to commercialize our products or, if approved, our product candidates, and generate product revenues. Even if our clinical trials are completed as planned, we cannot be certain that their results will support our claims for differentiation or the effectiveness or safety of our products and product candidates. The FDA has substantial discretion in the review and approval process and may disagree that our data support the differentiated claims we propose. In addition, only a small percentage of product candidates under development result in the submission of an NDA or other similar application to the FDA and other comparable non-U.S. regulatory authorities and even fewer are approved for commercialization.</w:t>
      </w:r>
    </w:p>
    <w:p>
      <w:pPr>
        <w:spacing w:after="0" w:line="29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and in some countries, in line with the applicable requirements set out in legislation and guidance, we may publicly disclose preliminary or top-line data from our clinical trials, which is based on a preliminary analysis of then-available top-line data. These results and related findings and conclusions are subject to change following a full analysis of all data related to the particular trial. We also make assumptions, estimations, calculations and conclusions as part of our analyses of data, and we may not have received or had the opportunity to fully and carefully evaluate all data. As a result, the preliminary and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top-line data we previously reported. As a result, preliminary and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 Further, disclosure of preliminary or interim data by us or by our competitors could result in increased volatility in the price of our shares.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other parties,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or product candidate and our business in general. In addition, the information we choose or are required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products and product candidates, our business, operating results, prospects or financial condition may be harmed.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82"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manufacturing or formulation may result in additional costs or delay.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our products and product candidates proceed through the development process,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products or product candidates to perform differently and affect the results of planned clinical trials or other future clinical trials conducted with the altered materials. Such changes may also require additional testing, FDA notification or FDA approval. Similar requirements apply in other jurisdictions. This could delay the completion, or result in the abandonment, of clinical trials, require the conduct of bridging clinical trials, the repetition of one or more clinical trials, increase clinical trial costs, delay approval of our products and product candidates and jeopardize our ability to commence sales and generate revenues.</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our clinical trials, and if those third parties perform in an unsatisfactory manner or fail to comply with applicable requirements, it may harm our business.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and we expect to have limited influence over their actual performance. In addition, we rely upon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contract, protocol, legal, regulatory and scientific standards and that clinical trial sites meet applicable protocol and regulatory requirements. Our reliance on CROs does not relieve us of our regulatory or specified contractual responsibilities.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and our CROs are required to comply with Good Laboratory Practices (“GLPs”) and GCPs, which are regulations and guidelines enforced by the FDA and other comparable non-U.S. regulatory authorities, which also require compliance with the International Council for Harmonization of Technical Requirements for Pharmaceuticals for Human Use (“ICH”) guidelines for any of our products and product candidates that are in preclinical and clinical development. The regulatory authorities enforce GCP regulations through periodic inspections of trial sponsors, principal investigators and clinical trial sites. Although we may rely on CROs to conduct our GLP-compliant nonclinical studies and GCP-compliant clinical trials, we remain responsible for ensuring that each of our GLP nonclinical studies and GCP clinical trials is conducted in accordance with its investigational plan and protocol and applicable laws and regulations. Our expected reliance on the CROs does not relieve us of our regulatory responsibilities. If we or our CROs fail to comply with GCPs, the clinical data generated in our clinical trials may be deemed unreliable and the FDA or comparable non-U.S. regulatory authorities may reject our marketing authorization applications and require us to perform additional clinical trials before approving our marketing applications. Accordingly, if our CROs fail to comply with these regulations or other applicable laws, regulations or standards, or fail to recruit a sufficient number of subjects, we may be required to repeat clinical trials, which would delay the regulatory approval process. Failure by any future CROs to properly execute study protocols in accordance with applicable law could also create product liability and healthcare regulatory risks for us as sponsors of those studies.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CROs are independent, third-party organizations and we do not control whether they devote sufficient time, attention and resources to our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approval for, or successfully commercialize any product or product candidate that we develop. As a result, our financial results and the commercial prospects for any product or product candidate that we develop would be harmed, our costs could increase, and our ability to generate revenues could be delayed.</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our relationships with these CROs terminate, we may not be able to enter into arrangements with alternative CROs or do so on commercially reasonable terms or in a timely manner. Switching or adding additional CROs involves substantial cost and requires management time and focus. In addition, there is a natural transition period when a new CRO commences work. As a result, delays occur, which can adversely impact our ability to meet our desired clinical development timelines. Though we intend to carefully manage our relationships with the CROs, there can be no assurance that we will not encounter challenges or delays in the future or that these delays or challenges will not have an adverse impact on our business, financial condition and prospects.</w:t>
      </w:r>
    </w:p>
    <w:p>
      <w:pPr>
        <w:spacing w:after="0" w:line="291"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our own manufacturing capabilities and rely on third parties to produce clinical and commercial supplies of our products and product candidates.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do not own or operate, and do not expect to own or operate, facilities for product manufacturing, storage and distribution or testing. Accordingly, we rely on third parties to produce commercial and clinical supplies of our products and product candidates. For example, Dermavant and GSK have entered into manufacturing and supply agreements pursuant to which GSK is providing both commercial drug product and drug substance for VTAMA as well as drug product and drug substance for Dermavant’s ongoing Phase III clinical trial of VTAMA in atopic dermatitis. If GSK does not fulfill its obligations under these agreements, Dermavant’s ability to sell VTAMA commercially and conduct its ongoing and future clinical trials with VTAMA may be adversely impacted.</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Third-party vendors may be difficult to identify for our product process and formulation development and manufacturing due to special capabilities required, and they may not be able to meet our quality standards. In addition, certain of our third-party manufacturers and suppliers may encounter delays in providing their services as a result of supply chain constraints. If any third-party manufacturers or third parties in the supply chain for materials used in the production of our products or product candidates are adversely impacted by supply chain constraints, our supply chain may be disrupted, limiting our ability to manufacture our products for commercialization and products or product candidates for our preclinical studies, clinical trials and research and development activities. Any significant delay in the supply of a product or product candidate, or the raw material components thereof, for either commercialization or an ongoing clinical trial, due to the need to replace a third-party manufacturer or otherwise, could considerably delay marketing efforts for the product in question or the completion of clinical trials, product testing and potential regulatory approval of the product candidate in question. If our manufacturers or we are unable to purchase these raw materials after regulatory approval has been obtained for our products or product candidates, the commercial launch of our products or product candidates would be delayed or there would be a shortage in supply, which would impair our ability to generate revenue from the sale of our products or product candidates and may require notification to the FDA or other regulatory authorities. Moreover, as a result of projected supply constraints for certain materials used in the production of our products or product candidates, we have in the past and may in the future reserve manufacturing capacity in advance of receiving required efficacy or safety results from our clinical trials, which may involve committing substantial financial resources to current or future products or product candidates that may never be approved or achieve commercialization at scale or at all. In addition, legislative, executive and regulatory proposals are pending to, among other things, prevent drug shortages, improve pandemic preparedness and reduce the dependency of the United States on foreign supply chains and manufacturing. While we are still assessing these developments, they could impact our selection and utilization of CMOs, vendors and other suppliers and could have a material adverse impact on our business, financial condition and results of operations.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products and product candidates must be approved by the FDA pursuant to inspections that will be conducted after we submit an NDA or other similar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application to the FDA. Such facilities must also register with the FDA. Similar requirements apply in other jurisdictions. We do not control the manufacturing process of, and are completely dependent on, our contract manufacturing partners for compliance with Current Good Manufacturing Practice (“cGMP”) requirements for the manufacture of products and product candidates. If our contract manufacturers cannot successfully manufacture material that conforms to our specifications and the strict regulatory requirements of the FDA or comparable non-U.S. regulatory authorities, we will not be able to secure or maintain regulatory approval for our products or product candidates. In addition, we have limited control over the ability of our contract manufacturers to maintain adequate quality control, quality assurance and qualified personnel. If the FDA or comparable non-U.S. regulatory authorities do not approve these facilities for the manufacture of our products or product candidates or if they withdraw any such approval in the future, we may need to find alternative manufacturing facilities, which would significantly impact our ability to market our products and develop, obtain regulatory approval for or market our product candidates, if approved.</w:t>
      </w:r>
    </w:p>
    <w:p>
      <w:pPr>
        <w:spacing w:after="0" w:line="188"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Further, our reliance on third-party manufacturers entails risks to which we would not be subject if we manufactured our products and product candidates ourselves, including:</w:t>
      </w:r>
    </w:p>
    <w:p>
      <w:pPr>
        <w:spacing w:after="0" w:line="67"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laws, regulations and standards, including cGMP and similar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deficient or improper record-keeping;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agreements with third parties under commercially reasonable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limited number of sources, and in some cases, single sources for product components, such that if we are unable to secure a sufficient supply of these product components, we will be unable to manufacture and sell our products or product candidates in a timely fashion, in sufficient quantities or under acceptable terms;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qualified backup suppliers for those components that are currently purchased from a sole or single source supplier;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or other regulatory sanctions related to the manufacturer of another company’s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products or product candidates under specified storage conditions and in a timely manner.</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of these events could lead to clinical trial delays, cost overruns, delay or failure to obtain regulatory approval or impact our ability to successfully commercialize our products and product candidates as well as potential product liability litigation, product recalls or product withdrawals. Some of these events could be the basis for FDA or other regulatory authority action, including injunction, recall, seizure, total or partial suspension of production, or suspension or revocation of manufacturing/import authorizations and GMP certificates.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contract manufacturing facilities on which we rely do not continue to meet regulatory requirements or are unable to meet our requirements, including providing an adequate supply, our business will be harmed.</w:t>
      </w:r>
    </w:p>
    <w:p>
      <w:pPr>
        <w:spacing w:after="0" w:line="51" w:lineRule="exact"/>
        <w:rPr>
          <w:sz w:val="20"/>
          <w:szCs w:val="20"/>
          <w:color w:val="auto"/>
        </w:rPr>
      </w:pPr>
    </w:p>
    <w:p>
      <w:pPr>
        <w:jc w:val="both"/>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All entities involved in the preparation of products and product candidates for clinical trials or commercial sale, including our existing CMOs for all of our products and product candidates, are subject to extensive regulation. Components of a finished therapeutic product approved for commercial sale or used in late-stage clinical trials must be manufactured in accordance with cGMP, or similar regulatory requirements outside the United States.</w:t>
      </w:r>
    </w:p>
    <w:p>
      <w:pPr>
        <w:spacing w:after="0" w:line="2" w:lineRule="exact"/>
        <w:rPr>
          <w:sz w:val="20"/>
          <w:szCs w:val="20"/>
          <w:color w:val="auto"/>
        </w:rPr>
      </w:pP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and product candidates. Our failure, or the failure of third-party manufacturers, to comply with applicable regulations could result in the issuance of inspectional observations on FDA’s Form-483, Warning or Untitled Letters, similar communications or objections by other authorities, public safety alerts identifying our company or products and sanctions being imposed on us, including clinical holds, import alerts, fines, injunctions, civil penalties, delays, suspension or withdrawal of approvals, license revocation, suspension of production, seizures or recalls of products or product candidates, operating restrictions and criminal prosecutions, any of which could significantly and adversely affect clinical or commercial supplies of our products and product candidates.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and/or our CMOs must supply all necessary documentation in support of an NDA or similar regulatory application on a timely basis, and must adhere to regulations enforced by the FDA and other regulatory agencies through their facilities inspection program. Some of our CMOs have never produced a commercially approved pharmaceutical product and therefore have not obtained the requisite regulatory authority approvals to do so. The facilities and quality systems of some or all of our third-party contractors must pass a pre-approval inspection for compliance with the applicable regulations as a condition of regulatory approval of our products and product candidates. In addition, the regulatory authorities may, at any time, audit or inspect a manufacturing facility involved with the preparation of our products and product candidates or the associated quality systems for compliance with the regulations applicable to the activities being conducted. Although we oversee the CMOs, we cannot control the manufacturing process of, and are completely dependent on, our CMO partners for compliance with the regulatory requirements. If these facilities do not pass a pre-approval plant inspection, regulatory approval of the products and product candidates may not be granted or may be substantially delayed until any violations are corrected to the satisfaction of the regulatory authority, if ever.</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a supplemental NDA or similar regulatory filing, which could result in further delay. The regulatory agencies may also require additional studies if a new manufacturer is relied upon for commercial production. In some cases, the technical skills required to manufacture our products and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trials, regulatory submissions, required approvals, or commercialization of our products and product candidates.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 and Commercialization of Our Products and Product Candidates</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approval of a new drug is an extensive, lengthy, expensive and inherently uncertain process, and the FDA or another regulator may delay, limit or deny approval. If we are unable to obtain regulatory approval in one or more jurisdictions for any products or product candidates, our business will be substantially harmed.</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cannot commercialize a product until the appropriate regulatory authorities have reviewed and approved the product candidate. Approval by the FDA and comparable non-U.S. regulatory authorities is lengthy and unpredictable, and depends upon numerous factors, including substantial discretion of the regulatory authorities. Approval policies, regulations, or the type and amount of nonclinical or clinical data necessary to gain approval may change during the course of a product candidate’s development and may vary among jurisdictions, which may cause delays in the approval or the decision not to approve an application. While we have obtained regulatory approval in the U.S. for one of our product candidates, VTAMA, it is possible that other current and future product candidates will not be successful in obtaining regulatory approval. In addition, we cannot be certain that any products or product candidates that receive regulatory approval will be successfully commercialized.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Obtaining marketing approval of a new drug is an extensive, lengthy, expensive and inherently uncertain process and the FDA or other non-U.S.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regulatory authorities may delay, limit or deny approval of a product candidate for many reasons, including:</w:t>
      </w:r>
    </w:p>
    <w:p>
      <w:pPr>
        <w:spacing w:after="0" w:line="112" w:lineRule="exact"/>
        <w:rPr>
          <w:sz w:val="20"/>
          <w:szCs w:val="20"/>
          <w:color w:val="auto"/>
        </w:rPr>
      </w:pPr>
    </w:p>
    <w:p>
      <w:pPr>
        <w:ind w:left="1080" w:right="10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is safe and effective as a treatment for the targeted indications, and in the case of our product candidates regulated as biological products, that the product candidate is safe, pure and potent for use in its targeted indication, to the satisfaction of the FDA or other relevant regulatory authorities;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additional pre-approval studies or clinical trials, which would increase costs and prolong development timelines;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or clinical significance required by the FDA or other relevant regulatory authorities for marketing approval;</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disagree with the number, design, size, conduct or implementation of clinical trials, including the design of proposed preclinical and early clinical trials of any future product candidates;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 that we retain to conduct clinical trials may take actions outside of our control, or otherwise commit errors or breaches of protocols, that adversely impact the clinical trials and ability to obtain marketing approvals;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not find the data from nonclinical, preclinical studies or clinical trials sufficient to demonstrate that the clinical and other benefits of a product candidate outweigh its safety risks;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disagree with an interpretation of data or significance of results from nonclinical, preclinical studies or clinical trials or may require additional studies;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not accept data generated at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NDA, BLA or a similar application is reviewed by an advisory committee, the FDA or other relevant regulatory authority, as the case may be, may have difficulties scheduling an advisory committee meeting in a timely manner or the advisory committee may recommend against approval of our application or may recommend that the FDA or other relevant regulatory authorities, as the case may be, require, as a condition of approval, additional nonclinical, preclinical studies or clinical trials, limitations on approved labeling or distribution and use restrictions;</w:t>
      </w:r>
    </w:p>
    <w:p>
      <w:pPr>
        <w:spacing w:after="0" w:line="88"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development of a risk evaluation and mitigation strategy (“REMS”) or its equivalent, as a condition of approval;</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additional post-marketing studies and/or patient registries for product candidates;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find the chemistry, manufacturing and controls data insufficient to support the quality of our product candidates;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identify deficiencies in the manufacturing processes or facilities of third-party manufacturers;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change their approval policies or adopt new regulations.</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For example, the FDA launched Project Optimus in 2021 as an initiative to reform the dose optimization and dose selection paradigm in oncology drug development, which was driven by the FDA’s concerns that the current paradigm for dose selection may result in doses and schedules of molecularly targeted therapies that are inadequately characterized before initiating pivotal trials. Through collaboration with the biopharmaceutical industry, academia and other stakeholders, the FDA’s goal for this initiative is to advance an oncology dose-finding and dose optimization paradigm that emphasizes dose selections that maximize efficacy as well as safety and tolerability. In support of this initiative, the FDA may request sponsors of oncology product candidates to conduct dose optimization studies pre- or post-approval. The FDA also continues to develop and finalize guidance documents and implement initiatives regarding the development and clinical research of oncology product candidates.</w:t>
      </w:r>
    </w:p>
    <w:p>
      <w:pPr>
        <w:spacing w:after="0" w:line="189" w:lineRule="exact"/>
        <w:rPr>
          <w:sz w:val="20"/>
          <w:szCs w:val="20"/>
          <w:color w:val="auto"/>
        </w:rPr>
      </w:pPr>
    </w:p>
    <w:p>
      <w:pPr>
        <w:ind w:left="120" w:right="160" w:firstLine="440"/>
        <w:spacing w:after="0" w:line="273" w:lineRule="auto"/>
        <w:rPr>
          <w:sz w:val="20"/>
          <w:szCs w:val="20"/>
          <w:color w:val="auto"/>
        </w:rPr>
      </w:pPr>
      <w:r>
        <w:rPr>
          <w:rFonts w:ascii="Times New Roman" w:cs="Times New Roman" w:eastAsia="Times New Roman" w:hAnsi="Times New Roman"/>
          <w:sz w:val="17"/>
          <w:szCs w:val="17"/>
          <w:color w:val="auto"/>
        </w:rPr>
        <w:t>Our future success depends significantly on our ability to successfully complete clinical trials for our product candidates, obtain regulatory approval and then successfully commercialize those product candidates. Any inability to successfully initiate, conduct or complete clinical trials could result in additional costs to us or impair our ability to generate revenue. In addition, if we make manufacturing or formulation changes to our product candidates, we may be required to or we may elect to conduct additional nonclinical studies or clinical trials to bridge data obtained from our modified product candidates to data obtained from nonclinical and clinical research conducted using earlier versions of these product candidates. Clinical trial delays could also shorten any periods during which our products have patent protection and may allow our competitors to bring products to market before we do, which could impair our ability to successfully commercialize product candidates and may harm our business and results of operations.</w:t>
      </w:r>
    </w:p>
    <w:p>
      <w:pPr>
        <w:spacing w:after="0" w:line="17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Delays in the initiation, conduct or completion of any clinical trial of our product candidates will increase our costs, slow down the product candidate development and approval process and delay or potentially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82"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jeopardize our ability to receive regulatory approvals, commence product sales and generate revenue. In addition, many of the factors that cause, or lead to, a delay in the commencement or completion of clinical trials may also ultimately lead to the denial of regulatory approval of our product candidates. Any of these events could have a material adverse effect on our business, prospects, financial condition and results of operations and have a negative impact on the price of our Common Shares.</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must demonstrate through lengthy, complex and expensive nonclinical studies, preclinical studies and clinical trials that the applicable product candidate is both safe and effective for use in each target indication, and in the case of our product candidates regulated as biological products, that the product candidate is safe, pure, and potent for use in its targeted indication. Each product candidate must demonstrate an adequate risk versus benefit profile in its intended patient population and for its intended use.</w:t>
      </w:r>
    </w:p>
    <w:p>
      <w:pPr>
        <w:spacing w:after="0" w:line="183"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have limited experience in designing clinical trials and may be unable to design and execute a clinical trial to support additional marketing approvals.</w:t>
      </w:r>
    </w:p>
    <w:p>
      <w:pPr>
        <w:spacing w:after="0" w:line="15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comparable non-U.S. regulatory authorities for support of a marketing application, we may be required to expend significant resources, which may not be available to us, to conduct additional trials in support of potential approval of our product candidates. Even when regulatory approval is secured for a product or product candidate, the terms of such approval may limit the scope and use of the specific product candidate, which may also limit its commercial potential.</w:t>
      </w:r>
    </w:p>
    <w:p>
      <w:pPr>
        <w:spacing w:after="0" w:line="298"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Adverse events caused by or associated with our products and product candidates have caused us and could, in the future, cause us, other reviewing entities, clinical trial sites or regulatory authorities to interrupt, delay or halt clinical trials and could result in the denial of regulatory approval. If an unacceptable frequency or severity of adverse events or new safety signals are reported in our clinical trials for our product candidates or any future product candidates, our ability to obtain regulatory approval for such product candidates may be negatively impacted. Treatment-related side effects arising from, or those perceived to arise from, our product candidates or those from other companies targeting similar diseases, could also affect patient recruitment or the ability of enrolled patients to complete their participation in our clinical trials or result in potential product liability claims. In addition, these side effects may not be appropriately recognized or managed by the treating medical staff. For example, as previously disclosed, our subsidiary Immunovant voluntarily paused dosing in early phase clinical studies for batoclimab globally to evaluate batoclimab-induced elevations in total cholesterol and LDL levels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82"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observed in some trial subjects. After evaluation of the available safety data and following discussions with multiple regulatory agencies, Immunovant is continuing its clinical development of batoclimab. While Immunovant does not expect that increases in LDL over a short-term treatment duration would pose a safety concern for patients, the risk-benefit profile of long-term administration of batoclimab will need to incorporate any unfavorable effects on lipid profiles. These occurrences have harmed, and any reoccurrence may continue to harm our business, financial condition and prospects.</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Furthermore, if any of our products, or any future product candidates that are approved, cause serious or unexpected side effects, a number of potentially significant negative consequences could result, including:</w:t>
      </w:r>
    </w:p>
    <w:p>
      <w:pPr>
        <w:spacing w:after="0" w:line="67" w:lineRule="exact"/>
        <w:rPr>
          <w:sz w:val="20"/>
          <w:szCs w:val="20"/>
          <w:color w:val="auto"/>
        </w:rPr>
      </w:pPr>
    </w:p>
    <w:p>
      <w:pPr>
        <w:ind w:left="1080" w:right="3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vary, or limit their approval of the product or require a REMS (or equivalent outside the United States) to impose restrictions on its distribution or other risk management measures;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recall a product;</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being imposed on the distribution, marketing or manufacturing processes of the products or any components thereof, including a “black box” warning or contraindication on product labels or communications containing warnings or other safety information about the product;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warnings or contraindications, require other labeling changes of a product or require field alerts or other communications to physicians, pharmacies or the public;</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or distributed, conduct additional clinical trials, change the labeling of a product or conduct additional post-marketing studies or surveillance;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repeat preclinical studies or clinical trials or terminate programs for a product candidate, even if other studies or trials related to the program are ongoing or have been successfully completed;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sued and held liable for harm caused to patients, or may be subject to fines, restitution or disgorgement of profits or revenues;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may stop prescribing a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may not be available for a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discontinue the sale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less competitive;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products or product candidates, substantially increase the costs of commercializing our products or product candidates in the future and have a negative impact on the price of our Common Shares.</w:t>
      </w:r>
    </w:p>
    <w:p>
      <w:pPr>
        <w:spacing w:after="0" w:line="280" w:lineRule="exact"/>
        <w:rPr>
          <w:sz w:val="20"/>
          <w:szCs w:val="20"/>
          <w:color w:val="auto"/>
        </w:rPr>
      </w:pPr>
    </w:p>
    <w:p>
      <w:pPr>
        <w:jc w:val="both"/>
        <w:ind w:left="120"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non-U.S. regulatory authorities are lengthy, time consuming and inherently unpredictable, and gaining approval for a product candidate in one country or jurisdiction does not guarantee that we will be able to obtain approval for or commercialize it in any other jurisdiction, which would limit our ability to realize our full market potential.</w:t>
      </w:r>
    </w:p>
    <w:p>
      <w:pPr>
        <w:spacing w:after="0" w:line="67"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Prior to obtaining approval to commercialize a product candidate in any jurisdiction, we or our collaborators must demonstrate with substantial evidence from well-controlled clinical trials, and to the satisfaction of the FDA or comparable non-U.S. regulatory authorities, that such product candidate is safe and effective and, as applicable, pure and potent for its intended use. Results from nonclinical studies and clinical trials can be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82"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interpreted in different ways. Even if we believe the nonclinical or clinical data for a product candidate are promising, such data may not be sufficient to support approval by the FDA and other regulatory authorities.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United States.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Seeking regulatory approval could result in difficulties and costs for us and require additional nonclinical studies or clinical trials, which could be costly and time consuming. Regulatory requirements can vary widely from country to country and could delay or prevent the introduction of our products in those countries. We have one product, VTAMA, which has been approved by the FDA for the treatment of plaque psoriasis in adults in the U.S., but do not have any other products approved for sale in the U.S. or any other jurisdiction, including in international markets, and we do not have significant experience in obtaining regulatory approval in other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91"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FDA approval for a product candidate in the United States does not guarantee that we will be able to or that we will make efforts to obtain approval for or commercialize our product candidates in any other jurisdiction, which would limit our ability to realize the drug candidate’s full market potential.</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one product, VTAMA, approved by the FDA for the treatment of plaque psoriasis in adults in the U.S. In order to market VTAMA or any of our other products or product candidates outside of the United States, we must establish and comply with numerous and varying regulatory requirements of other countries regarding safety and effectiveness. Clinical trials conducted in one country may not be accepted by regulatory authorities in other countries, and regulatory approval in one country does not mean that regulatory approval will be obtained in any other country. Approval processes vary among countries and can involve additional product testing and validation and additional or different administrative review periods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sold in that jurisdiction. In some cases, the price that we intend to charge for our products is also subject to approval.</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Seeking regulatory approval outside of the United States could result in difficulties and costs and require additional nonclinical studies or clinical trials which could be costly and time-consuming. Regulatory requirements can vary widely from country to country and could delay or prevent the introduction of our product candidates in those countries. The regulatory approval process outside of the United States may include all of the risks associated with obtaining FDA approval. Other than VTAMA, we do not have any products or product candidates approved for sale in any jurisdiction, including international markets, and we do not have significant experience in obtaining regulatory approval in international markets. If we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spacing w:after="0" w:line="29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regulatory approvals for our products and product candidates, we will continue to face extensive ongoing quality and regulatory obligations and continued regulatory review, which may result in significant additional expense, and our products may face future development and quality or regulatory compliance difficulties.</w:t>
      </w:r>
    </w:p>
    <w:p>
      <w:pPr>
        <w:spacing w:after="0" w:line="6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have one product, VTAMA, approved by the FDA for the treatment of plaque psoriasis in adults in the U.S. Any product or product candidate for which we obtain marketing approval will be subject to extensive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ongoing regulatory requirements, including for manufacturing processes, post-approval clinical data, labeling, packaging, distribution, adverse event reporting, storage, recordkeeping, traceability, conduct of potential post-marketing studies and post-marketing submission requirements,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of registration and drug listing requirements, continued compliance with cGMP requirements relating to manufacturing, quality control, quality assurance and corresponding maintenance of records and documents, requirements regarding the distribution of drug product samples to physicians, prior notification/review and/or approval of advertising and promotional materials by the competent authorities, record-keeping and GCP requirements for any clinical trials that we conduct post-approval. Even when marketing approval of a product or product candidate is granted, the approval may be subject to limitations on the indicated uses for which the product may be marketed or to the conditions of approval, including any requirement to implement a REMS. When a product or product candidate receives marketing approval, the accompanying label may limit the approved use of the drug or the FDA or other regulatory authorities may require that contraindications, warnings or precautions, including in some cases, a boxed warning, be included in the product labeling, which could limit sales of the product.</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FDA and other relevant regulatory authorities may also impose requirements for costly post-marketing studies or clinical trials and surveillance to monitor the safety or efficacy of a product. Failure to complete such post-marketing requirements in accordance with the timelines and conditions set forth by the FDA and other relevant regulatory authorities could significantly increase costs, result in regulatory enforcement, or delay, limit or ultimately restrict the commercialization of such product. The FDA and other relevant regulatory authorities closely regulate the post-approval marketing and promotion of drugs to ensure drugs are marketed only for the approved indications and in accordance with the provisions of the approved labeling and that promotional and advertising materials and communications are truthful and non-misleading. Although the FDA and other regulatory agencies do not regulate a physician’s choice of drug treatment made in the physician’s independent medical judgment, regulatory authorities impose stringent restrictions on manufacturers’ communications and if we do not market our products or product candidates for their approved indications or in a manner which regulators believe to be truthful and non-misleading, we may be subject to enforcement action. Moreover, in the EU we will be prohibited from promoting prescription-only medicinal products to individuals who are not healthcare professionals. Violations of the Federal Food, Drug, and Cosmetic Act in the United States and other comparable laws and regulations in other jurisdictions relating to the promotion of prescription drugs may lead to enforcement actions and investigations by the FDA, Department of Justice, State Attorneys General and other comparable non-U.S. regulatory agencies alleging violations of United States federal and state health care fraud and abuse laws, as well as state consumer protection laws and comparable laws in other jurisdictions.</w:t>
      </w:r>
    </w:p>
    <w:p>
      <w:pPr>
        <w:spacing w:after="0" w:line="19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or product candidates, manufacturers or manufacturing processes, or failure to comply with regulatory requirements, may negatively impact our business and the price of our Common Shares and may yield various results, including:</w:t>
      </w:r>
    </w:p>
    <w:p>
      <w:pPr>
        <w:spacing w:after="0" w:line="81"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manufacture of such products or product candidates;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such products or product candidates, including a “black box” warning or contraindication on the product label or communications containing warnings or other safety information about the product;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 or any regulatory holds on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of a REMS (or equivalent outside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or similar communications from other relevant regulatory authorities;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82"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or product candidates from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 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variation or withdrawal of marketing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 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our products or product candidates;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injunctions or the imposition of civil or criminal penalties.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Non-compliance by us or any current or future collaborator with regulatory requirements, including safety monitoring or pharmacovigilance can also result in significant financial penalties.</w:t>
      </w:r>
    </w:p>
    <w:p>
      <w:pPr>
        <w:spacing w:after="0" w:line="26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or continuously improve our quality management program could have an adverse effect upon our business, subject us to regulatory actions and cause patients to lose confidence in us or our products, among other negative consequences.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Quality management plays an essential role in the manufacturing of drugs or drug products, conducting clinical trials, preventing defects, improving our product candidates and services and assuring the safety and efficacy of our products and product candidates. We seek to maintain a robust quality management program which includes the following broad pillars of quality:</w:t>
      </w:r>
    </w:p>
    <w:p>
      <w:pPr>
        <w:spacing w:after="0" w:line="81" w:lineRule="exact"/>
        <w:rPr>
          <w:sz w:val="20"/>
          <w:szCs w:val="20"/>
          <w:color w:val="auto"/>
        </w:rPr>
      </w:pPr>
    </w:p>
    <w:p>
      <w:pPr>
        <w:ind w:left="1080" w:right="36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assuring regulatory compliance for clinical trials, manufacturing and testing of good applicable practice (“GxP”) (e.g., GCP, GLP and GMP regulated)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providing oversight of all GxP suppliers (e.g., contract development manufacturing organizations and CROs);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an integrated, robust quality management system for clinical, manufacturing, supply chain and distribution operations;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a proactive, preventative quality culture and employee and supplier training to ensure quality.</w:t>
      </w:r>
    </w:p>
    <w:p>
      <w:pPr>
        <w:spacing w:after="0" w:line="225"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Our future success depends on our ability to maintain and continuously improve our quality management program. A quality or safety issue may result in adverse inspection reports, warning letters, monetary sanctions, injunctions to halt manufacture and distribution of drugs or drug products, civil or criminal sanctions, costly litigation, refusal of a government to grant approvals and licenses, restrictions on operations or withdrawal, suspension or variation of existing approvals and licenses. An inability to address a quality or safety issue in an effective and timely manner may also cause negative publicity, or a loss of patient confidence in us or our products or product candidates, which may result in difficulty in successfully launching products and the loss of potential future sales, which could have an adverse effect on our business, financial condition, and results of operations.</w:t>
      </w:r>
    </w:p>
    <w:p>
      <w:pPr>
        <w:spacing w:after="0" w:line="27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Fast Track Designation, Regenerative Medicine Advanced Therapy Designation or Orphan Drug Designation by the FDA or other relevant regulatory authorities, even if granted for any product candidate, may not lead to a faster development, regulatory review or approval process, and does not necessarily increase the likelihood that any product candidate will receive marketing approval in the United States or other jurisdictions.</w:t>
      </w:r>
    </w:p>
    <w:p>
      <w:pPr>
        <w:spacing w:after="0" w:line="7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have sought, or may in the future seek, Breakthrough Therapy Designation, Fast Track Designation, Regenerative Medicine Advanced Therapy Designation or Orphan Drug Designation for certain of our product candidates.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on potentially less efficacious control regimens. Therapies designated as breakthrough therapies by the FDA may also be eligible for priority review and accelerated approval. Designation as a breakthrough therapy is within the discretion of the FDA. Accordingly, even if we believe a product candidate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a product candidate qualifies as a breakthrough therapy, the FDA may later decide that such product candidate no longer meets the conditions for qualification or decide that the time period for FDA review or approval will not be shortened.</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Recently, there has been heightened scrutiny of the accelerated approval pathway, with some stakeholders advocating for reform. The U.S. Department of Health and Human Services (“HHS”) Office of Inspector General has initiated an assessment of how the FDA implements the accelerated approval pathway. In addition, members of Congress have introduced proposed legislation to revise the statutory accelerated approval pathway, including with respect to FDA’s ability to rapidly withdraw products and indications for which effectiveness is not confirmed in post-marketing studies. At this time, it is not clear what impact, if any, these developments may have on the statutory accelerated approval pathway or our business, financial condition results of operations, or prospects.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necessarily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Economic Area (the “EEA”),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annually in the United States or for which there is no reasonable expectation that costs of research and development of the drug for the disease or condition can be recovered by sales of the drug in the United States. 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orphan indication for that time period. In the United States, in order for a product to receive orphan drug exclusivity, FDA must not have previously approved a drug considered the same drug for the same orphan indication, or the subsequent drug must be shown to be clinically superior to such a previously approved same drug. The applicable period of marketing exclusivity is seven years in the United States. A similar data exclusivity scheme exists in the EEA. The European Commission, on the basis of a scientific opinion by the EMA’s Committee for Orphan Medicinal Products grants Orphan Drug Designation to promote the development of products that are intended for the diagnosis, prevention, or treatment of a life-threatening or chronically debilitating condition affecting not more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82"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In any event, Orphan Drug Designation is granted only if there is no satisfactory method of diagnosis, prevention, or treatment, or, if such a method exists, the medicine must be of significant benefit to those affected by the condition. Orphan designation in the EU entitles a party to certain benefits, such as scientific assistance (protocol assistance), financial incentives such as reduction of fees or fee waivers and ten years of market exclusivity following drug or biological product approval. This orphan market exclusivity period prevents the European Commission, EMA and the competent authorities of the EU Member States from accepting an application or granting marketing authorization for any similar medicinal product intended for the same orphan indication. The orphan market exclusivity applies in parallel to the “normal” data and market exclusivity in the EEA, whereby no company can make reference to (rely on) the innovator drug company’s preclinical and clinical data in order to obtain a marketing authorization for eight years from the date of the first approval of the innovator drug in the EEA and no generic drug can be marketed for ten years from the first approval of the innovator drug in the EEA; the innovator drug may qualify for an extra year’s protection. This additional one year of marketing exclusivity may be obtained where the innovator company is granted a marketing authorization for a significant new indication for the relevant medicinal product. In such a situation, the generic company can only market their product after 11 years from the first grant of the innovator company’s marketing authorization for the product in the EEA.</w:t>
      </w:r>
    </w:p>
    <w:p>
      <w:pPr>
        <w:spacing w:after="0" w:line="18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or biologic to meet the needs of patients with the rare disease or condition. In the EEA, orphan drug designation, and the related benefits, may be lost if it is established before the market authorization is granted that the designation criteria are no longer met.</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Moreover, the ten year orphan market exclusivity in the EEA may be reduced to six years if the orphan drug designation criteria are no longer met at the end of the fifth year since grant of the approval, including where it is shown that the product is sufficiently profitable not to justify maintenance of market exclusivity.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obtain orphan drug exclusivity for a product, that exclusivity may not effectively protect the product from competition because different drugs can be approved for the same condition. Even after an orphan drug is approved, the FDA or the European Commission can subsequently approve the same drug for a different condition or the same condition if the FDA or the EMA concludes that the later drug is clinically superior in that it is shown to be safer, more effective or makes a major contribution to patient care. In the EEA, a marketing authorization may also be granted, for the same therapeutic indication, to a competitor with a similar medicinal product during the exclusivity period if we are unable to supply sufficient quantities of the medicinal product for which we received marketing authorization. Upcoming legislative reforms in the EU may result in a reduction of market exclusivity periods for orphan medicinal products, changes to the concept of unmet medical need and/or imposition of additional requirements for grant of such exclusivity.</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Moreover, a recent Eleventh Circuit decision in Catalyst Pharmaceuticals, Inc. vs. FDA regarding interpretation of the Orphan Drug Act exclusivity provisions as applied to drugs approved for orphan indications narrower than the drug’s orphan designation has the potential to significantly broaden the scope of orphan drug exclusivity for such products. Depending on how broadly FDA applies the Catalyst decision, it could fundamentally change how companies rely on, or seek to work around, orphan drug exclusivity. Legislation has been introduced that may reverse the Catalyst decision, and may be enacted as part of the reauthorization of user fees later this year.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82"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Receipt of marketing approval for our products and product candidates does not guarantee that they will achieve market acceptance by physicians, patients, third-party payors or others in the medical community necessary for commercial success.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commercial success of our products and product candidates will depend upon their degree of market acceptance by physicians, patients, third-party payors and others in the medical community. Receipt of marketing approval for our products and product candidates does not guarantee that they will gain sufficient market acceptance by physicians, patients, healthcare payors and others in the medical community. The degree of market acceptance for any product or product candidates we may develop, if approved for commercial sale, will depend on a number of factors, including:</w:t>
      </w:r>
    </w:p>
    <w:p>
      <w:pPr>
        <w:spacing w:after="0" w:line="85" w:lineRule="exact"/>
        <w:rPr>
          <w:sz w:val="20"/>
          <w:szCs w:val="20"/>
          <w:color w:val="auto"/>
        </w:rPr>
      </w:pPr>
    </w:p>
    <w:p>
      <w:pPr>
        <w:ind w:left="1080" w:right="2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products and product candidates as demonstrated in pivotal clinical trials and published in peer-reviewed journals;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compared to alternative treatments, including any similar generic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these products for sale at competitive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appropriate patient financial assistance programs, such as commercial insurance co-pay assistance;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dosing and administration compared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or product candidate is approved by FDA or comparable non-U.S. regulatory agencies;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comparable non-U.S. regulatory authorities, including any limitations, contraindications or warnings contained in a product’s approved labeling;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how the product is dispensed or distributed;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these products or competing products and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third-party coverage and sufficient reimbursement;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or adverse events.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such products.</w:t>
      </w:r>
    </w:p>
    <w:p>
      <w:pPr>
        <w:spacing w:after="0" w:line="284"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regulated as biologics may face competition from biosimilars approved through an abbreviated regulatory pathway.</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(the “Affordable Care Act” or “ACA”), includes a subtitle called the Biologics Price Competition and Innovation Act of 2009 (the “BPCIA”), which created an abbreviated approval pathway under section 351(k) of the Public Health Service Act (“PHSA”) for biological products that are biosimilar to or interchangeable with an FDA-licensed reference biological product. Under the BPCIA, a section 351(k) application for a biosimilar or interchangeable product may not be submitted to the FDA until four years following the date that the reference product was first licensed by the FDA. In addition, the approval of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82"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submitted under section 351(a) of the PHSA containing the competing sponsor’s own preclinical data and data from adequate and well-controlled clinical trials to demonstrate the safety, purity, and potency of the other company’s product. The law is complex and is still being interpreted and implemented by the FDA and the FDA only approved the first interchangeable biosimilar in July 2021. As a result, its ultimate impact, implementation, and meaning are subject to uncertainty. In addition, the Further Consolidated Appropriations Act, 2020, which incorporated the framework from the Creating and Restoring Equal Access To Equivalent Samples legislation, purports to promote competition in the market for drugs and biological products by facilitating the timely entry of lower-cost generic and biosimilar versions of those drugs and biological products, including by allowing generic drug, 505(b)(2) NDA or biosimilar developers to obtain access to branded drug and biological product samples. While the full impact of these provisions is unclear at this time, its provisions do have the potential to facilitate the development and future approval of biosimilar versions of our products, introducing biosimilar competition that could have a material adverse impact on our business, financial condition and results of operations.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Whether approval of a biological product qualifies for reference product exclusivity turns on whether FDA consider the approval a “first licensure.” Not every licensure of a biological product is considered a “first licensure” that gives rise to its own exclusivity period. We believe that our product candidates approved as a biological product under a BLA should qualify for the 12-year period of exclusivity. However, there is a risk that this exclusivity could be shortened due to congressional action or otherwise.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products, our products may become subject to competition from such biosimilars, with the attendant competitive pressure and consequences.</w:t>
      </w:r>
    </w:p>
    <w:p>
      <w:pPr>
        <w:spacing w:after="0" w:line="296"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expand our sales, marketing and distribution capabilities or enter into agreements with third parties to sell, market and distribute our products and product candidates, we may not be successful in commercializing those products and, if approved, product candidates.</w:t>
      </w:r>
    </w:p>
    <w:p>
      <w:pPr>
        <w:spacing w:after="0" w:line="6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are currently in the process of establishing an infrastructure for the sales, marketing and distribution of VTAMA, which was approved by the FDA in May 2022 for the treatment of plaque psoriasis in adults in the U.S. The costs of establishing and maintaining this infrastructure may exceed the cost-effectiveness of doing so. In order to effectively market our products and, if approved, product candidates, we must continue to expand our sales, distribution, marketing, compliance, managerial and other non-technical capabilities or make arrangements with third parties to perform these services. To achieve commercial success for our products and, if approved, product candidates, we will need an effective sales and marketing organization or to outsource these functions to third parties. To the extent we seek to do so, there is no guarantee that we will be able to enter into collaborations or strategic partnerships with third parties to engage in commercialization activities with respect to our products or product candidates.</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or, if approved,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a product or, if approved, product candidate on our own include:</w:t>
      </w:r>
    </w:p>
    <w:p>
      <w:pPr>
        <w:spacing w:after="0" w:line="131" w:lineRule="exact"/>
        <w:rPr>
          <w:sz w:val="20"/>
          <w:szCs w:val="20"/>
          <w:color w:val="auto"/>
        </w:rPr>
      </w:pPr>
    </w:p>
    <w:p>
      <w:pPr>
        <w:ind w:left="1080" w:right="30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and retain adequate numbers of effective sales, marketing, reimbursement, customer service, medical affairs, and other support personnel;</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approved products;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products at a sufficient price point to ensure an adequate and attractive level of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we are unable to build our own sales force or negotiate a collaborative relationship for the commercialization of a product or, if approved, product candidate, we may be forced to delay commercialization or reduce the scope of our sales or marketing activities. If we elect to increase our expenditures to fund commercialization activities ourselves, we will need to obtain additional capital, which may not be available to us on acceptable terms, or at all. If we do not have sufficient funds, we will not be able to bring a product or, if approved, product candidate to market or generate product revenue. We could enter into arrangements with collaborative partners at an earlier stage than otherwise would be ideal and we may be required to relinquish certain rights to our products or product candidate or otherwise agree to terms unfavorable to us, any of which may have an adverse effect on our business, operating results and prospects.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internally.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or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our products or, if approved, product candidates.</w:t>
      </w:r>
    </w:p>
    <w:p>
      <w:pPr>
        <w:spacing w:after="0" w:line="296" w:lineRule="exact"/>
        <w:rPr>
          <w:sz w:val="20"/>
          <w:szCs w:val="20"/>
          <w:color w:val="auto"/>
        </w:rPr>
      </w:pPr>
    </w:p>
    <w:p>
      <w:pPr>
        <w:jc w:val="both"/>
        <w:ind w:left="120" w:right="5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and future relationships with investigators, health care professionals, consultants, third-party payors, patient support, charitable organizations, customers, and others are subject to applicable healthcare regulatory laws, which could expose us to penalties and other risks.</w:t>
      </w:r>
    </w:p>
    <w:p>
      <w:pPr>
        <w:spacing w:after="0" w:line="2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potential future arrangements with investigators, healthcare professionals, consultants, third-party payors, patient support, charitable organizations, customers, and others, expose us to broadly applicable fraud and abuse and other healthcare laws and regulations. These laws regulate the business or financial arrangements and relationships through which we conduct our operations, including how we research, market, sell and distribute our products and, if approved, product candidates. Such laws include, without limitation:</w:t>
      </w:r>
    </w:p>
    <w:p>
      <w:pPr>
        <w:spacing w:after="0" w:line="85" w:lineRule="exact"/>
        <w:rPr>
          <w:sz w:val="20"/>
          <w:szCs w:val="20"/>
          <w:color w:val="auto"/>
        </w:rPr>
      </w:pPr>
    </w:p>
    <w:p>
      <w:pPr>
        <w:ind w:left="1080" w:right="34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is a criminal law that prohibits, among other things, persons and entities from knowingly and willfully soliciting, offering, receiving or providing remuneration,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82"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by the federal government to include anything of value. Although there are a number of statutory exceptions and regulatory safe harbors protecting certain activities from prosecution, the exceptions and safe harbors are drawn narrowly, and arrangements may be subject to scrutiny or penalty if they do not fully satisfy all elements of an available exception or safe harbor.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103" w:lineRule="exact"/>
        <w:rPr>
          <w:sz w:val="20"/>
          <w:szCs w:val="20"/>
          <w:color w:val="auto"/>
        </w:rPr>
      </w:pPr>
    </w:p>
    <w:p>
      <w:pPr>
        <w:ind w:left="1080" w:right="20" w:hanging="424"/>
        <w:spacing w:after="0" w:line="254"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False Claims Act, which imposes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When an entity is determined to have violated the federal civil False Claims Act, the government may impose civil fines and penalties currently ranging from $11,803 to $23,607 for each false claim or statement for penalties assessed after December 13, 2021, plus treble damages, and exclude the entity from participation in Medicare, Medicaid and other federal healthcare programs;</w:t>
      </w:r>
    </w:p>
    <w:p>
      <w:pPr>
        <w:spacing w:after="0" w:line="97"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care fraud statute (established by Health Insurance Portability and Accountability Act of 1996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88" w:lineRule="exact"/>
        <w:rPr>
          <w:rFonts w:ascii="Times New Roman" w:cs="Times New Roman" w:eastAsia="Times New Roman" w:hAnsi="Times New Roman"/>
          <w:sz w:val="18"/>
          <w:szCs w:val="18"/>
          <w:color w:val="auto"/>
        </w:rPr>
      </w:pPr>
    </w:p>
    <w:p>
      <w:pPr>
        <w:ind w:left="1080" w:right="160" w:hanging="424"/>
        <w:spacing w:after="0" w:line="25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Simplification provisions of HIPAA, as amended by the Health Information Technology for Economic and Clinical Health Act (“HITECH”), and their implementing regulations, which impose obligations, including mandatory contractual terms, with respect to safeguarding the privacy, security, and transmission of individually identifiable health information on health plans, health care clearing houses and most healthcare providers (collectively, “covered entities”), and such covered entities’ “business associates,” defined as independent contractors or agents of covered entities that create, receive or obtain protected health information in connection with providing a service for or on behalf of the covered entity;</w:t>
      </w:r>
    </w:p>
    <w:p>
      <w:pPr>
        <w:spacing w:after="0" w:line="92" w:lineRule="exact"/>
        <w:rPr>
          <w:rFonts w:ascii="Times New Roman" w:cs="Times New Roman" w:eastAsia="Times New Roman" w:hAnsi="Times New Roman"/>
          <w:sz w:val="18"/>
          <w:szCs w:val="18"/>
          <w:color w:val="auto"/>
        </w:rPr>
      </w:pPr>
    </w:p>
    <w:p>
      <w:pPr>
        <w:ind w:left="1080" w:right="420" w:hanging="424"/>
        <w:spacing w:after="0" w:line="312" w:lineRule="auto"/>
        <w:tabs>
          <w:tab w:leader="none" w:pos="10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privacy, cybersecurity and data protection laws, rules and regulations at the international, federal, state and local level impose obligations with respect to safeguarding the privacy, security, and cross-border transmission of personal data and health information;</w:t>
      </w:r>
    </w:p>
    <w:p>
      <w:pPr>
        <w:spacing w:after="0" w:line="45" w:lineRule="exact"/>
        <w:rPr>
          <w:rFonts w:ascii="Times New Roman" w:cs="Times New Roman" w:eastAsia="Times New Roman" w:hAnsi="Times New Roman"/>
          <w:sz w:val="17"/>
          <w:szCs w:val="17"/>
          <w:color w:val="auto"/>
        </w:rPr>
      </w:pPr>
    </w:p>
    <w:p>
      <w:pPr>
        <w:jc w:val="both"/>
        <w:ind w:left="1080" w:right="300" w:hanging="424"/>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82"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from participation in federal health care programs to provide items or services reimbursable by a federal health care program;</w:t>
      </w:r>
    </w:p>
    <w:p>
      <w:pPr>
        <w:spacing w:after="0" w:line="27" w:lineRule="exact"/>
        <w:rPr>
          <w:sz w:val="20"/>
          <w:szCs w:val="20"/>
          <w:color w:val="auto"/>
        </w:rPr>
      </w:pPr>
    </w:p>
    <w:p>
      <w:pPr>
        <w:ind w:left="1360" w:hanging="259"/>
        <w:spacing w:after="0"/>
        <w:tabs>
          <w:tab w:leader="none" w:pos="13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the federal Anti-Kickback Statute; or (4) failing to report and return a known overpayment;</w:t>
      </w:r>
    </w:p>
    <w:p>
      <w:pPr>
        <w:spacing w:after="0" w:line="112"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certain other healthcare providers,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(covered manufacturers are required to submit reports to the government by the 90th day of each calendar year); and</w:t>
      </w:r>
    </w:p>
    <w:p>
      <w:pPr>
        <w:spacing w:after="0" w:line="94" w:lineRule="exact"/>
        <w:rPr>
          <w:rFonts w:ascii="Times New Roman" w:cs="Times New Roman" w:eastAsia="Times New Roman" w:hAnsi="Times New Roman"/>
          <w:sz w:val="18"/>
          <w:szCs w:val="18"/>
          <w:color w:val="auto"/>
        </w:rPr>
      </w:pPr>
    </w:p>
    <w:p>
      <w:pPr>
        <w:ind w:left="1080" w:right="60" w:hanging="424"/>
        <w:spacing w:after="0" w:line="25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EU and foreign national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or marketing expenditures; and several recently passed state laws that require disclosures related to state agencies and/or commercial purchasers with respect to certain price increases that exceed a certain level as identified in the relevant statutes, some of which contain ambiguous requirements that government officials have not yet clarified; and EU and foreign national laws prohibiting promotion of prescription-only medicinal products to individuals other than healthcare professionals, governing strictly all aspects of interactions with healthcare professionals and healthcare organizations, including prior notification, review and/or approval of agreements with healthcare professionals, and requiring public disclosure of transfers of value made to a broad range of stakeholders, including healthcare professionals, healthcare organizations, medical students, physicians associations, patient organizations and editors of specialized press.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applicable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and curtailment or restructuring of our operations, any of which could adversely affect our ability to operate our business and our results of operations. Even the mere issuance of a subpoena, civil investigative demand or the fact of an investigation alone, regardless of the merit, may result in negative publicity, a drop in our share price and other harm to our business, financial condition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82"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United States and many other jurisdictions have enacted or proposed legislative and regulatory changes affecting the healthcare system that could restrict or regulate post-approval activities for our products and affect our ability to profitably sell our products, and prevent or delay marketing approval of our current and any future product candidates. Changes in regulations, statutes or the interpretation of existing regulations could impact our business in the future by requiring, for example: (i) changes to our manufacturing arrangements; (ii) additions or modifications to product labeling;</w:t>
      </w:r>
    </w:p>
    <w:p>
      <w:pPr>
        <w:spacing w:after="0" w:line="3" w:lineRule="exact"/>
        <w:rPr>
          <w:sz w:val="20"/>
          <w:szCs w:val="20"/>
          <w:color w:val="auto"/>
        </w:rPr>
      </w:pPr>
    </w:p>
    <w:p>
      <w:pPr>
        <w:ind w:left="120" w:right="300" w:hanging="4"/>
        <w:spacing w:after="0" w:line="260" w:lineRule="auto"/>
        <w:tabs>
          <w:tab w:leader="none" w:pos="4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recall or discontinuation of our products; or (iv) additional record-keeping requirements. If any such changes were to be imposed, they could adversely affect the operation of our business.</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including costs for pharmaceuticals. For example, in March 2010,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and we expect there will be additional challenges and amendments to the ACA in the future, with unpredictable and uncertain results. Congress has introduced several pieces of legislation aimed at significantly revising or repealing the ACA. The law appears likely to continue the downward pressure on pharmaceutical pricing, especially under the Medicare program, and may also increase our regulatory burdens and operating costs.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will after a pause in early 2022 remain in effect through 2031 unless additional Congressional action is taken. Pursuant to the CARES Act and subsequent legislation, these reductions were suspended from May 1, 2020 through March 31, 2022 due to the COVID-19 pandemic. Under current legislation the actual reduction in Medicare payments will vary from 1% in 2022 to up to 3% in the final fiscal year of the sequester.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and reform government program reimbursement methodologies for drugs. Current Congressional proposals include direct price negotiation by Medicare in Medicare Parts B and D, international reference pricing for certain Medicare drugs, and inflationary rebates on Part B and Part D drugs whose prices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increase above a certain amount, and Part D drug benefit redesign. At the federal level, the former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implemented several of these provisions to date. In May 2019, Centers for Medicare and Medicaid Services (the “CMS”), issued a final rule to allow Medicare Advantage Plans the option of using step therapy, a type of prior authorization, for Part B drugs beginning January 1, 2020. Additionally, on November 20, 2020, HHS finalized a regulation removing safe harbor protection for price reductions from pharmaceutical manufacturers to plan sponsors under Part D, either directly or through pharmacy benefit managers, unless the price reduction is required by law. This rulemaking also created a new safe harbor for price reductions reflected at the point-of-sale, as well as a safe harbor for certain fixed fee arrangements between pharmacy benefit managers and manufacturers. However, Congress adopted a six-year moratorium on implementation or enforcement of the rule as a part of the Infrastructure Investment and Jobs Act. In July 2021, President Biden issued an executive order pertaining to drug pricing, which expressed support for legislation allowing direct negotiation in Medicare Part D and inflationary rebates, and directed various executive branch agencies to take actions to lower drug prices and promote generic competition. Moreover, on November 19, 2021, the House passed the Build Back Better Act, which among other provisions, would permit the Secretary of HHS to negotiate certain high-expenditure Part D drugs, impose inflationary rebates for Part D drugs, and redesign the Part D benefit. The Senate Finance Committee introduced a modified version of the legislation on December 11, 2021, but negotiations have since stalled. Although the House and Senate versions of this legislation would grant certain exceptions for “small biotech drugs” and “specified small manufacturers,” if passed, we cannot predict how these exceptions would be implemented and their impact on Roivant.</w:t>
      </w:r>
    </w:p>
    <w:p>
      <w:pPr>
        <w:spacing w:after="0" w:line="19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Moreover, upcoming legislative and policy changes in the EU, some of which may materialize as early as 2022, are aimed at increasing accessibility and affordability of medicinal products, as well as at increased cooperation between the EU Member States. Such initiatives may further impact the price and reimbursement status of our products in the future.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national and state levels in jurisdictions around the world directed at containing or lowering the cost of healthcare, including prescription drugs. The implementation of cost containment measures or other healthcare reforms may prevent us from being able to generate revenue, attain profitability, or commercialize our products and, if approved, our product candidates. Such reforms could have an adverse effect on anticipated revenue from our products and, if approved, product candidates and may affect our overall financial condition and ability to develop future product candidates and obtain marketing approval for those product candidates.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4"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if approved,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taxes that we are required to pay;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additional reductions in Medicare and other healthcare funding, more rigorous coverage criteria, lower reimbursement and new payment methodologies. This could lower the price that we receive for our products and, if approved, product candidates. Any denial in coverage or reduction in reimbursement from Medicare or other government-funded programs may result in a similar denial or reduction in payments from private payors, which may prevent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82"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from being able to generate sufficient revenue, attain profitability or successfully commercialize our products and, if approved, product candidates.</w:t>
      </w:r>
    </w:p>
    <w:p>
      <w:pPr>
        <w:spacing w:after="0" w:line="329"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products and, if approved, product candidates, which could make it difficult for us to profitably sell our products and, if approved, product candidates.</w:t>
      </w:r>
    </w:p>
    <w:p>
      <w:pPr>
        <w:spacing w:after="0" w:line="5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Market acceptance and sales of our products and, if approved, product candidates will depend in part on the extent to which coverage and adequate reimbursement for these products and product candidates and related treatments will be available from third-party payors, including government health administration authorities and private health insurers. The pricing and reimbursement of our products and, if approved, product candidates, must be adequate to support commercial infrastructure. If we are unable to obtain adequate levels of reimbursement, our ability to successfully market and sell our products and, if approved, product candidates, will be adversely affected. The manner and level at which reimbursement is provided for services related to our products and product candidates (e.g., for administration of our products to patients) is also important. Inadequate reimbursement for such services may lead to physician resistance and adversely affect our ability to market or sell our products and, if approved, product candidates. There is no assurance that our products or, if approved, product candidates, would achieve adequate coverage and reimbursement levels.</w:t>
      </w:r>
    </w:p>
    <w:p>
      <w:pPr>
        <w:spacing w:after="0" w:line="17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exists among third-party payors. Third-party payors decide which drugs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or, if approved, product candidate will be made on a plan-by-plan basis. One payor’s determination to provide coverage for a product does not assure that other payors will also provide coverage, and adequate reimbursement, for the product. Additionally, a third-party payor’s decision to provide coverage for a drug does not imply that an adequate reimbursement rate will be approved. Each plan determines whether or not it will provide coverage for a drug, what amount it will pay the manufacturer for the drug, on what tier of its formulary the drug will be placed and whether to require step therapy. The position of a drug on a formulary generally determines the co-payment that a patient will need to make to obtain the drug and can strongly influence the adoption of a drug by patients and physicians. Patients who are prescribed treatments for their conditions and providers prescribing such services generally rely on third-party payors to reimburse all or part of the associated healthcare costs. Patients are unlikely to use our product or, if approved, product candidates, unless coverage is provided and reimbursement is adequate to cover a significant portion of the cost of the product or product candidate. Further, from time to time, typically on an annual basis, payment rates are updated and revised by third-party payors. Such updates could impact the demand for our products or, if approved, product candidates, to the extent that patients who are prescribed our products or, if approved, product candidates, are not separately reimbursed for the cost of the product.</w:t>
      </w:r>
    </w:p>
    <w:p>
      <w:pPr>
        <w:spacing w:after="0" w:line="19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process for determining whether a third-party payor will provide coverage for a product may be separate from the process for setting the price of a product or for establishing the reimbursement rate that such a payor will pay for the product. Even if we obtain adequate levels of reimbursement, third-party payors, such as government or private healthcare insurers,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 prices for products. We may also be required to conduct expensive pharmacoeconomic studies to justify the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or, if approved, product candidate. If coverage and adequate reimbursement are not available, or are available only to limited levels, we may not be able to successfully commercialize any product or, if approved, product candidate that we develop.</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Additionally, there have been a number of legislative and regulatory proposals to change the healthcare system in the United States and in some other jurisdictions that could affect our ability to profitably sell any product or, if approved, product candidate. These legislative and regulatory changes may negatively impact the reimbursement for any product or, if approved, product candidate. There can be no assurance that our products or, if approved, product candidates, will be considered medically reasonable and necessary, that they will be considered cost-effective by third-party payors, that coverage or an adequate level of reimbursement will be available, or that reimbursement policies and practices in the United States and in other countries where our products and, if approved, product candidates, are sold will not harm our ability to profitably sell our products and, if approved, product candidates.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products or, if approved, product candidates. In addition to continuing pressure on prices and cost containment measures, legislative developments in the EU or the EU Member States may harm our ability to profitably sell our products and, if approved, product candidates. The delivery of healthcare in the EU, including the establishment and operation of health services and the pricing and reimbursement of medicines, is almost exclusively a matter for national EU Member States law. National governments and health service providers have different priorities and approaches to the delivery of health care and the pricing and reimbursement of products in that context. The healthcare budgetary constraints in most countries have resulted in restrictions on the pricing and reimbursement of medicines. In markets outside of the United States and EU, reimbursement and healthcare payment systems vary significantly by country, and many countries have instituted price ceilings on specific products and therapies. All of this could affect our ability to commercialize our products and, if approved, product candidates.</w:t>
      </w:r>
    </w:p>
    <w:p>
      <w:pPr>
        <w:spacing w:after="0" w:line="292"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federal legislation and actions by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may face competition in the United States for our products and, if approved, product candidates, from therapies sourced from foreign countries that have placed price controls on pharmaceutical products. In the United States, the Medicare Modernization Act (“MMA”) contains provisions that may change U.S. importation laws and expand pharmacists’ and wholesalers’ ability to import cheaper versions of an approved drug and competing products from Canada, where there are government price controls.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HHS made such certification to Congress, and on October 1, 2020, the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on November 23, 2020, several industry groups filed federal lawsuits in the U.S. District Court for the District of Columbia, requesting injunctive relief to prevent implementation of the rule. Further,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(“NDC”), for an FDA-approved drug that was originally intended to be marketed in a foreign country and that was authorized for sale in that foreign country. In addition, the July 2021 executive order pertaining to drug pricing directs the FDA to support and work with States and Indian Tribes to develop importation plans to import prescription drugs from Canada under the MMA and final rule. If implemented, importation of drugs from Canada may materially and adversely affect the price we receive for our products and, if approved, product candidates. The regulatory and market implications of the final rule and guidance are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82"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unknown at this time. Proponents of drug reimportation may attempt to pass legislation that would directly allow reimportation under certain circumstances. Legislation or regulations allowing the reimportation of drugs, if enacted, could decrease the price we receive for our products and, if approved, product candidates and adversely affect our future revenues and prospects for profitability.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Risks Related to Our Business and Industry</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knowledge and skills of our senior leaders and may not be able to manage our business effectively if we are unable to attract and retain key personnel.</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benefited substantially from the leadership, performance and vision of our senior leaders, in particular, our founder and Chairman, Vivek Ramaswamy, our Principal Executive Officer, Matthew Gline, and other senior executives at Roivant and the Vants. We rely greatly on the investment experience and medical and scientific expertise of our senior leadership team to identify product candidates and guide future investments and opportunities, as well as the drug development expertise of our and the Vants’ senior leadership to guide the preclinical and clinical development of our product candidates. Our success will depend on our ability to retain our current management team. In addition, while we expect to engage in an orderly transition process as we integrate newly appointed officers and managers, we face a variety of risks and uncertainties related to management transition, including diversion of management attention from business concerns, failure to retain other key personnel or loss of institutional knowledge. Competition for senior leadership in the healthcare investment industry is intense, and we cannot guarantee that we will be able to retain our key personnel or that of our Vants.</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senior leaders and key employees may terminate their positions with us at any time. Due to the small number of employees at some of the Vants, the loss of a key employee may have a larger impact on our business. In particular, we rely on a limited number of employees in certain key jurisdictions, including the United Kingdom (the “U.K.”), Switzerland and Bermuda. If we lose one or more members of our or the Vants’ senior leadership teams or other key employees, our ability to successfully implement our business strategies could be adversely impacted. Replacing these individuals may be difficult, cause disruption and may take an extended period of time due to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motivate additional key personnel. We do not maintain “key person” insurance for any members of our senior leadership team or other employees.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To encourage valuable employees to remain at our company, in addition to salary and cash incentives, we have provided certain equity awards that vest over time. The value to employees of equity awards that vest over time may be significantly affected by movements in our share price that are beyond our control and may at any time be insufficient to counteract more lucrative offers from other companies. Despite our efforts to retain invaluable employees, members of our management, scientific and development teams may terminate their employment with us at any time. Although we have employment agreements with our key employees, certain of these employment agreements provide for at-will employment, which means that any of our employees could leave our employment at any time. Our success also depends on our ability to continue to attract, retain and motivate highly skilled junior, mid-level and senior managers as well as junior, mid-level and senior scientific and medical personnel.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our organization and may experience difficulties in managing this growth, which could disrupt operations.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continued growth, we expect to hire, either directly or through our current or future affiliates, additional employees for our managerial, finance and accounting, clinical, scientific and engineering, regulatory, operational, manufacturing, sales and marketing teams. We may have difficulties in connection with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82"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identifying, hiring, integrating and retaining new personnel. Future growth would impose significant additional responsibilities on management, including the need to identify, recruit, maintain, motivate and integrate additional employees, consultants and contractors. Also, management may need to divert a disproportionate amount of its attention away from our day-to-day activities and devote a substantial amount of time to managing these growth activities. We may not be able to effectively manage the expansion of operations across our entities, which may result in weaknesses in infrastructure, give rise to operational mistakes, loss of business opportunities, loss of employees and reduced productivity among remaining employees. Our future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ability to commercialize product candidates and new technologies and compete effectively will partly depend on our ability to effectively manage any future growth.</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Many of the other pharmaceutical and healthcare technology companies that we compete against for qualified personnel and consultants have greater financial and other resources, different risk profiles and a longer operating history in the industry than us. They also may provide more diverse opportunities and better chances for career advancement. Some of these opportunities may be more appealing to high-quality candidates and consultants than what we have to offer. If we are unable to continue to attract and retain high-quality personnel and consultants, the rate and success at which we can discover and develop our products and product candidates will be harmed, which could negatively impact our financial condition, results of operations and cash flows.</w:t>
      </w:r>
    </w:p>
    <w:p>
      <w:pPr>
        <w:spacing w:after="0" w:line="291"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expose us to business, legal, regulatory, political, operational, financial and economic risks associated with conducting business globally.</w:t>
      </w:r>
    </w:p>
    <w:p>
      <w:pPr>
        <w:spacing w:after="0" w:line="5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Part of our business strategy involves potential expansion internationally with third-party collaborators to seek regulatory approval for our products and product candidates globally. Doing business internationally involves a number of risks, including but not limited to:</w:t>
      </w:r>
    </w:p>
    <w:p>
      <w:pPr>
        <w:spacing w:after="0" w:line="67" w:lineRule="exact"/>
        <w:rPr>
          <w:sz w:val="20"/>
          <w:szCs w:val="20"/>
          <w:color w:val="auto"/>
        </w:rPr>
      </w:pPr>
    </w:p>
    <w:p>
      <w:pPr>
        <w:ind w:left="1080" w:right="4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employment laws, anti-bribery and anti-corruption laws, regulatory requirements and other governmental approvals, permits and licenses;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collaborators to obtain appropriate licenses or regulatory approvals for the sale or use of our products or, if approved, product candidates, in various countries;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operations in different jurisdictions;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payor-reimbursement regimes or self-pay systems;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enforcing contracts and collecting accounts receivable and exposure to currency exchange rate fluctuations;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protection for intellectual property rights;</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boycotts, curtailment of trade and other business restrictions;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United States Foreign Corrupt Practices Act (the “FCPA”), including its books and records provisions and its anti-bribery provisions, the United Kingdom Bribery Act 2010 (the “U.K. Bribery Act”), and similar anti-bribery and anti-corruption laws in other jurisdictions, for example by failing to maintain accurate information and control over sales or distributors’ activities.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of these risks, if encountered, could significantly harm our future international expansion and operations and, consequently, negatively impact our financial condition, results of operations and cash flows.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82"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and other factors beyond our control, such as the rate of unemployment, the number of uninsured persons in the United States, political influences and inflationary pressures. For example, an overall decrease in or loss of insurance coverage among individuals in the United States as a result of unemployment, underemployment or the repeal of certain provisions of the ACA may decrease the demand for healthcare services and pharmaceuticals. If fewer patients are seeking medical care because they do not have insurance coverage, we may experience difficulties in commercializing our products and, if approved, product candidates and our business, results of operations, financial condition and cash flows could be adversely affected.</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could result in a variety of risks to our business, including a reduced ability to raise additional capital when needed on acceptable terms, if at all, and weakened demand for our products and, if approved, product candidates.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93"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and scientific change, and there is a possibility that our competitors may achieve certain regulatory approvals before us or develop therapies that are safer, more advanced or more effective than ours, which may negatively impact our ability to successfully market or commercialize our products and, if approved, product candidates and ultimately harm our financial condition.</w:t>
      </w:r>
    </w:p>
    <w:p>
      <w:pPr>
        <w:spacing w:after="0" w:line="7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development and commercialization of new drug products is highly competitive. Now and in the future we may face competition from major pharmaceutical companies, specialty pharmaceutical companies and biotechnology companies worldwide with respect to our products and product candidates.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are currently pursuing the development and commercialization of products and product candidates for the treatment of the indications that we are also pursuing. Examples of such competing products include, but are not limited to:</w:t>
      </w:r>
    </w:p>
    <w:p>
      <w:pPr>
        <w:spacing w:after="0" w:line="81" w:lineRule="exact"/>
        <w:rPr>
          <w:sz w:val="20"/>
          <w:szCs w:val="20"/>
          <w:color w:val="auto"/>
        </w:rPr>
      </w:pPr>
    </w:p>
    <w:p>
      <w:pPr>
        <w:ind w:left="1080" w:right="40" w:hanging="424"/>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Roflumilast, a PDE4 inhibitor, a potential competitor to VTAMA, which in May 2022 was approved by the FDA for the treatment of plaque psoriasis in adults in the U.S. under the brand name VTAMA cream and which is also in development by Dermavant for the topical treatment of atopic dermatitis;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Ruxolitinib, a topical Janus kinase inhibitor, a potential competitor to VTAMA, in development by Dermavant for the topical treatment of atopic dermatitis;</w:t>
      </w:r>
    </w:p>
    <w:p>
      <w:pPr>
        <w:spacing w:after="0" w:line="67" w:lineRule="exact"/>
        <w:rPr>
          <w:rFonts w:ascii="Times New Roman" w:cs="Times New Roman" w:eastAsia="Times New Roman" w:hAnsi="Times New Roman"/>
          <w:sz w:val="18"/>
          <w:szCs w:val="18"/>
          <w:color w:val="auto"/>
        </w:rPr>
      </w:pPr>
    </w:p>
    <w:p>
      <w:pPr>
        <w:ind w:left="1080" w:right="260" w:hanging="424"/>
        <w:spacing w:after="0" w:line="312" w:lineRule="auto"/>
        <w:tabs>
          <w:tab w:leader="none" w:pos="10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Teprotumumab, an insulin-like growth factor-1 receptor inhibitor, which in January 2020 was approved by the FDA for the treatment of TED, a potential competitor to batoclimab, in development by Immunovant for the treatment of TED and other autoimmune diseases;</w:t>
      </w:r>
    </w:p>
    <w:p>
      <w:pPr>
        <w:spacing w:after="0" w:line="44" w:lineRule="exact"/>
        <w:rPr>
          <w:rFonts w:ascii="Times New Roman" w:cs="Times New Roman" w:eastAsia="Times New Roman" w:hAnsi="Times New Roman"/>
          <w:sz w:val="17"/>
          <w:szCs w:val="17"/>
          <w:color w:val="auto"/>
        </w:rPr>
      </w:pPr>
    </w:p>
    <w:p>
      <w:pPr>
        <w:ind w:left="1080" w:right="640" w:hanging="424"/>
        <w:spacing w:after="0" w:line="218"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VYVGART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(efgartigimod alfa-fcab), a neonatal Fc receptor blocker, which in December 2021 was approved by the FDA for the treatment of MG in adults who test positive for the anti-acetylcholine</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receptor antibody, a potential competitor to batoclimab, in development by Immunovant for the treatment of MG and other autoimmune diseases;</w:t>
      </w:r>
    </w:p>
    <w:p>
      <w:pPr>
        <w:spacing w:after="0" w:line="67" w:lineRule="exact"/>
        <w:rPr>
          <w:sz w:val="20"/>
          <w:szCs w:val="20"/>
          <w:color w:val="auto"/>
        </w:rPr>
      </w:pPr>
    </w:p>
    <w:p>
      <w:pPr>
        <w:ind w:left="1080" w:right="180" w:hanging="424"/>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Efgartigimod, an anti-FcRn antibody fragment, nipocalimab, an anti-FcRn antibody, Zilucoplan, a peptide inhibitor of C5, and inebilizumab, a CD19-targeted humanized monoclonal antibody, all potential competitors to batoclimab, in development by Immunovant for the treatment of MG and other autoimmune diseases;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Ultomiris (Ravulizumab-cwvz), a complement inhibitor, which in April 2022 was approved by the FDA for the treatment of generalized MG in adults who are anti-acetylcholine receptor antibody-positive, a potential competitor to batoclimab, in development by Immunovant for the treatment of MG and other autoimmune diseases;</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Rituximab, a monoclonal antibody, a potential competitor to batoclimab, in development by Immunovant for the treatment of TED, WAIHA and other autoimmune diseases;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Fostamatinib, a syk inhibitor, ibrutinib, a BTK inhibitor, and ANX005, an antibody inhibitor, all potential competitors to batoclimab, in development by Immunovant for the treatment of WAIHA and other autoimmune diseases; and</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any of these or other competitors, including competitors for our other product candidates, receive FDA approval before we do, our products or product candidates would not be the first treatment on the market, and our market share may be limited.</w:t>
      </w:r>
    </w:p>
    <w:p>
      <w:pPr>
        <w:spacing w:after="0" w:line="162"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our products and product candidates. Furthermore, currently approved products could be discovered to have application for treatment of our targeted disease indications or similar indications, which could give such products significant regulatory and market timing advantages over our products and product candidates. Our competitors also may obtain FDA or other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products or product candidates uneconomical or obsolete and we may not be successful in marketing our products or, if approved, any product candidates we may develop against competitors.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we could face litigation or other proceedings with respect to the scope, ownership, validity and/or enforceability of our patents relating to our competitors’ products and our competitors may allege that our products or product candidates infringe, misappropriate or otherwise violate their intellectual property. The availability of our competitors’ products could limit the demand, and the price we are able to charge, for our products and, if approved, any product candidates we may develop.</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82"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our healthcare technology Vants participate are competitive, and if we do not compete effectively, our business and operating results could be adversely affected.</w:t>
      </w:r>
    </w:p>
    <w:p>
      <w:pPr>
        <w:spacing w:after="0" w:line="5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overall market for healthcare technologies and software is global, rapidly evolving, competitive and subject to changing technology and shifting customer focus. Our healthcare technology Vants, including Lokavant, a clinical trial technology company, face competition from well-established providers of similar solutions, certain of which may have long-standing relationships with many of our current and potential customers, including large biopharmaceutical companies. We also face competition from solutions that biopharmaceutical companies develop internally and from smaller companies that offer products and services directed at more specific markets than we target, enabling these smaller competitors to focus a greater proportion of their efforts and resources on these markets, as well as a large number of companies that have been founded with the goal of applying machine learning technologies to drug discovery.</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Many of our competitors are able to devote greater resources to the development, promotion, and sale of their software solutions and services. Third parties with greater available resources and the ability to initiate or withstand substantial price competition could acquire our current or potential competitors. Our competitors may also establish cooperative relationships among themselves or with third parties that may further enhance their product offerings or resources. If our competitors’ products, services or technologies become more accepted than our solutions, if our competitors are successful in bringing their products or services to market earlier than ours, if our competitors are able to respond more quickly and effectively to new or changing opportunities, technologies, or customer requirements, or if their products or services are more technologically capable than ours, then the business and prospects of these Vants could be adversely affected.</w:t>
      </w:r>
    </w:p>
    <w:p>
      <w:pPr>
        <w:spacing w:after="0" w:line="293"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are subject to litigation and investigation risks which could adversely affect our business, results of operations and financial condition and could cause the market value of our Common Shares to decline. Insurance coverage may not be available for, or adequate to cover, all potential exposure for litigation and other business risks.</w:t>
      </w:r>
    </w:p>
    <w:p>
      <w:pPr>
        <w:spacing w:after="0" w:line="67"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We and our subsidiaries are from time to time subject to various litigation matters and claims, including regulatory proceedings, administrative proceedings, securities litigation and other lawsuits, and governmental investigations. In addition, we and our subsidiaries may receive requests for information from governmental agencies in connection with their regulatory or investigatory authority or from private third parties pursuant to subpoena. These proceedings may be complex and prolonged, and may occupy the resources of our and our subsidiaries’ management and employees. These proceedings are also costly to prosecute and defend and may involve substantial awards or damages payable by us or our subsidiaries if not favorably resolved. We and our subsidiaries may be required to pay substantial amounts or grant certain rights on unfavorable terms in order to settle such proceedings. We also face risks relating to litigation arising from judgments made by us and the Vants as to the materiality of any developments in our businesses, including with respect to preclinical and clinical data, and the resulting disclosure (or lack thereof) may give rise to securities litigation.</w:t>
      </w:r>
    </w:p>
    <w:p>
      <w:pPr>
        <w:spacing w:after="0" w:line="17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maintain insurance policies for certain litigation and various business risks, but such policies may not be adequate to compensate us for any or all potential losses. In addition, such insurance may not be available to us in the future on economically reasonable terms, or at all. Further, our insurance, if available, may not cover all claims made against us and defending a suit, regardless of its merit, could be costly and divert management’s attention. Because of the uncertain nature of litigation, investigations and insurance coverage decisions, it is not possible to predict the outcome of these matters as they arise from time to time, and they could have a material adverse effect on our and our subsidiaries’ business, results of operations, and financial condition, could impact our ability to consummate a transaction that is challenged or otherwise subject to such litigation and could cause the market value of our Common Shares to decline.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82"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hold a controlling stake in certain of our subsidiaries and thus may not be able to direct our business or the development of our product candidates.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certain of the Vants, including Arbutus and Sio Gene Therapies, we hold less than a majority ownership interest or are otherwise limited in our ability to direct or control the business and the development of the product candidates or technologies at the Vant. In addition, for certain other Vants, including Immunovant, we may in the future come to hold less than a majority ownership interest in the Vant. Furthermore, even if we own a majority ownership interest in a Vant, we may not necessarily be able to control the outcome of certain corporate actions. If the business or development of a product candidate at one of these Vants were to face challenges, we would be adversely affected as a result and would be limited in our ability to cause or influence the Vant in question to take appropriate remediative actions.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cyber-attacks or a deficiency in our cyber-security.</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computer systems, as well as those of various third parties on which we presently rely, or may rely on in the future, including our CROs and other contractors, consultants and law and accounting firms, may sustain damage from or otherwise be subject to computer viruses, unauthorized access, data breaches, phishing attacks, cybercriminals, natural disasters (including hurricanes and earthquakes), terrorism, war and telecommunication and electrical failures. Such information technology systems are additionally vulnerable to security breaches from inadvertent or intentional actions by our employees, third-party vendors, contractors, consultants, business partners, and/or other third parties. Any of the foregoing may compromise our system infrastructure, or that of our third-party vendors and other contractors and consultants, or lead to data leakage. The risks of a security breach or disruption, particularly through cyber-attacks or cyber intrusion, including by traditional computer “hackers,” threat actors, personnel (such as through theft or misuse), sophisticated nation-state and nation-state-supported actors, sovereign governments and cyber terrorists, have generally increased over time, including for geopolitical reasons and in conjunction with military conflicts and defense activities, along with the number, intensity and sophistication of attempted attacks and intrusions from around the world.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products and product candidates. In addition, there may be an increased risk of cybersecurity attacks due to the onset of hostilities by Russia towards Ukraine, including cybersecurity attacks perpetrated by Russia or others at its direction in response to economic sanctions and other actions taken against Russia as a result of its invasion of Ukraine. Any increase in such attacks on us or our third-party vendors or other systems could adversely affect our network systems or other operations.</w:t>
      </w:r>
    </w:p>
    <w:p>
      <w:pPr>
        <w:spacing w:after="0" w:line="19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generally require our third-party providers to implement effective security measures and to identify and correct for any such failures, deficiencies or breaches. Although we seek to supervise such third parties’ security measures, our ability to do so is limited.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cannot anticipate all possible types of security threats and we cannot guarantee that our data protection efforts and our investments in information technology will prevent significant breakdowns, data leakages, security breaches in our systems, or those of our third-party vendors and other contractors and consultants, or other cyber incidents that could have a material adverse effect upon our reputation, business, operations, or financial condition. If any of the aforementioned security events were to occur, it could result in a material disruption of our commercialization efforts, drug development programs and other business operations. For example, the loss of nonclinical or clinical trial data from completed, ongoing or planned trials could result in delays in our regulatory approval efforts and significantly increase our costs to recover or reproduce the data. In addition, we rely on third parties to supply components for and to manufacture our product candidates and 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82"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personal, confidential or proprietary information, we could incur liability and reputational damage and the commercialization efforts for our products and further development of any product candidate could be delayed. The costs related to significant security breaches or disruptions could be material and exceed the limits of the cybersecurity insurance we maintain against such risks.</w:t>
      </w:r>
    </w:p>
    <w:p>
      <w:pPr>
        <w:spacing w:after="0" w:line="28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data protection and information security laws, regulations, policies and contractual obligations related to data privacy and security and changes in such laws, regulations, policies and contractual obligations could adversely affect our business.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Failure to comply with applicable privacy and data security laws and regulations could result in enforcement actions against us, including possible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data protection and security of personal information. At the federal level, regulations promulgated pursuant to HIPAA establish privacy and security standards for “covered entities” (group health plans and most healthcare providers) that limit the use and disclosure of individually identifiable health information those entities receive or create (“protected health information”), and require the implementation of administrative, physical and technological safeguards to protect the security, confidentiality, integrity and availability of electronic protected health information. While we generally are not subject to HIPAA in our business, we do business with various entities that are subject to HIPAA and we have to expend resources to understand their obligations, adjust contractual relationships in light of those obligations, or otherwise modify our business practices. Congress has considered expanding the scope of the HIPAA privacy and security regulations and we may in the future become subject to them or parallel regulations ourselves, which would require us to make additional expenditures and create additional risks.</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many U.S. states in which we operate have laws that protect the privacy and security of personal information. Certain state laws may be more stringent or broader in scope, or offer greater individual rights, with respect to personal information than federal, international or other state laws, and such laws may differ from each other, which may complicate compliance efforts. For example, the California Confidentiality of Medical Information Act (the “CMIA”), a statute similar to HIPAA that expressly applies to pharmaceutical companies as well as companies that provide certain technologies for processing personal health information, imposes stringent data privacy and security requirements and obligations with respect to the personal health information of California residents. Among other things, the CMIA requires that a pharmaceutical company obtain a signed, written authorization from a patient or company employee in order to disclose his or her personal health information, with limited exceptions, and requires security measures to protect such information. The CMIA authorizes administrative fines and civil penalties of up to $25,000 for willful violations and up to $250,000 if the violation is for purposes of financial gain, as well as criminal fines. In addition, another more recently enacted California law, the California Consumer Privacy Act of 2018 (the “CCPA”), requires us to provide notice to California residents regarding the personal information we collect, use and share and to honor such residents’ privacy rights, including the right to opt-out of the sale of their personal information. The CCPA provides for civil penalties for violations, as well as a private right of action for data security breaches that result in the compromise of highly sensitive personal information, which may increase the likelihood of, and risks associated with, data breach litigation. As of January 1, 2023, the CCPA regime will become more complex and enforcement may increase, pursuant to amendments adopted pursuant to the California Privacy Rights Act (the “CPRA”), a ballot initiative that passed in November 2020. The CPRA, among other things, created a new state</w:t>
      </w:r>
    </w:p>
    <w:p>
      <w:pPr>
        <w:spacing w:after="0" w:line="1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80"/>
          </w:cols>
          <w:pgMar w:left="320" w:top="482"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9" w:lineRule="auto"/>
        <w:rPr>
          <w:sz w:val="20"/>
          <w:szCs w:val="20"/>
          <w:color w:val="auto"/>
        </w:rPr>
      </w:pPr>
      <w:r>
        <w:rPr>
          <w:rFonts w:ascii="Times New Roman" w:cs="Times New Roman" w:eastAsia="Times New Roman" w:hAnsi="Times New Roman"/>
          <w:sz w:val="17"/>
          <w:szCs w:val="17"/>
          <w:color w:val="auto"/>
        </w:rPr>
        <w:t>agency, the California Privacy Protection Agency, to implement and enforce the CCPA and the CPRA. The CPRA also gave California residents new rights to limit uses and disclosures of “sensitive personal information,” including personal health information, and the right to opt out of the sharing of personal information for targeted online advertising. California’s aggressive steps to protect consumer privacy have been followed by similar actions in other states, including Virginia, Colorado, Utah and Connecticut, all of which have enacted CCPA/CPRA-like laws to provide their respective residents with similar rights. New legislation anticipated to be enacted in various other states will continue to shape the data privacy environment nationally.</w:t>
      </w:r>
    </w:p>
    <w:p>
      <w:pPr>
        <w:spacing w:after="0" w:line="3" w:lineRule="exact"/>
        <w:rPr>
          <w:sz w:val="20"/>
          <w:szCs w:val="20"/>
          <w:color w:val="auto"/>
        </w:rPr>
      </w:pPr>
    </w:p>
    <w:p>
      <w:pPr>
        <w:ind w:left="120" w:right="320"/>
        <w:spacing w:after="0" w:line="253" w:lineRule="auto"/>
        <w:rPr>
          <w:sz w:val="20"/>
          <w:szCs w:val="20"/>
          <w:color w:val="auto"/>
        </w:rPr>
      </w:pPr>
      <w:r>
        <w:rPr>
          <w:rFonts w:ascii="Times New Roman" w:cs="Times New Roman" w:eastAsia="Times New Roman" w:hAnsi="Times New Roman"/>
          <w:sz w:val="18"/>
          <w:szCs w:val="18"/>
          <w:color w:val="auto"/>
        </w:rPr>
        <w:t>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The effects on our business of this growing body of privacy and data protection laws are potentially significant, and may require us to modify our data processing practices and policies and to incur substantial costs and expenses in an effort to comply.</w:t>
      </w:r>
    </w:p>
    <w:p>
      <w:pPr>
        <w:spacing w:after="0" w:line="189"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7"/>
          <w:szCs w:val="17"/>
          <w:color w:val="auto"/>
        </w:rPr>
        <w:t xml:space="preserve">Outside of the United States, laws, regulations and standards in many jurisdictions apply broadly to the collection, use, retention, security, disclosure, transfer and other processing of personal information. For example, in EEA, the collection and use of personal data is governed by the provisions of the General Data Protection Regulation (the “GDPR”). The GDPR came into effect in May 2018, superseding the European Union Data Protection Directive, and imposing more stringent data privacy and security requirements on companies in relation to the processing of personal data. The GDPR, together with national legislation, regulations and guidelines of the EU member states governing the processing of personal data, impose strict obligations on controllers, including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(i) accountability and transparency requirements, and enhanced requirements for obtaining valid consent; (ii) obligations to consider data protection as any new products or services are developed and to limit the amount of personal data processed;</w:t>
      </w:r>
    </w:p>
    <w:p>
      <w:pPr>
        <w:spacing w:after="0" w:line="2" w:lineRule="exact"/>
        <w:rPr>
          <w:sz w:val="20"/>
          <w:szCs w:val="20"/>
          <w:color w:val="auto"/>
        </w:rPr>
      </w:pPr>
    </w:p>
    <w:p>
      <w:pPr>
        <w:ind w:left="120" w:hanging="4"/>
        <w:spacing w:after="0" w:line="253" w:lineRule="auto"/>
        <w:tabs>
          <w:tab w:leader="none" w:pos="43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comply with data protection rights of data subjects; and (iv) reporting of certain personal data breaches to the supervisory authority without undue delay (and no later than 72 hours where feasible). The GDPR also prohibits the transfer of personal data from the EEA to countries outside of the EEA unless made to a country deemed to have adequate data privacy laws by the European Commission or a data transfer mechanism has been put in place. The EU-US Privacy Shield, but the Privacy Shield was invalidated for international transfers of personal data in July 2020 by the Court of Justice of the European Union (“CJEU”).</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CJEU upheld the validity of standard contractual clauses (“SCCs”) as a legal mechanism to transfer personal data but companies relying on SCCs will, subject to additional guidance from regulators in the EEA and the U.K., need to evaluate and implement supplementary measures that provide privacy protections additional to those provided under SCCs. Due to potential legal challenges, it remains to be seen whether SCCs will remain a valid legal mechanism and whether additional means for lawful data transfers will become available. In June 2021, the European Commission adopted new SCCs that are designed to be a mechanism by which entities can transfer personal information out of the EEA to jurisdictions that the European Commission has not found to provide an adequate level of protection. Currently, the SCCs are a valid mechanism to transfer personal information outside of the EEA. The SCCs, however, require parties that rely upon that legal mechanism to comply with additional obligations, such as conducting transfer impact assessments to determine whether additional security measures are necessary to protect the transferred personal information. The new SCCs may increase the legal risks and liabilities under European privacy, data protection, and information security laws. Given that, at present, there are few, if any, viable alternatives to the SCCs, any transfers by us or our vendors of personal information from Europe may not comply with European data protection law, which may increase our exposure to the GDPR’s heightened sanctions for violations of its cross-border data transfer restrictions and may prohibit our transfer of E.U. personal information outside of the E.U. (including clinical trial data), and may adversely impact our operations, product development and ability to provide our products. Moreover, the competent authorities and courts in a number of EU Member States increasingly scrutinize and question the GDPR compliance of processing of personal data by US-based entities or entities with links to US-based entities, independently of whether personal data is actually transferred outside the EEA. The GDPR authorizes fines for certain violations of up to 4% of global annual revenue or €20 million, whichever is greater. Such fines are in addition to any civil litigation claims by customers and data subjects. European data protection authorities may</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320" w:top="482"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interpret the GDPR and national laws differently and impose additional requirements, which contributes to the complexity of processing personal data in or from the EEA.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such company does not have an establishment in the EU member state in question and the competent authority bringing the claim is not the lead supervisory authority.</w:t>
      </w:r>
    </w:p>
    <w:p>
      <w:pPr>
        <w:spacing w:after="0" w:line="181"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Further, as of January 1, 2021, and the expiry of transitional arrangements agreed to between the United Kingdom and EU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following the United Kingdom’s exit from the EU—otherwise known as Brexit),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With respect to transfers of personal data from the EEA to the United Kingdom,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Moreover, other countries have also passed or are considering passing laws requiring local data residency or restricting the international transfer of data.</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or our third-party service providers are unable to properly protect the privacy and security of personal information, or other sensitive data we process in our business, we could be found to have breached our contracts. Further, if we fail to comply with applicable privacy laws, we could face civil and criminal penalties. Enforcement activity from state Attorneys General and agencies such as the California Privacy Protection Agency, the Federal Trade Commission, EU Data Protection Authorities and other regulatory authorities in relation to privacy and cybersecurity matters can result in financial liability and reputational harm, and responses to such enforcement activity can consume significant internal resources. In the United States, the threat of class action lawsuits based on data security breaches or alleged unfair practices adds a further layer of risk. We cannot be sure how these privacy laws and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laws and regulations being adopted and coming into effect. It is possible that these laws may be interpreted and applied in a manner that is inconsistent with our practices. Significant resources are needed to understand and comply with this changing landscape. Failure to comply with federal, state and international laws regarding privacy and security of personal information could expose us to penalties under such laws. Any such failure to comply with data protection and privacy laws could result in government-imposed fines or orders requiring that we change our practices or unwind certain lines of business, claims for damages or other liabilities, regulatory investigations and enforcement action, litigation and significant costs for remediation, any of which could adversely affect our business. Even absent any findings that we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82"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affiliates’ employees, independent contractors, principal investigators, consultants, commercial collaborators, service providers and other vendors or potential collaborators may engage in misconduct or other improper activities, including noncompliance with regulatory standards and requirements, which could harm our results of operations.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or our affiliates’ employees and contractors, including principal investigators, CROs, CMOs, consultants, commercial collaborators, service providers and other vendors may engage in misconduct or other illegal activity. Misconduct by these parties could include intentional, reckless or negligent conduct or other unauthorized activities that violate the laws and regulations of the FDA and other similar regulatory bodies, including those laws that require the reporting of true, complete and accurate information to such regulatory bodies; manufacturing and the FDA’s GCP, GLP and GMP standards; federal, state and foreign healthcare fraud and abuse laws and data privacy; or laws that require the true, complete and accurate reporting of financial information or data. In particular, sales, marketing and other business arrangements in the healthcare industry are subject to extensive laws intended to prevent fraud, kickbacks, self-dealing, bribery, corruption, antitrust violations and other abusive practices. These laws may restrict or prohibit a wide range of business activities, including research, manufacturing, distribution, pricing, discounting, marketing and promotion, sales commission, customer incentive programs and other business arrangements. Activities subject to these laws also involve the improper use or misrepresentation of information obtained in the course of clinical trials, creating fraudulent data in our nonclinical studies or clinical trials or illegal misappropriation of drug product, which could result in regulatory sanctions and serious harm to our reputation. It is not always possible to identify and deter employee or third-party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19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Additionally, we are subject to the risk that a person, including any person who may have engaged in any fraud or misconduct, or government agency could allege such fraud or other misconduct, even if none occurred. Furthermore, we rely on our CROs and clinical trial sites to adequately report data from our ongoing clinical trials. Moreover, in some instances, our licensing partners conduct clinical trials with respect to product candidates in different territories and we rely on any such partners to share data from their ongoing clinical trials as required under our agreements with such partners. For example, any failure by such parties to adequately report safety signals to us in a timely manner from any such trials may also affect the approvability of our product candidates or cause delays and disruptions for the approval of our product candidates, if at all. If our or our affiliates’ employees, independent contractors, principal investigators, consultants, commercial collaborators, service providers or other vendors are alleged or found to be in violation of any such regulatory standards or requirements, or become subject to a corporate integrity agreement or similar agreement and curtailment of our operations, it could have a significant impact on our business and financial results, including the imposition of significant civil, criminal and administrative penalties, damages, monetary fines, suspension or delay in our clinical trials, possible exclusion from participation in Medicare, Medicaid and other federal healthcare programs, FDA debarment, contractual damages, reputational harm, diminished profits and future earnings, and additional reporting requirements and oversight, any of which could harm our ability to operate our business and our results of operations.</w:t>
      </w:r>
    </w:p>
    <w:p>
      <w:pPr>
        <w:spacing w:after="0" w:line="294"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product liability lawsuits against us could cause us to incur substantial liabilities and limit commercialization of our products and, if approved, product candidates.</w:t>
      </w:r>
    </w:p>
    <w:p>
      <w:pPr>
        <w:spacing w:after="0" w:line="5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sale of our products, including VTAMA, which was approved by the FDA in May 2022 for the treatment of plaque psoriasis in adults in the U.S. and the use of our existing product candidates in clinical trials expose us to the risk of product liability claims. Product liability claims might be brought against us by consumers, health care providers, other pharmaceutical companies or others taking or otherwise coming into contact with our products or product candidates. On occasion, large judgments have been awarded in class action lawsuits where drugs have had unanticipated harmful effects. If we cannot successfully defend ourselves against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product liability claims, we could incur substantial liability and costs. In addition, regardless of merit or eventual outcome, product liability claims may result in:</w:t>
      </w:r>
    </w:p>
    <w:p>
      <w:pPr>
        <w:spacing w:after="0" w:line="67"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an inability to commercialize VTAMA, and any future products for which we obtain marketing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termination of clinical trials, or withdrawal of participants from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existing product candidates or any future product candidate, if approved;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product liability insurance we currently carry, and 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have acquired insurance coverage which extends to liabilities arising from the sale of our products; however, there is no assurance that we will be able to maintain this insurance coverage on commercially reasonable terms or in adequate amounts or that this coverage will be sufficient to cover any losses arising from any claims related to our products or, if approved, product candidates. A successful product liability claim or series of claims brought against us could adversely affect our results of operations and business, including preventing or limiting the commercialization of our products and, if approved, product candidates.</w:t>
      </w:r>
    </w:p>
    <w:p>
      <w:pPr>
        <w:spacing w:after="0" w:line="296"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Certain of our operations may involve the use of hazardous and flammable materials, including chemicals and biological materials, and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jc w:val="both"/>
        <w:ind w:left="120" w:right="620" w:firstLine="440"/>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82"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outbreak of disease or other natural disasters and our business continuity and disaster recovery plans may not adequately protect us from a serious disaster.</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offices,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limited earthquake and flood insurance coverage, could have a material adverse effect on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12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research, products, product candidates, investigational medicines and the diseases our products,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When such disclosures occur, there is a risk that we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development candidates and investigational medicines.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The use of social media also creates additional risks in the EEA and the UK where promotion of prescription-only medicines to patients and the general public is strictly prohibited. Social media content that is generated, shared or liked by our company or our directors, employees, staff or other representatives may potentially be perceived or construed as constituting prohibited promotion of prescription-only medicinal products and trigger enforcement and penalties. This is an area of increased scrutiny in both the EEA and the UK.</w:t>
      </w:r>
    </w:p>
    <w:p>
      <w:pPr>
        <w:spacing w:after="0" w:line="29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adversely impact our ability to obtain regulatory approvals of our products and product candidates in the European Union and may require us to incur additional expenses in order to develop, manufacture and commercialize our products and product candidates in the European Union.</w:t>
      </w:r>
    </w:p>
    <w:p>
      <w:pPr>
        <w:spacing w:after="0" w:line="6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are centrally managed and controlled in the United Kingdom. The United Kingdom formally exited the EU, commonly referred to as Brexit, on January 31, 2020. Under the terms of its departure, the United Kingdom entered a transition period (the “Transition Period”), during which it continued to follow all EU rules. The Transition Period ended on December 31, 2020. A trade and cooperation agreement which outlines the trading relationship between the U.K. and E.U. now that the transition period has concluded, applied provisionally from January 1, 2021 and formally entered into force on May 1, 2021.</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There is considerable uncertainty resulting from a lack of precedent and the complexity of the United Kingdom and the EU’s intertwined legal regimes as to how Brexit (following the Transition Period) will impact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82"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life sciences industry in the UK and Europe, including our company, including with respect to ongoing or future clinical trials. The impact will largely depend on the model and means by which the United Kingdom’s relationship with the EU is governed post-Brexit and the extent to which the United Kingdom chooses to further diverge from the EU regulatory framework. For example, following the Transition Period, Great Britain is no longer covered by the centralized procedures for obtaining EU-wide marketing authorizations and our products will therefore require a separate marketing authorization to allow us to market such products in Great Britain. By way of additional example, the EU Clinical Trials Regulations which govern the conduct of clinical trials in the E.U. entered into application in January 2022 and consequently do not apply in the U.K. It is unclear as to whether the relevant authorities in the EU and the United Kingdom are adequately prepared for the additional administrative burden caused by Brexit. Any delay in obtaining, or an inability to obtain, any marketing approvals, as a result of Brexit or otherwise, would prevent us from or delay us commercializing our products and, if approved, product candidates in the United Kingdom and/or the EEA and restrict our ability to generate revenue and achieve and sustain profitability. In the short term, following the expiry of the Transition Period there have been disrupted import and export processes due to a lack of administrative processing capacity by the respective United Kingdom and EU customs agencies that, if continued, may delay time-sensitive shipments and may negatively impact our product supply chain. Further, under current plans, orphan designation in the United Kingdom (or Great Britain, depending on whether there is a prior centralized marketing authorization in the EEA) following Brexit is to be based on the prevalence of the condition in Great Britain as opposed to the current position where prevalence in the EU is the determinant. It is therefore possible that conditions that are currently designated as orphan conditions in the United Kingdom will no longer be and that conditions are not currently designated as orphan conditions in the European Union will be designated as such in the United Kingdom.</w:t>
      </w:r>
    </w:p>
    <w:p>
      <w:pPr>
        <w:spacing w:after="0" w:line="19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any of these outcomes occur, we may be forced to restrict or delay efforts to seek regulatory approval in the United Kingdom and/or EEA for our products and product candidates, which could significantly and materially harm our business. There is a degree of uncertainty regarding the overall impact that Brexit will have on (i) the marketing of pharmaceutical products, (ii) the process to obtain regulatory approval in the United Kingdom for product candidates or (iii) the award of exclusivities that are normally part of the EU legal framework (for instance Supplementary Protection Certificates, Pediatric Extensions or Orphan exclusivity).</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Brexit may also result in a reduction of funding to the EMA once the United Kingdom no longer makes financial contributions to European institutions, such as the EMA. If funding to the EMA is so reduced, it could create delays in the EMA issuing regulatory approvals for our products and product candidates and, accordingly, have a material adverse effect on our business, financial condition, results of operations or prospects.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we may be required to pay taxes or duties or be subjected to other hurdles in connection with the importation of our products or product candidates into the EU, or we may incur expenses in establishing a manufacturing facility in the EU in order to circumvent such hurdles. If any of these outcomes occur, we may be forced to restrict or delay efforts to seek regulatory approval in the United Kingdom or the EU for our products and product candidates, or incur significant additional expenses to operate our business, which could significantly and materially harm or delay our ability to generate revenues or achieve profitability of our business.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As a result of Brexit, other EU Member States may seek to conduct referenda with respect to their continuing membership with the EU. Given these possibilities and others we may not anticipate, as well as the absence of comparable precedent, it is unclear what financial, regulatory and legal implications the withdrawal of the United Kingdom from the EU will have and how such withdrawal will affect us, and the full extent to which our business could be adversely affected.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82"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products and product candidates, or if the scope of the intellectual property protection obtained is not sufficiently broad, we may not be able to compete effectively in our markets.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rely, and will continue to rely, upon a combination of patents, trademarks, trade secret protection and confidentiality agreements with employees, consultants, collaborators, advisors and other third parties to protect the intellectual property related to our brand, current and future drug development programs, products and product candidates. Our success depends in large part on our ability to obtain and maintain patent protection in the United States and other countries with respect to our current and future products and product candidates. We seek to protect our proprietary position by in-licensing or acquiring intellectual property and filing patent applications in the United States and abroad related to our current and future development programs, products and product candidates, defending our intellectual property rights against third-party challenges and enforcing our intellectual property rights to prevent third-party infringement. The patent prosecution process is expensive and time-consuming, and we may not be able to file and prosecute all necessary or desirable patent applications at a reasonable cost or in a timely manner. Furthermore, there is always a risk that our licensed or owned issued patents and any pending and future patent applications may not protect our products or product candidates, in whole or in part, and may not effectively prevent others from commercializing competitive products or product candidates, or that an alteration to our products or product candidates or processes may provide sufficient basis for a competitor to avoid infringing our patent claims. The risks associated with patent rights generally apply to patent rights that we in-license now or in the future, as well as patent rights that we may own now or in the future.</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their research and development output, such as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obtain patent protection. In addition, while we have pre-publication review procedures in effect, premature or inadvertent publication of potentially patentable subject matter could preclude our ability to obtain patent protection. We may choose not to seek patent protection for certain innovations, products or product candidates and may choose not to pursue patent protection in certain jurisdictions, and under the laws of certain jurisdictions, patents or other intellectual property rights may be unavailable or limited in scope and, in any event, any patent protection we obtain may be limited. As a result, our products and, if approved, product candidates may not be protected by patents in all jurisdictions. We generally apply for patents in those countries where we intend to make, have made, use, offer for sale, or sell products and product candidates and where we assess the risk of infringement to justify the cost of seeking patent protection. However, we do not seek protection in all countries where we intend to sell products and, if approved, product candidates and we may not accurately predict all the countries where patent protection would ultimately be desirable. If we fail to timely file a patent application in any such country or major market, we may be precluded from doing so at a later date. The patent applications that we own or in-license may fail to result in issued patents with claims that cover products or product candidates in the United States or in other countries. We may also inadvertently make statements to regulatory agencies during the regulatory approval process that may be inconsistent with positions that have been taken during prosecution of our patents, which may result in such patents being narrowed, invalidated or held unenforceable in enforcement and other adversarial proceedings.</w:t>
      </w:r>
    </w:p>
    <w:p>
      <w:pPr>
        <w:spacing w:after="0" w:line="193"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patent applications that we own or in-license may fail to result in issued patents with claims that cover our current and future products or product candidates in the United States or in other countries. Our pending patent applications at the Patent Cooperation Treaty (the “PCT”) are not eligible to become issued patents until, among other things, we file a national stage patent application within 30 months in the countries in which we seek patent protection. If we do not timely file any national stage patent applications, we may lose our priority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82"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date with respect to our PCT patent applications and any patent protection on the inventions disclosed in such PCT patent applications. We cannot guarantee any current or future patents will provide us with any meaningful protection or competitive advantage. For example, any issued patents might not cover the pharmaceutical composition of the product or product candidate that is ultimately commercialized. There is no assurance that all of the potentially relevant prior art relating to our patents and patent applications has been found, which can prevent a patent from issuing from a pending patent application or be used to invalidate an issued patent. The examination process may require us to narrow our claims, which may limit the scope of patent protection that we may ultimately obtain. Even if patents do successfully issue and even if such patents cover our current and future products and product candidates, third parties may challenge their validity, enforceability or scope, which may result in such patents being narrowly construed, invalidated, or held unenforceable, any of which could limit our ability to prevent competitors and other third parties from developing and marketing similar products or product candidates or limit the length of terms of patent protection we may have for our products, product candidates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products or product candidates, or practicing our own patented technology, or impose a substantial royalty burden to do so. Any successful opposition to these patents or any other patents owned by or licensed to us could deprive us of rights necessary for the successful commercialization of any products or, if approved, product candidates. Further, if we encounter delays in regulatory approvals, the period of time during which we could market a product or product candidate under patent protection could be reduced. If any of our patents are challenged, invalidated, circumvented by third parties or otherwise limited or expire prior to the commercialization of our products or, if approved, product candidates, and if we do not own or have exclusive rights to other enforceable patents protecting our products, product candidates or other technologies, competitors and other third parties could market products or product candidates and use processes that are substantially similar to, or superior to, ours and our business would suffer.</w:t>
      </w:r>
    </w:p>
    <w:p>
      <w:pPr>
        <w:spacing w:after="0" w:line="296"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patent applications we hold or have in-licensed with respect to our products or product candidates fail to issue, if their breadth or strength of protection is threatened, or if they fail to provide meaningful exclusivity for our current and future products or product candidates, it could dissuade companies from collaborating with us to develop product candidates, and threaten our ability to commercialize our products. Any such outcome could have a materially adverse effect on our business. Our pending patent applications cannot be enforced against third parties practicing the technology claimed in such applications unless and until a patent issues from such applications.</w:t>
      </w:r>
    </w:p>
    <w:p>
      <w:pPr>
        <w:spacing w:after="0" w:line="7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standards that the U.S. Patent and Trademark Office (the “USPTO”) and its counterparts in other countries use to grant patents are not always applied predictably or uniformly. In addition, the laws of countries other than the United States may not protect our rights to the same extent as the laws of the United States, and many companies have encountered significant problems in protecting and defending such rights in such jurisdictions. For example, European patent law restricts the patentability of methods of treatment of the human body more than United States law does.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technologies and such parties may have filed or may file patent applications, or may have received or may receive patents, claiming inventions that may overlap or conflict with those claimed in our own or licensed patent applications or issued patents. Furthermore,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82"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products or product candidates, in whole or in part, or which effectively prevent others from commercializing competitive technologies, products and product candidates. Changes in either the patent laws or interpretation of the patent laws in the United States and other countries may diminish the value of our patents or narrow the scope of our patent protection.</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Patent reform legislation in the United States, including the Leahy-Smith America Invents Act (“the Leahy-Smith Act”), could increase those uncertainties and costs surrounding the prosecution of our patent applications and the enforcement or defense of our issued patents. The Leahy-Smith Act was signed into law on September 16, 2011 and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After March 15,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The Leahy-Smith Act and its implementation could increase the uncertainties and costs surrounding the prosecution of our patent applications, our ability to obtain future patents, and the enforcement or defense of our issued patents, all of which could harm our business, financial condition, results of operations and prospects.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the courts or patent offices in the United States and abroad. We are currently and may in the future be subject to third-party pre-issuance submissions of prior art to the USPTO or its equivalents and we or our licensors have in the past, and may in the future,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in the U.S. or in other jurisdictions challenging our patent rights or the patent rights of others. A third-party may also claim that our owned or licensed patent rights are invalid or unenforceable in a litigation. For example, three U.S. patents (U.S. Patent Nos. 8,058,069, 9,364,435 and 9,404,127) relating to lipid nanoparticle molar ratios and the aggregation of lipid nanoparticles that Genevant Sciences GmbH, as assignee of Genevant Sciences Ltd. (“Genevant”), exclusively licensed from Arbutus Biopharma Corp. (“Arbutus”) were the subject of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brought by Moderna Therapeutics, Inc. (“Moderna”) before the Patent Trial and Appeal Board of the USPTO (“PTAB”). The PTAB upheld all claims of U.S. Patent No. 8,058,069, invalidated some of the claims of U.S. Patent No. 9,364,435 and invalidated all claims of U.S. Patent No. 9,404,127. The United States Court of Appeals for the Federal Circuit (the “Federal Circuit”) heard oral arguments with respect to U.S. Patent Nos. 8,058,069 and 9,364,435 in October 2021. On December 1, 2021, the Federal Circuit issued decisions in both proceedings. The Federal Circuit affirmed the PTAB’s decision that upheld all claims of U.S. Patent 8,058,069. The Federal Circuit affirmed the PTAB’s decision invalidating certain claims of U.S. Patent 9,364,435 but dismissed Moderna’s appeal with respect to those claims that the PTAB upheld for lack of standing. The Federal Circuit vacated and remanded the PTAB’s decision on U.S. Patent No. 9,494,127. The PTAB’s decision with respect to U.S. Patent No. 9,494,127 had been held in administrative abeyance pending a review following a recent Supreme Court ruling in an unrelated case. The matter is now pending before the Federal Circuit and briefing is complete. We expect that the Federal Circuit will schedule oral arguments to take place later this calendar year. Additionally, one European patent (EU patent no. EP2279254) relating to lipid nanoparticle molar ratios that Genevant exclusively licensed from Arbutus is the subject of an opposition proceeding brought by Merck Sharp &amp; Dohme Corporation and Moderna at the European Patent Office Opposition Division. Genevant may commence litigation at any time to enforce its patent rights against infringers.</w:t>
      </w:r>
    </w:p>
    <w:p>
      <w:pPr>
        <w:spacing w:after="0" w:line="19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An adverse determination in any such submission, proceeding or litigation could reduce the scope of, or invalidate, our patent rights, allow third parties to commercialize our technology, products or product candidates and compete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40"/>
          </w:cols>
          <w:pgMar w:left="320" w:top="482"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directly with us, without payment to us, result in our inability to manufacture or commercialize products and, if approved, product candidates without infringing third-party patent rights or result in our breach of agreements pursuant to which we license such rights to our collaborators or licensees. In addition, if the breadth or strength of protection provided by our patents and patent applications is threatened, it could dissuade companies from collaborating with us to license, develop or commercialize current or future products or product candidates. Such challenges may result in loss of exclusivity or freedom to operate or in patent claims being narrowed, invalidated or held unenforceable, in whole or in part, which could limit our ability to stop others from using or commercializing similar or identical technology, products and product candidates, or limit the duration of the patent protection of our technology, products and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owned and licensed patents and pending patent applications, if issued, may not provide us with any meaningful protection or prevent competitors from designing around our patent claims to circumvent our owned or licensed patents by developing similar or alternative technologies or therapeutics in a non-infringing manner. For example, a third-party may develop a competitive product that provides benefits similar to one or more of our products or product candidates but that falls outside the scope of our patent protection. Moreover, patents have a limited lifespan. In the United States, the natural expiration of a patent is generally 20 years after it is filed. Various extensions may be available; however the life of a patent, and the protection it affords, are limited. Without patent protection for our current or future products and product candidates, it may be open to competition from generic versions of such products or product candidates.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 candidates similar or identical to our own and, which could have a material adverse effect on our business, financial condition, results of operations and prospects.</w:t>
      </w:r>
    </w:p>
    <w:p>
      <w:pPr>
        <w:spacing w:after="0" w:line="29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and their scope may be inadequate to protect our competitive position on current and future products and product candidates for an adequate amount of time.</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In certain instances, the patent term may be adjusted to add additional days to compensate for delays incurred by the USPTO in issuing the patent. Also, the patent term may be extended for a period of time to compensate for at least a portion of the time a product or product candidate was undergoing FDA regulatory review. However, the life of a patent, and the protection it affords, are limited. Even if patents covering products or product candidates are obtained, once the patent life has expired, we may be open to competition from other products or product candidates, including generics or biosimilars. Given the amount of time required for the development, testing and regulatory review of new products and product candidates, patents protecting such candidates might expire before or shortly after such candidates are commercialized. For example, the patent covering the use of VTAMA as an active ingredient to treat psoriasis and atopic dermatitis, but not limited to any formulation, expired in December 2020. As a result, our owned and licensed patent portfolio may not provide us with sufficient rights to exclude others from commercializing product candidates similar or identical to our products and product candidates.</w:t>
      </w:r>
    </w:p>
    <w:p>
      <w:pPr>
        <w:spacing w:after="0" w:line="298"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and may not in the future own or license any issued composition of matter patents covering certain of our products or product candidates, including VTAMA, and we cannot be certain that any of our other issued patents will provide adequate protection for such products or product candidates.</w:t>
      </w:r>
    </w:p>
    <w:p>
      <w:pPr>
        <w:spacing w:after="0" w:line="67"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Composition-of-matter patents on the active pharmaceutical ingredient (“API”) in prescription drug products are generally considered to be the strongest form of intellectual property protection for drug products because those types of patents provide protection without regard to any particular method of use or manufacture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or formulation of the API used. While we generally seek composition of matter patents for our products and product candidates, such patents may not be available for all of our products and product candidates. For example, we do not own or have a license to any issued composition of matter patents in the United States or any other jurisdiction with respect to VTAMA. Instead, we rely on an issued U.S. patent claiming topical formulations of VTAMA, including the formulation studied in Phase 3 trials and approved by the FDA, and an issued U.S. patent covering methods of using the patented topical formulations to treat inflammatory diseases, including psoriasis and atopic dermatitis. The formulation and method-of-use patents have natural expiration dates in 2036. We additionally rely on a drug substance (“DS”) patent covering the high purity commercial crystal form of the DS, the commercial DS synthesis and several novel intermediates that are formed in the synthesis, which has a natural expiration date in 2038.</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Method-of-use patents protect the use of a product for the specified method and formulation patents cover formulations of the API. These types of patents do not prevent a competitor or other third-party from developing or marketing an identical product for an indication that is outside the scope of the patented method or from developing a different formulation that is outside the scope of the patented formulation.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this type of infringement is difficult to prevent or prosecute.</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owned and licensed patents and pending patent applications, if issued, may not adequately protect our intellectual property or prevent competitors or others from designing around our patent claims to circumvent our owned or licensed patents by developing similar or alternative technologies or therapeutics in a non-infringing manner. If the breadth or strength of protection provided by the patents and patent applications we own or license with respect to our products and product candidates is not sufficient to impede such competition or is otherwise threatened, it could dissuade companies from collaborating with us to develop, and threaten our ability to commercialize, our products and, if approved, product candidates. Any of the foregoing could have a material adverse effect on our business, financial condition, results of operations and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by extending the patent term, our business may be harmed.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commercial success will largely depend on our ability to obtain and maintain patent and other intellectual property in the United States and other countries with respect to our proprietary technology, products, product candidates and our target indications. Given the amount of time required for the development, testing and regulatory review of products and product candidates, patents protecting our products and product candidates might expire before or shortly after such candidate begins to be commercialized. We expect to seek extensions of patent terms in the United States and, if available, in other countries where we are prosecuting patents.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product candidates, one or more of our U.S. patents may be eligible for a limited patent term extension (“PTE”)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cannot extend the remaining term of a patent beyond a total of 14 years from the date of product approval and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82"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for a given product or product candidate.</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 candidates following our patent expiration and launch their product earlier than might otherwise be the case.</w:t>
      </w:r>
    </w:p>
    <w:p>
      <w:pPr>
        <w:spacing w:after="0" w:line="280"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as a result of non-compliance with these requirements.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other patent agencies in other jurisdictions in several stages over the lifetime of the patent. The USPTO and various national or international patent agencies require compliance with a number of procedural, documentary, fee payment and other similar provisions during the patent application process. In certain circumstances, we rely on our licensing partners to pay these fees due to U.S. and non-U.S. patent agencies and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applications, failure to respond to official actions within prescribed time limits, non-payment of fees and failure to properly legalize and submit formal documents. If we or our licensors fail to maintain the patents and patent applications covering our current and future products and product candidates, our competitors might be able to enter the market earlier than anticipated, which would have an adverse effect on our business.</w:t>
      </w:r>
    </w:p>
    <w:p>
      <w:pPr>
        <w:spacing w:after="0" w:line="296"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in-licensed patents and other intellectual property rights in connection with our development of certain products and product candidates and, if we fail to comply with our obligations under our existing and any future intellectual property licenses with third parties, we could lose license rights that are important to our business.</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ability to commercialize products and develop and eventually, if approved, commercialize product candidates is dependent on licenses to patent rights and other intellectual property granted to it by third parties. Further, development and commercialization of our current and future products and product candidates may require us to enter into additional license or collaboration agreements.</w:t>
      </w:r>
    </w:p>
    <w:p>
      <w:pPr>
        <w:spacing w:after="0" w:line="176"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current license agreements impose, and future agreements may impose, various development, diligence, commercialization and other obligations on us and require us to meet development timelines, or to exercise commercially reasonable efforts to develop and commercialize licensed products, in order to maintain the licenses. If we fail to comply with our obligations under these licenses, our licensors may have the right to terminate these license agreements, in which event we may not be able to market our products and product candidates. Termination of any of our license agreements or reduction or elimination of our licensed rights may also result in our having to negotiate new or reinstated licenses with less favorable terms. Additionally,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80"/>
          </w:cols>
          <w:pgMar w:left="320" w:top="482" w:right="4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which could harm our business, financial condition, results of operations and prospects. For example, disputes may arise with respect to our current or future licensing agreement include disputes relating to:</w:t>
      </w:r>
    </w:p>
    <w:p>
      <w:pPr>
        <w:spacing w:after="0" w:line="67"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products or product candidates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agreements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our products and product candidates. If our licenses are terminated, we may lose our rights to develop and market our technology, products and product candidates, lose patent protection for our products, product candidates and technology, experience significant delays in the development and commercialization of our products and product candidates, or incur liability for damages. In addition, we may need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and product candidates.</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products and product candidates. Moreover, if disputes over intellectual property that we license prevent or impair our ability to maintain other licensing arrangements on commercially acceptable terms, we may be unable to successfully develop and commercialize the affected products or product candidates. In addition, certain of these license agreements, may not be assignable by us without the consent of the respective licensor, which may have an adverse effect on our ability to engage in certain transactions. Any of the foregoing could have a material adverse effect on our business, financial condition, results of operations and prospects.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in some circumstances, we may not have the right to control the preparation, filing and prosecution of patent applications, or to maintain or enforce the patents, covering technology that it licenses from third parties. Therefore, we cannot be certain that these or other patents will be prosecuted, maintained and enforced in a manner consistent with the best interests of our business. Additionally, we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 If our current or future licensors or collaboration partners fail to obtain, maintain, defend, protect or enforce any patents or patent applications licensed to us, our rights to such patents and patent applications may be reduced or eliminated and our right to develop and commercialize products and product candidates that are the subject of such licensed rights could be adversely affected.</w:t>
      </w:r>
    </w:p>
    <w:p>
      <w:pPr>
        <w:spacing w:after="0" w:line="19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Furthermore, certain of our current and future licenses may not provide us with exclusive rights to use the licensed intellectual property and technology, or may not provide us with rights to use such intellectual property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82"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and technology in all relevant fields of use and in all territories in which we may wish to develop or commercialize our technology, products and product candidates in the future. The intellectual property portfolio licensed to us by our licensors at least in some respects, may therefore be used by such licensors or licensed to third parties, and such third parties may have certain enforcement rights with respect to such intellectual property. For example, Immunovant does not have rights to develop, manufacture, use or commercialize batoclimab or file or enforce patents relating to these assets in territories other than the United States, Canada, Mexico, the EU, the U.K., Switzerland, the Middle East, North Africa and Latin America, as such rights in other jurisdictions have been retained by HanAll Biopharma Co., Ltd. (“HanAll”) or licensed by HanAll to third parties. Additionally, Dermavant does not have the right to develop, manufacture, use or commercialize VTAMA in China, including Hong Kong, Macau or Taiwan, as such rights were retained by Welichem Biotech Inc. or licensed to third parties.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296"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or litigation alleging infringement, misappropriation or other violations of third-party patents or other proprietary rights or seeking to invalidate our patents or other proprietary rights, may delay or prevent the development and commercialization of our current and future products and product candidates.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avoidance of infringement, misappropriation and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Our competitors or other third parties may assert infringement claims against us, alleging that our products or product candidates are covered by their patents. We cannot be certain that we do not infringe existing patents or that we will not infringe patents that may be granted in the future.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before the USPTO, as well as oppositions and similar processes in other jurisdictions. Numerous U.S. and non-U.S.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the risk increases that our products, product candidates or other business activities may be subject to claims of infringement of the patent and other proprietary rights of third parties. Third parties may assert that we are infringing their patents or employing their proprietary technology without authorization. There may be third-party patents or patent applications with claims to materials, formulations, methods of manufacture or methods for treatment related to the use or manufacture of our products or product candidates. We could also be required to pay damages, which could be significant, including treble damages and attorneys’ fees if we are found to have willfully infringed such patents.</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because patent applications can take many years to issue, there may be currently pending patent applications which may later result in issued patents that our products or product candidates may infringe. In addition, third parties may obtain patents in the future and claim that use of our technologies infringes upon these patents. If any third-party patents were held by a court of competent jurisdiction to cover any of our products or product candidates, the holders of any such patents may be able to block our ability to commercialize such products or, if approved, product candidates,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product or, if approved, product candidate, unless we obtained a license or until such patent expires. In either case, such a license may not be available on commercially reasonable terms or at all. Claims that we have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82"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misappropriated the confidential information or trade secrets of third parties could have a similar negative impact on our business.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which could be time-consuming and divert the attention of senior management.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products or, if approved, product candidates. Defense of these claims, regardless of their merit, would involve substantial litigation expense and would be a substantial diversion of employee resources from our business. In the event of a successful infringement or other intellectual property claim against it, we may have to pay substantial damages, including treble damages and attorneys’ fees for willful infringement, obtain one or more licenses from third parties, pay royalties or redesign our affected products or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products or, if approved, product candidates, and we have done so from time to time. We may fail to obtain any of these licenses at a reasonable cost or on reasonable terms, if at all. In that event, we would be unable to further develop and commercialize one or more of our products or, if approved, product candidates, which could harm our 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and/or other forms of compensation to third parties.</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intellectual property litigation more effectively than we can because the competitors have substantially greater financial and other resources. In addition, intellectual property litigation, regardless of its outcome, may cause negative publicity, adversely impact prospective customers, cause product shipment delays or prohibit us from manufacturing, marketing or otherwise commercializing our products or, if approved, product candidates. Any uncertainties resulting from the initiation and continuation of any litigation could adversely impact our ability to raise additional funds or otherwise harm our business, results of operation, financial condition or cash flows.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harm our ability to develop and market our products and product candidates.</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or may be relevant to or necessary for the commercialization of products or product candidates in any jurisdiction. Patent applications in the United States and elsewhere are not published until approximately 18 months after the earliest filing for which priority is claimed, with such earliest filing date being commonly referred to as the priority date. In addition, U.S. patent applications filed before November 29, 2000 and certain U.S. patent applications filed after that date that will not be filed outside the United States remain confidential until patents issue. Therefore, patent applications covering our products and product candidates could have been filed by others without our knowledge. Additionally, pending patent applications that have been published can, subject to certain limitations, be later amended in a manner that could cover our current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82"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and future products and product candidates, or the use thereof, provided such pending patent applications result in issued patents. Our ability to develop and market our current and future products and product candidate can be adversely affected in jurisdictions where such patents are issued.</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if approved, product candidates. We may incorrectly determine that our products or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and we may incorrectly conclude that a third-party patent is invalid or unenforceable. Our failure to identify and correctly interpret relevant patents may negatively impact our ability to develop and market our current and future products and, if approved, product candidates.</w:t>
      </w:r>
    </w:p>
    <w:p>
      <w:pPr>
        <w:spacing w:after="0" w:line="189" w:lineRule="exact"/>
        <w:rPr>
          <w:sz w:val="20"/>
          <w:szCs w:val="20"/>
          <w:color w:val="auto"/>
        </w:rPr>
      </w:pPr>
    </w:p>
    <w:p>
      <w:pPr>
        <w:jc w:val="both"/>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or, if approved, product candidates, that are held to be infringing.</w:t>
      </w:r>
    </w:p>
    <w:p>
      <w:pPr>
        <w:spacing w:after="0" w:line="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might, if possible, also be forced to redesign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the patents of our licensors or our other intellectual property rights, which could be expensive, time consuming and unsuccessful.</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Competitors may infringe, misappropriate or otherwise violate our patents, the patents of our licensors or our other intellectual property rights. To counter infringement or unauthorized use, we may be required to file and prosecute legal claims against one or more third parties, which can be expensive and time-consuming, even if ultimately successful. For example, in February 2022, Roivant’s subsidiary, Genevant Sciences, and Arbutus Biopharma Corporation filed a lawsuit in the U.S. District Court for the District of Delaware against Moderna, Inc. and an affiliate seeking damages for infringement of U.S. Patent Nos. 8,058,069, 8,492,359, 8,822,668, 9,364,435, 9,504,651, and 11,141,378 in the manufacture and sale of MRNA-1273, Moderna’s vaccine for COVID-19 (the “Moderna Action”). In addition, in March 2022, Acuitas Therapeutics Inc. filed a lawsuit in the United States District Court for the Southern District of New York against Genevant Sciences and Arbutus Biopharma Corporation seeking a declaratory judgment that U.S. Patents 8,058,069, 8,492,359, 8,822,668, 9,006,417, 9,364,435, 9,404,127, 9,504,651, 9,518,272, and 11,141,378 are not infringed by the manufacture, use, offer for sale, sale or importation into the United States of COMIRNATY, Pfizer’s and BioNTech’s vaccine for COVID-19 and are otherwise invalid (the “Acuitas Action”).</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an infringement proceeding, a court may decide that a patent of ours or our licensors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suits, including the Moderna Action and the Acuitas Action, will ultimately be resolved successfully.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or could put our patent applications at risk of not issuing. The initiation of a claim against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82"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third-party may also cause the third-party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third-party. If a defendant were to prevail on a legal assertion of invalidity or unenforceability, we would lose at least part, and perhaps all, of any future patent protection on our current or future products or product candidates. Such a loss of patent protection could harm our business. Additionally, any adverse outcome could allow third parties to commercialize our products and compete directly with us, without payment to us, or result in our inability to manufacture or commercialize products without infringing third-party patent rights.</w:t>
      </w:r>
    </w:p>
    <w:p>
      <w:pPr>
        <w:spacing w:after="0" w:line="197"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Even if we establish infringement, we may not seek, or the court may decide not to grant, an injunction against further infringing activity and instead award only monetary damages, which may or may not be an adequate remedy. We may not be able to detect or prevent, alone or with our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the Moderna Action, the Acuitas Action or any other such litigation or proceedings. Some of our competitors or other third parties may be able to sustain the costs of such litigation or proceedings more effectively than we can because of their greater financial resources. 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293"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many of the patents we own or have licensed are owned or licensed by our subsidiaries, and in certain cases by subsidiaries that are not or will not be directly commercializing products, we may not be in a position to obtain a permanent injunction against a third-party that is found to infringe our patents.</w:t>
      </w:r>
    </w:p>
    <w:p>
      <w:pPr>
        <w:spacing w:after="0" w:line="67"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Many patents that we own or have licensed are assigned to or licensed by our direct or indirect subsidiaries. For example, any patents that Immunovant has licensed are assigned to its wholly-owned subsidiary Immunovant Sciences GmbH and any patents that Dermavant owns or has licensed are assigned to its wholly-owned subsidiary Dermavant Sciences GmbH. If a third-party is found to be infringing such patents, we and our direct subsidiaries may not be able to permanently enjoin the third-party from making, using, offering for sale or selling the infringing product or activity for the remaining life of such patent in the United States or other jurisdictions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82"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when the patent is assigned to a subsidiary, which is not the entity that is or would be commercializing a potentially competitive product or service. In such a circumstance, such third-party may be able to compete with us or our subsidiaries, which could have a material adverse effect on our competitive position, business, financial condition, results of operations and prospects.</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products and product candidates.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Obtaining and enforcing patents in the biopharmaceutical industry involves both technological and legal complexity and is therefore costly, time consuming and inherently uncertain. Changes in either the patent laws or interpretation of the patent laws in the United States or USPTO rules and regulations could increase the uncertainties and costs.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United States has recently enacted and implemented wide-ranging patent reform legislation. In addition, patent reform legislation may pass in the future that could lead to additional uncertainties and increased costs surrounding the prosecution, enforcement and defense of our patents and pending patent applications.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For example, the Biden administration has indicated its support for a proposal at the World Trade Organization to waive patent rights with respect to COVID-19 vaccines. Any waiver of our patent or other intellectual property protection by the U.S. and other foreign governments, including with respect to Genevant’s licensed lipid nanoparticle (“LNP”) delivery technology as used in connection with messenger RNA vaccine delivery, could have a material adverse effect on our competitive position, business, financial condition, results of operations and prospects.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non-U.S. legislative bodies. Those changes may materially affect our patents or patent applications and our ability to obtain additional patent protection in the future.</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For example, the research resulting in certain of our acquired or in-licensed patent rights and technology for certain products or product candidates was funded in part by the U.S. federal government. As a result, the federal government may have certain rights to such patent rights and technology, which include march-in rights. If the federal government decides to exercise these rights, it is not required to engage us as its contractor in connection with doing so. The federal government’s rights may also permit it to disclose our confidential information to third parties and to exercise march-in rights to use or allow third parties to use our licensed technology. The federal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Further, the recipient of U.S. government funding is required to comply with</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82"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certain other requirements, including timely disclosing the inventions claimed in such patent rights to the U.S. government and timely electing title to such inventions. The U.S. government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our rights in such inventions may be subject to certain requirements to manufacture products or product candidates embodying such inventions in the United States. We cannot be certain that our current or future licensors will comply with the disclosure or reporting requirements of the Bayh-Dole Act at all times or be able to rectify any lapse in compliance with these requirements. Any exercise by the government of any of the foregoing rights or by any third-party of its reserved rights could have a material adverse effect on our competitive position, business, financial condition, results of operations and prospects.</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scope and enforceability of any patents listed in the Orange Book that cover our products or product candidates, or patents that cover our biologic product candidates, can be challenged by third parties.</w:t>
      </w:r>
    </w:p>
    <w:p>
      <w:pPr>
        <w:spacing w:after="0" w:line="51"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7"/>
          <w:szCs w:val="17"/>
          <w:color w:val="auto"/>
        </w:rPr>
        <w:t>If a third-party files an application under Section 505(b)(2) or an abbreviated new drug application (“ANDA”) under Section 505(j) with respect to any of our products or, if approved, product candidates, for a generic product containing any of our products or product candidates, including VTAMA (which, following the natural expiration of our method of use patent family, will be protected only by our formulation patent), and relies in whole or in part on studies conducted by or for us, the third-party will be required to certify to the FDA that either: (1) there is no patent information listed in the Orange Book with respect to our NDA for the applicable product or, if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under 21 CFR</w:t>
      </w:r>
    </w:p>
    <w:p>
      <w:pPr>
        <w:spacing w:after="0" w:line="2" w:lineRule="exact"/>
        <w:rPr>
          <w:sz w:val="20"/>
          <w:szCs w:val="20"/>
          <w:color w:val="auto"/>
        </w:rPr>
      </w:pPr>
    </w:p>
    <w:p>
      <w:pPr>
        <w:ind w:left="120" w:right="140" w:hanging="4"/>
        <w:spacing w:after="0" w:line="252" w:lineRule="auto"/>
        <w:tabs>
          <w:tab w:leader="none" w:pos="2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314.94(a)(12)(i)(A)(4) that the new product will not infringe the Orange Book-listed patents for the applicable product or, if approved, product candidate, or that such patents are invalid, is called a 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45-day period, the third-party’s ANDA will not be subject to the 30-month stay of FDA approval.</w:t>
      </w:r>
    </w:p>
    <w:p>
      <w:pPr>
        <w:spacing w:after="0" w:line="188"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Moreover, a third-party may challenge the current patents, or patents that may issue in the future, within our portfolio, which could result in the invalidation of some or all of the patents that might otherwise be eligible for listing in the Orange Book for one of our products. If a third-party successfully challenges all of the patents that might otherwise be eligible for listing in the Orange Book for one of our products before an ANDA or 505(b)(2) NDA is filed we will be unable to obtain a 30-month stay of FDA approval of a 505(b)(2) or ANDA.</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example, our three issued U.S. patents covering VTAMA may not provide adequate protection from competitive products developed by 505(b)(1) NDA, 505(b)(2) NDA or 505(j) ANDA applicants containing paragraph IV certifications if such applicants are able to design around the three patents. One or more competitors may circumvent these patents by filing a marketing application with the FDA under Sections 505(b)(2) or 505(j) of the Federal Food, Drug and Cosmetic Act containing a paragraph IV certification for a competitive product containing the active moiety in VTAMA and successfully challenging the validity of the three patents or successfully designing around the three patents. Any successful challenge against the three patents and/or designing around one or more of the patents could result in a generic version of VTAMA being commercialized before the expiration of the three patents. If the three patents are successfully challenged or designed around, our business, results of operations, financial condition and prospects would be harmed.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82"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biologics, the BPCIA provides a mechanism for one or more third parties to seek FDA approval to manufacture or sell a biosimilar or interchangeable versions of brand name biological product candidates. Due to the large size and complexity of biological product candidates, as compared to small molecules, a biosimilar must be “highly similar” to the reference product with “no clinically meaningful differences between the two.” The BPCIA does not require reference product sponsors to list patents in the FDA’s Orange Book and does not include an automatic 30-month stay of FDA approval upon the timely filing of a lawsuit. The BPCIA, however, does require a formal pre-litigation process which includes the exchange of information between a biosimilar applicant and a reference biologic sponsor that includes the identification of relevant patents and each parties’ basis for infringement and invalidity. After the exchange of this information, we may then initiate a lawsuit within 30 days to defend the patents identified in the exchange. If the biosimilar applicant successfully challenges the asserted patent claims, it could result in the invalidation of, or render unenforceable, some or all of the relevant patent claims or result in a finding of non-infringement.</w:t>
      </w:r>
    </w:p>
    <w:p>
      <w:pPr>
        <w:spacing w:after="0" w:line="18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we are unsuccessful in enforcing our patents against generics or biosimilars, our products could face competition prior to the expiration of the patents which cover such products, which could have a material adverse effect on our business, financial condition, results of operations and prospects. Furthermore, any such litigation or other proceedings to enforce or defend intellectual property rights are often very complex in nature, may be very expensive and time-consuming, may divert management’s attention from our core business, and may result in unfavorable results that could limit our ability to prevent third parties from competing with our products and product candidates.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Filing, prosecuting and defending patents on products and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developing countries, and the breadth of patent claims allowed can be inconsistent. In addition, the laws of some countries do not protect intellectual property rights to the same extent as laws of the United States.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Consequently, we may not be able to prevent third parties from practicing our inventions in all countries outside the United States, or from selling or importing product candidates made using our inventions in and into the United States or other jurisdictions. Competitors may use our technologies in jurisdictions where we have not obtained patent protection to develop their own products and product candidates and may also export infringing products and product candidates to territories where we have patent protection, but enforcement is not as strong as that in the United States. These product candidates may compete with our products or product candidates and our patents or other intellectual property rights may not be effective or sufficient to prevent them from competing.</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do not have patent rights in all countries in which a market may exist. Moreover, in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other countries products and product candidates and services that are the same as or similar to our products and product candidates, and our competitive position would be harmed.</w:t>
      </w:r>
    </w:p>
    <w:p>
      <w:pPr>
        <w:spacing w:after="0" w:line="187"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other jurisdictions. The legal systems of certain countries, particularly certain developing countries, do not favor the enforcement of patents, trade secrets, and other intellectual property protection, particularly those relating to biotechnology products and product candidates, which could make it difficult for us to stop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82"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infringement of our patents or marketing of competing products or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countries, including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any trade secrets, our business and competitive position would be harmed.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to seeking patents for our products and product candidates, we may rely on trade secrets, including unpatented software, know-how, technology and other proprietary information, to maintain our competitive position. We seek to protect this software and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w:t>
      </w:r>
    </w:p>
    <w:p>
      <w:pPr>
        <w:spacing w:after="0" w:line="183"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Because we rely and expect to continue to rely on third parties to manufacture our current and future products and product candidates, and we collaborate and expect to continue to collaborate with third parties on the development of current and future products and product candidates, we must, at times, share trade secrets with them. We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disclosure, either intentional or unintentional, by our employees, the employees of third parties with whom we share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the market. Further, adequate remedies may not exist in the event of unauthorized use or disclosure.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9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82"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certain limited publication rights. Policing unauthorized use of our or our licensors’ intellectual property is difficult, expensive and time-consuming, and we may be unable to determine the extent of any unauthorized use. Moreover, enforcing a claim that a party illegally disclosed or misappropriated a trade secret is difficult, expensive and time-consuming, and the outcome is unpredictable. In addition, some courts inside and outside the United States are less willing or unwilling to protect trade secrets. Despite our efforts to protect our trade secrets, our competitors and other third parties may discover our trade secrets, including our proprietary software, either through breach of our agreements with third parties, independent development or publication of information by any of our third-party collaborators. A competitor’s or other third-party’s discovery of our trade secrets, including our proprietary software, would impair our competitive position and have an adverse impact on our business.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cannot guarantee that we have entered into non-disclosure, confidentiality agreements, material transfer agreements or consulting agreements with each party that may have or have had access to our trade secrets or proprietary software, technology and processes. Despite these efforts, any of these parties may breach the agreements and disclose our proprietary information, including our trade secrets and proprietary software, and we may not be able to obtain adequate remedies for such breaches.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including our proprietary software, were to be lawfully obtained or independently developed by a competitor or other third-party, we would have no right to prevent them, or those to whom they communicate it, from using that technology or information to compete with us. If any of our trade secrets, including our proprietary software, were to be disclosed to or independently developed by a competitor or other third-party, our competitive position would be harmed.</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software utilized in our computational drug discovery efforts may include third-party open source software. Any failure to comply with the terms of one or more open source software licenses could adversely affect our business, subject us to litigation, or create potential liability.</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Certain software utilized in our computational drug discovery efforts may include third-party open source software and we expect to continue to incorporate open source software in the future. The use of open source software involves a number of risks, many of which cannot be eliminated and could negatively affect our business. For example, we cannot ensure that we have effectively monitored our use of open source software or that we are in compliance with the terms of the applicable open source licenses or our current policies and procedures. There have been claims against companies that use open source software asserting that the use of such open source software infringes the claimants’ intellectual property rights. As a result, we could be subject to suits by third parties claiming infringement on such third parties’ intellectual property rights. Litigation could be costly for us to defend, have a negative effect on our business, financial condition and results of operations, or require us to devote additional research and development resources to modify our computational drug discovery platform.</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Use of open source software may entail greater risks than use of third-party commercial software, as open source licensors generally do not provide warranties, controls on the origin of the software or other contractual protections regarding infringement claims or the quality of the code, including with respect to security vulnerabilities.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have not been interpreted by courts in the relevant jurisdictions, and there is a risk that such licenses could be construed in a manner that imposes unanticipated conditions or restrictions on our ability to market our solutions. By the terms of certain open source licenses, if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82"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portions of our proprietary software are determined to be subject to an open source license or if we combine our proprietary software with open source software in a certain manner, we could be required to release the source code of our proprietary software and to make our proprietary software available under open source licenses, each of which could reduce or eliminate the effectiveness of our computational discovery efforts. We may also face claims alleging noncompliance with open source license terms or misappropriation or other violation of open source technology. Any of these events could create liability for us and damage our reputation, which could have a material adverse effect on our competitive position, business, financial condition, results of operations and prospects.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5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or other software, biotechnology or pharmaceutical companies, including our licensors, competitors or potential competitors. Although we seek to protect our ownership of intellectual property rights by ensuring that our agreements with our employees, collaborators and other third parties with whom we do business include provisions requiring such parties to not use the confidential information of their former employer, we may be subject to claims that we or our employees, consultants, independent contractors or other third parties have inadvertently or otherwise used or disclosed confidential information of our employees’ former employers or other third parties. We may also be subject to claims that former employers or other third parties have an ownership interest in our owned or licensed patents or patent applications.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which could limit our ability to stop others from using or commercializing similar technology and therapeutics, without payment to us, could limit the duration of the patent protection covering our technology, products and product candidates and could result in our inability to develop, manufacture or commercialize our products and product candidates without infringing third-party patent rights. Such intellectual property rights could be awarded to a third-party, and we could be required to obtain a license from such third-party to commercialize our current or future products and product candidates. Such a license may not be available on commercially reasonable terms or at all. Even if we are successful, litigation could result in substantial cost and be a distraction to our management and other employees. Moreover, any such litigation or the threat thereof may harm our reputation, our ability to form strategic alliances or sublicense our rights to collaborators, engage with scientific advisors or hire employees or consultants, each of which would harm our business, results of operations and financial condition.</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rely on a combination of internally developed and in-licensed intellectual property rights and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 third parties who are involved in developing our products and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products or product candidates. Even if we are successful in defending against such claims, litigation could result in substantial costs and be a distraction to management and other employees. Any of the foregoing could harm our business, financial condition, results of operations and prospects.</w:t>
      </w:r>
    </w:p>
    <w:p>
      <w:pPr>
        <w:spacing w:after="0" w:line="188"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contractors and other third parties who may be involved in the development of intellectual property to execute agreements assigning such intellectual property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82"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us, we may be unsuccessful in executing such an agreement with each party who in fact develops intellectual property that we regard as our own. Our invention assignment agreements may not be self-executing or may be breached, and we may not have adequate remedies for any such breach. Additionally,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third-party, such as an academic institution, and thus an agreement with us may be ineffective in perfecting ownership of inventions developed by that individual.</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 and have a harmful effect on the success of our business.</w:t>
      </w:r>
    </w:p>
    <w:p>
      <w:pPr>
        <w:spacing w:after="0" w:line="5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including the Moderna Action and the Acuitas Action,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adversely impact the price of our Common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7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Accordingly, despite our efforts, we may not be able to prevent third parties from infringing upon or misappropriating our intellectual property. In addition, the uncertainties associated with litigation could compromise our ability to raise the funds necessary to pursue our commercialization efforts, continue our clinical trials and internal research programs or in-license needed technology or other future product candidates. Uncertainties resulting from the initiation and continuation of patent litigation or other proceedings could compromise our ability to compete in the marketplace, including compromising our ability to raise the funds necessary to pursue our commercialization efforts, continue our clinical trials, continue our research programs, license necessary technology from third parties, or enter into development collaborations that would help us commercialize our products or, if approved, product candidates. Any of the foregoing could harm our business, financial condition, results of operations and prospects.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intellectual property rights to future product candidates through acquisitions and in-licenses.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third-party may hold intellectual property, including patent rights, that are important or necessary to the development of our product candidates. Accordingly, we may seek to acquire or in-license patented or proprietary technologies to develop such product candidates or to grow our product offerings and technology portfolio. However, we may be unable to acquire or in-license intellectual property rights relating to, or necessary for, any such product candidate or technology from third parties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In that event, we may be unable to develop or commercialize such product candidates or technology. We may also be unable to identify product candidates or technology that we believe are an appropriate strategic fit for our company and protect intellectual property relating to, or necessary for, such product candidate and technology.</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for any future product candidate is a competitive area, and a number of more established companies are also pursuing strategies to in-license or acquire third-party intellectual property rights for product candidates that we may consider attractive or necessary. These established companies may have a competitive advantage over us due to their size, cash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82"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resources and greater clinical development and commercialization capabilities. Furthermore, companies that perceive us to be a competitor may be unwilling to assign or license rights to us. If we are unable to successfully obtain rights to additional technologies or product candidates, our business, financial condition, results of operations and prospects for growth could suffer.</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we expect that competition for the in-licensing or acquisition of third-party intellectual property rights for any future product candidate and technologies that are attractive to us may increase in the future, which may mean fewer suitable opportunities for us as well as higher acquisition or licensing costs. We may be unable to in-license or acquire the third-party intellectual property rights for product candidates or technology on terms that would allow us to make an appropriate return on our investment.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successfully challenged, resulting in harm to our business.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rely on trademarks as one means to distinguish our products from the products and product candidates of our competitors. Our current and future trademark applications in the United States and in other jurisdictions may not be allowed or may subsequently be opposed, challenged, infringed, circumvented, declared generic or determined to be infringing other marks. Additionally, once we select new trademarks and apply to register them, our trademark applications may not be approved. Third parties have in the past opposed, are currently opposing and may in the future oppose or attempt to cancel our trademark applications or trademarks, or otherwise challenge our use of the trademarks. In the event that our trademarks are successfully challenged, we could be forced to rebrand products or product candidates,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Once granted, patents may remain open to invalidity challenges including opposition, interference,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166"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addition, 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82"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Moreover, if a third-party has intellectual property rights that cover the practice of our technology, we may not be able to fully exercise or extract value from our intellectual property rights. The following examples are illustrative:</w:t>
      </w:r>
    </w:p>
    <w:p>
      <w:pPr>
        <w:spacing w:after="0" w:line="67" w:lineRule="exact"/>
        <w:rPr>
          <w:sz w:val="20"/>
          <w:szCs w:val="20"/>
          <w:color w:val="auto"/>
        </w:rPr>
      </w:pPr>
    </w:p>
    <w:p>
      <w:pPr>
        <w:ind w:left="1080" w:right="4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formulations or compositions that are the same as or similar to our products or product candidates, but that are not covered by the claims of the patents that we own;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 products or product candidates that we intend to commercialize that are not covered by the patents that we exclusively licensed and have the right to enforce;</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 or any collaborators might not have been the first to make or reduce to practice the inventions covered by the issued patents or pending patent applications that we own or have exclusively licensed;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or any collaborators might not have been the first to file patent applications covering certain of our inventions;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 and we may not develop additional proprietary technologies that are patentable;</w:t>
      </w:r>
    </w:p>
    <w:p>
      <w:pPr>
        <w:spacing w:after="0" w:line="8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performing manufacturing or testing for us using our products, product candidates or technologies could use the intellectual property of others without obtaining a proper license;</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may assert an ownership interest in our intellectual property and, if successful, such disputes may preclude us from exercising exclusive rights over that intellectual property;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necessary licenses on commercially reasonable terms, or at all;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third-party may subsequently file a patent application covering such intellectual property.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Securities, our Jurisdiction of Incorporation and Certain Tax Matters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performance does not meet market expectations, the price of our securities may decline.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our performance does not meet market expectations, the price of our Common Shares may decline. In addition, even if an active market for our Common Shares develops and continues, the trading price of our Common Shares could be volatile and subject to wide fluctuations in response to various factors, some of which are beyond our control. Prior to the Business Combination, there was not a public market for our Common Shares, and trading in our Common Shares was not active. Any of the factors listed below could have a material adverse effect on the price of our Common Shares.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80"/>
          </w:cols>
          <w:pgMar w:left="320" w:top="482" w:right="4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affecting the trading price of our Common Shares may include:</w:t>
      </w:r>
    </w:p>
    <w:p>
      <w:pPr>
        <w:spacing w:after="0" w:line="131" w:lineRule="exact"/>
        <w:rPr>
          <w:sz w:val="20"/>
          <w:szCs w:val="20"/>
          <w:color w:val="auto"/>
        </w:rPr>
      </w:pPr>
    </w:p>
    <w:p>
      <w:pPr>
        <w:ind w:left="1080" w:right="28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and annual financial results or the quarterly and annual financial results of companies perceived to be similar to 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market expectations in a particular period;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Vant’s operating results failing to meet market expectations in a particular period, which could impact the market prices of shares of a public Vant or the valuation of a private Vant, and in turn adversely impact the trading price of our Common Shares;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 for a product or product candidate in one or more jurisdictions, or the failure to receive such marketing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or preclinical studies conducted by us and the Vants;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the Vants or the biopharmaceutical industry and market in general;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and the Vants’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or other claims or proceedings, including governmental and regulatory proceedings, against us or the Vants;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Shares available for public sale and the relatively limited free float of our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board of directors or management;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Shares by directors, executive officers or significant shareholders or the perception that such sales could occur;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62"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Broad market and industry factors may depress the market price of our Common Shares irrespective of our or the Vants’ operating performance. The stock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companies engaging in digital payments or the stocks of other companies which investors perceive to be similar to us could depress our stock price regardless of our business, prospects, financial conditions or results of operations. A decline in the market price of our Common Shares also could adversely affect our ability to issue additional securities and our ability to obtain additional financing in the future.</w:t>
      </w:r>
    </w:p>
    <w:p>
      <w:pPr>
        <w:spacing w:after="0" w:line="277"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6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80"/>
          </w:cols>
          <w:pgMar w:left="320" w:top="482" w:right="4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District of New York, and (ii) that we irrevocably submit to such jurisdiction, which jurisdiction shall be the exclusive forum for any such action, proceeding or claim. We waive any objection to such exclusive jurisdiction and that such courts represent an inconvenient forum.</w:t>
      </w:r>
    </w:p>
    <w:p>
      <w:pPr>
        <w:spacing w:after="0" w:line="16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120" w:right="480" w:hanging="4"/>
        <w:spacing w:after="0" w:line="260" w:lineRule="auto"/>
        <w:tabs>
          <w:tab w:leader="none" w:pos="37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service of process made upon such warrant holder in any such enforcement action by service upon such warrant holder’s counsel in the foreign action as agent for such warrant holder.</w:t>
      </w:r>
    </w:p>
    <w:p>
      <w:pPr>
        <w:spacing w:after="0" w:line="18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Warrant holders who do bring a claim in a court of the State of New York or the United States District Court for the Southern District of New York could face additional litigation costs in pursuing any such claim, particularly if they do not reside in or near the State of New York.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3"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purchasable upon exercise of a warrant could be decreased, all without your approval.</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Warrants were initially issued by MAAC in registered form under a warrant agreement between Continental Stock Transfer &amp; Trust Company (“CST”), as warrant agent. In connection with the consummation of the Business Combination, American Stock Transfer &amp; Trust Company assumed CST’s responsibilities as warrant agent under the warrant agreement.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warrant agreement provides that the terms of the Warrants may be amended without the consent of any holder for the purpose of (i) curing any ambiguity or correct any mistake or defective provision (ii) amending the provisions relating to cash dividends on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shorten the exercise period or decrease the number of our Common Shares purchasable upon exercise of a warrant.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82"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has devoted and will continue to devote a substantial amount of time to new compliance initiatives.</w:t>
      </w:r>
    </w:p>
    <w:p>
      <w:pPr>
        <w:spacing w:after="0" w:line="5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and these expenses may increase even more after we are no longer an emerging growth company, as defined in Section 2(a) of the Securities Act.</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Dodd-Frank Act, as well as rules adopted, and to be adopted, by the SEC and the Nasdaq. Our management and other personnel have devoted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blended director and officer liability insurance and forced us to forego securities and corporate protection coverage. We cannot predict or estimate the amount or timing of additional costs we have incurred and will continue to incur to respond to these requirements. The impact of these requirements could also make it more difficult for us to attract and retain qualified persons to serve on our board of directors, our board committees or as executive officers.</w:t>
      </w:r>
    </w:p>
    <w:p>
      <w:pPr>
        <w:spacing w:after="0" w:line="29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timely and effectively implement controls and procedures required by Section 404(a) of the Sarbanes-Oxley Act could have a material adverse effect on our business.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provide management’s attestation on internal controls as required under Section 404(a) of the Sarbanes-Oxley Act. The standards required for a public company under Section 404(a) of the Sarbanes-Oxley Act are significantly more stringent than those required of us as a privately-held company. If we are not successful in implementing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Failure to properly implement internal controls on a timely basis may lead to the identification of one or more material weaknesses or control deficiencies in the future, which may prevent us from being able to report our financial results accurately on a timely basis or help prevent fraud, and could cause our reported financial results to be materially misstated and result in the loss of investor confidence or delisting and cause the market price of our Common Shares to decline. If we have material weaknesses in the future, it could affect the financial results that we report or create a perception that those financial results do not fairly state our financial position or results of operations. Either of those events could have an adverse effect on the value of our Common Shares.</w:t>
      </w:r>
    </w:p>
    <w:p>
      <w:pPr>
        <w:spacing w:after="0" w:line="187"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Further, even if we conclude that our internal control over financial reporting provides reasonable assurance regarding the reliability of financial reporting and the preparation of financial statements for external purposes in accordance with U.S. GAAP,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future reporting obligations.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We have the ability to redeem outstanding Warrants at any time after they become exercisable and prior to their expiration, at a price of $0.01 per warrant, provided that the last reported sales price of our Common Shares is equal to or exceeds $18.00 per share (as adjusted for share sub divisions, share capitalizations, rights issuances, subdivisions, reorganizations, recapitalizations and the like) for any 20 trading days within a 30 trading-day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00"/>
          </w:cols>
          <w:pgMar w:left="320" w:top="482"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period ending on the third trading day prior to the date they send the notice of redemption to the warrant holders. If and when the Warrants become redeemable by us, we may not exercise our redemption right if the issuance of shares upon exercise of the Warrants is not exempt from registration or qualification under applicable state blue sky laws or if we are unable to effect such registration or qualification. We will use our best efforts to register or qualify such shares under the blue sky laws of the state of residence in those states in which the Warrants were offered by us. Redemption of the outstanding Warrants could force an investor to (i) to exercise their Warrants and pay the exercise price therefor at a time when it may be disadvantageous for an investor to do so, (ii) for an investor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an investors Warrants.</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we may redeem an investor’s Warrants at any time after they become exercisable and prior to their expiration at a price of $0.10 per warrant upon a minimum of 30 days’ prior written notice of redemption provided that holders will be able to exercise their Warrants prior to redemption for a number of Common Shares determined based on the redemption date and the fair market value of our Common Shares.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shares received is capped at 0.361 Common Shares per warrant (subject to adjustment) irrespective of the remaining life of the Warrants. None of the Private Placement Warrants will be redeemable by us so long as they are held by the MAAC Sponsor or its permitted transferees.</w:t>
      </w:r>
    </w:p>
    <w:p>
      <w:pPr>
        <w:spacing w:after="0" w:line="293"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the ability to require holders of our Warrants to exercise such Warrants on a cashless basis, which will cause holders to receive fewer Common Shares upon their exercise of the Warrants than they would have received had they been able to exercise their Warrants for cash.</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call the Public Warrants for redemption after the redemption criteria have been satisfied, our management will have the option to require any holder that wishes to exercise their warrant (including any Warrants held by the MAAC Sponsor, MAAC’s former officers or directors, other purchasers of MAAC’s founders’ units, or their permitted transferees) to do so on a “cashless basis.” If our management chooses to require holders to exercise their Warrants on a cashless basis, the number of Common Shares received by a holder upon exercise will be fewer than it would have been had such holder exercised his warrant for cash. This will have the effect of reducing the potential “upside” of the holder’s investment in our company.</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memorandum of association and bye-laws and under Bermuda law could delay or prevent a change in control, limit the price investors may be willing to pay in the future for our Common Shares and could entrench management.</w:t>
      </w:r>
    </w:p>
    <w:p>
      <w:pPr>
        <w:spacing w:after="0" w:line="5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memorandum of association and bye-laws contain provisions that could make it more difficult for a third-party to acquire us without the consent of our board of directors. These provisions provide for:</w:t>
      </w:r>
    </w:p>
    <w:p>
      <w:pPr>
        <w:spacing w:after="0" w:line="67" w:lineRule="exact"/>
        <w:rPr>
          <w:sz w:val="20"/>
          <w:szCs w:val="20"/>
          <w:color w:val="auto"/>
        </w:rPr>
      </w:pPr>
    </w:p>
    <w:p>
      <w:pPr>
        <w:ind w:left="5480" w:right="5360" w:hanging="4824"/>
        <w:spacing w:after="0" w:line="454" w:lineRule="auto"/>
        <w:tabs>
          <w:tab w:leader="none" w:pos="107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 157</w:t>
      </w:r>
    </w:p>
    <w:p>
      <w:pPr>
        <w:sectPr>
          <w:pgSz w:w="11900" w:h="16838" w:orient="portrait"/>
          <w:cols w:equalWidth="0" w:num="1">
            <w:col w:w="11120"/>
          </w:cols>
          <w:pgMar w:left="320" w:top="482"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56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powers, preferences and rights of preference shares and to cause us to issue the preference shares without shareholder approval;</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prevent the transfer of capital stock, or the exercise of rights with respect to our capital stock, if the effect of such transfer or exercise of rights would result in a shareholder holding more than 9.9% of the total issued and outstanding shares of our capital stock on a fully diluted basis;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shareholder proposals and nominations and placing limitations on convening shareholder meetings.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provisions may make more difficult the removal of management and may discourage transactions that otherwise could involve payment of a premium over prevailing market prices for our securities. These provisions could also discourage proxy contests and make it more difficult for you and other shareholders to elect directors of your choosing and cause us to take corporate actions other than those you desire, any of which could harm our share price.</w:t>
      </w:r>
    </w:p>
    <w:p>
      <w:pPr>
        <w:spacing w:after="0" w:line="284"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largest shareholders and certain members of our management own a significant percentage of our Common Shares and are able to exert significant control over matters subject to shareholder approval.</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founder and certain of our largest shareholders hold a significant percentage of our Common Shares. As a result, these holders have the ability to substantially influence us and exert significant control through this ownership position and, in the case of certain holders, service on our board of directors. For example, these holders may be able to control elections of directors, issuance of equity, including to our employees under equity incentive plans, amendments of our organizational documents, or approval of any merger, amalgamation, sale of assets or other major corporate transaction. These holders’ interests may not always coincide with our corporate interests or the interests of other shareholders, and it may exercise its voting and other rights in a manner with which you may not agree or that may not be in the best interests of our other shareholders. So long as these holders continue to own a significant amount of our equity, they will continue to be able to strongly influence and effectively control our decisions.</w:t>
      </w:r>
    </w:p>
    <w:p>
      <w:pPr>
        <w:spacing w:after="0" w:line="293"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or the Vants’ equity securities or rights to purchase equity securities, including pursuant to our or the Vants’ equity incentive and other compensatory plans, will result in additional dilution of the percentage ownership of our shareholders and could cause our share price to fall.</w:t>
      </w:r>
    </w:p>
    <w:p>
      <w:pPr>
        <w:spacing w:after="0" w:line="6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and the Vants will need additional capital in the future to continue our planned operations. To the extent we raise additional capital by issuing equity securities, including in our subsidiaries, our shareholders may experience substantial dilution. We or the Vants may sell securities, including convertible securities or other equity securities in one or more transactions at prices and in a manner we determine from time to time. If we sell Common Shares, convertible securities or other equity securities in more than one transaction, investors may be materially diluted by subsequent sales. In addition, new investors could gain rights superior to our existing shareholders.</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Pursuant to our 2021 Equity Incentive Plan (the “2021 EIP”), we are authorized to grant options and other share-based awards to our employees, directors and consultants. The aggregate number of shares initially reserved for issuance under the 2021 EIP increases annually on the first day of each fiscal year during the term of the plan in an amount equal to the lesser of (i) 5% of the number of our Common Shares outstanding as of the day of the immediately preceding fiscal year and (ii) such number of our Common Shares as determined by our board of directors in its discretion. As a result of this annual increase, or if our board of directors elects in the future to make any additional increase in the number of shares available for future grant under the 2021 EIP, and if our shareholders approve of any such additional increase, our shareholders may experience additional dilution, and our share price may fall.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82"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Issuance of options and other share-based awards pursuant to equity incentive plans at the Vants may indirectly have a similar effect of diluting your ownership in us since a portion of the value of our Common Shares is tied to the value of the Vants, which would be diluted in the event of a grant of options or other similar equity grants to the employees of the Vants.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securities analysts publish negative evaluations of our shares, the price of our Common Shares could decline.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market or competitors. If any of the analysts who may cover us change their recommendation regarding our Common Shares adversely, or provide more favorable relative recommendations about its competitors, the price of our Common Shares would likely decline. If any analyst who may cover us were to cease coverage or fail to regularly publish reports, we could lose visibility in the financial markets, which in turn could cause our share price or trading volume to decline.</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founder and certain of our largest shareholders own a substantial portion of our Common Shares. As a result, there may be limited liquidity for our Common Shares.</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founder and certain of our largest shareholders hold a significant percentage of our Common Shares. Certain of these shareholders remain subject to lock-up arrangements in respect of a portion of their Common Shares and as a result there may be limited liquidity in the trading market for our Common Shares during the period in which these lock-up agreements are in effect. In addition, even once the applicable lock-up periods expire, the liquidity for our Common Shares may remain limited given the substantial holdings of such shareholders, which could make the price of our Common Shares more volatile and may make it more difficult for investors to buy or sell large amounts of our Common Shares.</w:t>
      </w:r>
    </w:p>
    <w:p>
      <w:pPr>
        <w:spacing w:after="0" w:line="28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Shares for the foreseeable future, you may not receive any return on investment unless you sell our Common Shares for a price greater than that which you paid for it.</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may retain future earnings, if any, for future operations, expansion and debt repayment and has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Common Shares unless you sell your shares of for a price greater than that which you paid for them.</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exempted company limited by shares incorporated under the laws of Bermuda and it may be difficult for you to enforce judgments against us or our directors and executive officers.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Bermuda. As a result, the rights of our shareholders are governed by Bermuda law and our memorandum of association and bye-laws. The rights of shareholders under Bermuda law may differ from the rights of shareholders of companies incorporated in another jurisdiction. It may be difficult for investors to enforce in the U.S. judgments obtained in U.S. courts against us based on the civil liability provisions of the U.S. securities laws. It is doubtful whether courts in Bermuda will enforce judgments obtained in other jurisdictions, including the U.S., against us or our directors or officers under the securities laws of those jurisdictions or entertain actions in Bermuda against us or our directors or officers under the securities laws of other jurisdictions.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82"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Bermuda law differs from the laws in effect in the U.S. and may afford less protection to our shareholders.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will waive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U.S., particularly the State of Delaware. Therefore, our shareholders may have more difficulty protecting their interests than would shareholders of a corporation incorporated in a jurisdiction within the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Companies Act and the Bermuda Investment Business Act 2003,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Nasdaq. Additionally, we have sought and have obtained a specific permission from the Bermuda Monetary Authority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 The general permission or the specific permission would cease to apply if we were to cease to be listed on the Nasdaq or another appointed stock exchange.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unanticipated tax liabilities and higher effective tax rates.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Bermuda. We are centrally managed and controlled in the U.K., and under current U.K. tax law, a company which is centrally managed and controlled in the U.K. is regarded as resident in the U.K. for taxation purposes. Accordingly, we expect to be subject to U.K. taxation on our income and gains, and subject to U.K.’s controlled foreign company rules, except where an exemption applies. We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82"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be treated as a dual resident company for U.K. tax purposes. As a result, our right to claim certain reliefs from U.K. tax may be restricted, and changes in law or practice in the U.K. could result in the imposition of further restrictions on our right to claim U.K. tax reliefs. We may also become subject to income, withholding or other taxes in certain jurisdictions by reason of our activities and operations, and it is also possible that taxing authorities in any such jurisdictions could assert that we are subject to greater taxation than we currently anticipate, including as a result of the denial of treaty benefits that we may claim. Any such additional tax liability could materially adversely affect our results of operations.</w:t>
      </w:r>
    </w:p>
    <w:p>
      <w:pPr>
        <w:spacing w:after="0" w:line="287" w:lineRule="exact"/>
        <w:rPr>
          <w:sz w:val="20"/>
          <w:szCs w:val="20"/>
          <w:color w:val="auto"/>
        </w:rPr>
      </w:pPr>
    </w:p>
    <w:p>
      <w:pPr>
        <w:ind w:left="12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intended tax effects of our corporate structure and intercompany arrangements depend on the application of the tax laws of various jurisdictions and on how we operate our business.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incorporated under the laws of Bermuda and are centrally managed and controlled in the UK. We currently have subsidiaries in the U.S., U.K., Switzerland and certain other jurisdictions. If we succeed in growing our business, we expect to conduct increased operations through our subsidiaries in various countries and tax jurisdictions, in part through intercompany service agreements between our subsidiaries and us. In that case, our corporate structure and intercompany transactions, including the manner in which we develop and use our intellectual property, will be organized so that we can achieve our business objectives in a tax-efficient manner and in compliance with applicable transfer pricing rules and regulations. If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be maintained to support the transfer prices. While we believe that we operate in compliance with applicable transfer pricing laws and intend to continue to do so, our transfer pricing procedures are not binding on applicable taxing authorities. If taxing authorities in any of these countries were to successfully challenge our transfer prices as not reflecting arm’s length transactions between two or more affiliated companies, they could require such affiliated companies to adjust their transfer prices and thereby reallocate the income between such affiliated companies to reflect these revised transfer prices, which could result in a higher tax liability to us. In addition, if the country from which the income is reallocated does not agree with the reallocation, both countries could tax the same income, resulting in double taxation. If taxing authorities were to allocate income to a higher tax jurisdiction, subject our income to double taxation or assess interest and penalties, it would increase its consolidated tax liability, which could adversely affect our financial condition, results of operations and cash flows.</w:t>
      </w:r>
    </w:p>
    <w:p>
      <w:pPr>
        <w:spacing w:after="0" w:line="19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in evaluating our tax positions and determining our provision for income taxes. During the ordinary course of business, there are many transactions and calculations for which the ultimate tax determination is uncertain. For example, our effective tax rates could be adversely affected by changes in foreign currency exchange rates or by changes in the relevant tax, accounting, and other laws (including tax treaties), regulations, principles, and interpretations. As we intend to operate in numerous countries and taxing jurisdictions, the application of tax laws can be subject to diverging and sometimes conflicting interpretations by tax authorities of these jurisdictions. It is not uncommon for taxing authorities in different countries to have conflicting views, for instance, with respect to, among other things, the manner in which the arm’s length standard is applied for transfer pricing purposes, or with respect to the valuation of intellectual property.</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tax laws are dynamic and subject to change as new laws are passed and new interpretations of the law are issued or applied. We continue to assess the impact of such changes in tax laws and interpretations on our business and may determine that changes to our structure, practice, tax positions or the manner in which we conduct our business are necessary in light of such changes and developments in the tax laws of other jurisdictions in which we operate. Such changes may nevertheless be ineffective in avoiding an increase in our consolidated tax liability, which could adversely affect our financial condition, results of operations and cash flows.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82"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reduce our net income in future periods.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tax position could be adversely impacted by changes in tax rates, tax laws, tax practice, tax treaties or tax regulations or changes in the interpretation thereof by the tax authorities in Europe (including the U.K. and Switzerland), the U.S., Bermuda and other jurisdictions, as well as being affected by certain changes currently proposed by the Organization for Economic Co-operation and Development and their action plan on Base Erosion and Profit Shifting. Such changes may become more likely as a result of recent economic trends in the jurisdictions in which we operate, particularly if such trends continue. If such a situation were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8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Our actual effective tax rate may vary from our expectation and that variance may be material. A number of factors may increase our future effective tax rates, including: (1) the jurisdictions in which profits are determined to be earned and taxed; (2) the resolution of issues arising from any future tax audits with various tax authorities; (3) changes in the valuation of our deferred tax assets and liabilities; (4) increases in expenses not deductible for tax purposes, including transaction costs and impairments of goodwill in connection with acquisitions; (5) changes in the taxation of stock-based compensation; (6) changes in tax laws (including tax treaties) or the interpretation of such tax laws (including tax treaties) and changes in U.S. generally accepted accounting principles; and (7) challenges to the transfer pricing policies related to our structure.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IRS may not agree that we should be treated as a non-U.S. corporation for U.S. federal income tax purposes.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current U.S. federal income tax law, a corporation generally will be considered to be a U.S. corporation for U.S. federal income tax purposes only if it is created or organized in the United States or under the law of the United States or of any state thereof. Accordingly, under generally applicable U.S. federal income tax rules, since we were not created or organized in the United States or under the law of the United States or of any state thereof but are instead a Bermuda incorporated entity and tax resident of the U.K., we would generally be classified as a non-U.S. corporation.</w:t>
      </w:r>
    </w:p>
    <w:p>
      <w:pPr>
        <w:spacing w:after="0" w:line="3"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Section 7874 of the Internal Revenue Code of 1986, as amended (the “Code”) and the Treasury regulations promulgated thereunder, however, contain specific rules that may cause a non-U.S. corporation to be treated as a U.S. corporation for U.S. federal income tax purposes. If it were determined that we are treated as a U.S. corporation for U.S. federal income tax purposes under Section 7874 of the Code and the Treasury regulations promulgated thereunder, we would be liable for U.S. federal income tax on our income just like any other U.S. corporation and certain distributions made by us to our shareholders that are not “United States persons as defined in the Code (“U.S. holders”) would be subject to U.S. withholding tax. We believe that we should not be treated as a U.S. corporation for U.S. federal income tax purposes under Section 7874 of the Code. However, the application of</w:t>
      </w:r>
    </w:p>
    <w:p>
      <w:pPr>
        <w:spacing w:after="0" w:line="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Section 7874 of the Code is complex and is subject to detailed Treasury regulations that could be impacted by changes in such Treasury regulations with possible retroactive effect, and the interpretation of Treasury regulations relating to the required ownership of us is subject to uncertainty for which there is limited guidance regarding their application. Accordingly, there can be no assurance that the IRS will not take a contrary position to those described above or that a court will not agree with a contrary position of the IRS in the event of litigation. You are urged to consult your tax advisor to determine the tax consequences if the classification of us as a non-U.S. corporation is not respected.</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own 10% or more of the combined voting power or value of our Common Shares may suffer adverse tax consequences because we and our non-U.S. subsidiaries may be characterized as “controlled foreign corporations” (“CFCs”) under Section 957(a) of the Code.</w:t>
      </w:r>
    </w:p>
    <w:p>
      <w:pPr>
        <w:spacing w:after="0" w:line="5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 non-U.S. corporation is considered a CFC if more than 50% of (1) the total combined voting power of all classes of stock of such corporation entitled to vote, or (2) the total value of the stock of such corporation, 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82"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owned, or is considered as owned by applying certain constructive ownership rules, by U.S. shareholders (U.S. persons who own stock representing 10% or more of the combined voting power or value of all outstanding stock of such non-U.S. corporation) on any day during the taxable year of such non-U.S. corporation. Certain U.S. shareholders of a CFC generally are required to include currently in gross income such shareholders’ share of the CFC’s “Subpart F income,” a portion of the CFC’s earnings to the extent the CFC holds certain U.S. property, and a portion of the CFC’s “global intangible low-taxed income” (as defined under Section 951A of the Code). Such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 “Global intangible low-taxed income” may include most of the remainder of a CFC’s income over a deemed return on its tangible assets.</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believe that we will not be classified as a CFC in the current taxable year. However, our non-U.S. subsidiaries will be classified as CFCs in the current taxable year. For U.S. holders who hold 10% or more of the combined voting power or value of our Common Shares, this may result in adverse U.S. federal income tax consequences, such as current U.S. taxation of Subpart F income (regardless of whether we make any distributions), taxation of amounts treated as global intangible low-taxed income under Section 951A of the Code with respect to such shareholder, and being subject to certain reporting requirements with the IRS. Any such U.S. holder who is an individual generally would not be allowed certain tax deductions or foreign tax credits that would be allowed to a U.S. corporation. If you are a U.S. holder who holds 10% or more of the combined voting power or value of our Common Shares, you should consult your own tax advisors regarding the U.S. tax consequences of acquiring, owning, or disposing of our Common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holders of our Common Shares may suffer adverse tax consequences if we are characterized as a passive foreign investment company.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Generally, if, for any taxable year, at least 75% of our gross income is passive income, or at least 50% of the average quarterly value of our assets is attributable to assets that produce passive income or are held for the production of passive income, including cash, we would be characterized as a passive foreign investment company (a “PFIC”) for U.S. federal income tax purposes. For purposes of these tests, passive income generally includes dividends, interest, gains from the sale or exchange of investment property and rents and royalties other than rents and royalties which are received from unrelated parties in connection with the active conduct of a trade or business. Additionally, if we own (directly or indirectly) at least 25% (by value) of the stock of another corporation, for purposes of determining whether we are a PFIC, generally we would be treated as if we held our proportionate share of the assets of such other corporation and received directly our proportionate share of the income of such other corporation (the “Look-Through Rule”) and generally we would retain the character of such assets and income as if they were held directly by us rather than by such other corporation (but see below for the discussion on an exception to the Look-Through Rule). If we are characterized as a PFIC, U.S. holders of our Common Shares may suffer adverse tax consequences, including having gains realized on the sale of our Common Shares treated as ordinary income rather than capital gain, the loss of the preferential tax rate applicable to dividends received on our Common Shares by individuals who are U.S. holders, and having interest charges apply to certain distributions by us and the proceeds of sales or other dispositions of our Common Shares that result in a gain to the U.S. holder. In addition, special information reporting may be required.</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from time to time. The 50% passive asset test described above is generally based on the fair market value of each asset. If we are a CFC (determined by disregarding certain downward attribution rules) and not publicly traded for the relevant taxable year, however, the test shall be applied based on the adjusted basis of our assets. Because our Common Shares should be considered to be “publicly traded” for the taxable year that ended on March 31, 2022, we would apply the 50% passive asset test using the fair market value of our assets. In addition, our status may also depend, in part, on how quickly we utilize our cash on-hand and cash from future financings in our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82"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Treasury regulations adopted in 2021, or the (the “2021 Regulations”), modify certain of the rules described above. The 2021 Regulations generally apply to taxable years of shareholders beginning on or after January 14, 2021. A shareholder, however, may choose to apply such rules for any open taxable year beginning before January 14, 2021, provided that, with respect to a non-U.S. corporation being tested for PFIC status, the shareholder consistently applies certain of the provisions of the 2021 Regulations and certain other Treasury regulations for such year and all subsequent years. Investors who are U.S. holders should consult their own tax advisors regarding the impact and applicability of the 2021 Regulations.</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Based on the foregoing, with respect to the taxable year that ended on March 31, 2022, we believe that we were not a PFIC based in part on our belief that we were not classified as a CFC in the taxable year that ended on March 31, 2022 and based upon the fair market value of our assets, including any goodwill and intangible property, and the nature and composition of our income and assets.</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Our status as a PFIC is a fact-intensive determination made on an annual basis, which is subject to uncertainties, including but not limited to the fact that the value of our assets for purposes of the PFIC determination may be affected by the trading value of our Common Shares, which could fluctuate significantly. The total value of our assets for purposes of the PFIC asset test frequently (though not invariably) may be inferred using the market price of our ordinary shares, which may fluctuate considerably and thereby affect the determination of our PFIC status for future taxable year. Our U.S. counsel expresses no opinion with respect to our PFIC status for the current or future taxable years. We will endeavor to determine our PFIC status for each taxable year and make such determination available to U.S. holders.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determination of our PFIC status is impacted by structures and arrangements we have implemented that are intended in part to mitigate the possibility that we will be classified as a PFIC. There can be no assurance that the IRS will not successfully challenge these structures and arrangements, which may result in an adverse impact on the determination of whether we are classified as a PFIC in the current and future taxable years. In addition, the 2021 Regulations, of which we are continuing to assess the impact, may also adversely affect the treatment of these structures and arrangements with respect to our PFIC status. For example, as discussed above, the Look-Through Rule generally applies with respect to our 25% or more owned subsidiaries. If we are subject to the accumulated earnings tax (or waive any benefit under any treaty which would otherwise prevent the imposition of such tax) and we own at least 25% (by value) of the stock of a U.S. corporation (a “25%-owned U.S. corporation”), then for purposes of determining our PFIC status, generally any stock of a U.S. corporation (such corporation, a “second-tier U.S. corporation,” and such stock, “qualified stock”) held by such 25%-owned U.S. corporation shall be treated as an asset which does not produce passive income (and is not held for the production of passive income) and any amount included in gross income with respect to such stock shall not be treated as passive income (the “Look-Through Rule Exception”). Accordingly, since we have waived any benefit under any treaty which would otherwise prevent the imposition of the accumulated earnings tax, we expect that the Look-Through Rule Exception applies to us and, for purposes of determining our PFIC status, any qualified stock held by our subsidiaries that are 25%-owned U.S. corporations are expected not to be treated as passive assets and any amount included in gross income with respect to such stock are expected not to be treated as passive income. Though we expect that the Look-Through Rule Exception applies to us, such determination, however, is subject to uncertainties. For example, the 2021 Regulations adopted an anti-abuse rule with respect to the application of the Look-Through Rule Exception. According to the anti-abuse rule, the Look-Through Rule Exception will not apply if a principal purpose for the formation of, acquisition of, or holding of stock of the 25%-owned U.S. corporation or the second-tier U.S. corporation, or for the capitalization or other funding of the second-tier U.S. corporation, is to hold passive assets through the second-tier U.S. corporation to avoid classification of the foreign corporation as a PFIC. While we do not believe that such anti-abuse rule will apply to us in light of the legislative history of the Look-Through Rule Exception as well as the nature and composition of our income and the nature, composition and value of our assets, there is no assurance regarding the application of the anti-abuse rule with respect to our PFIC status in our past, current, or future taxable years.</w:t>
      </w:r>
    </w:p>
    <w:p>
      <w:pPr>
        <w:spacing w:after="0" w:line="18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Investors who are U.S. holders are urged to consult their own tax advisors regarding the application of the Look-Through Rule, the Look-Through Rule Exception, and the anti-abuse rule.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82"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Suite 1, 3rd Floor, 11-12 St. James’s Square, London, United Kingdom SW1Y 4LB. Our registered office is located at Clarendon House, 2 Church Street, Hamilton HM 11, Bermuda. Certain of our subsidiaries and affiliates also have business operations in New York, New York, Boston, Massachusetts and Basel, Switzerland.</w:t>
      </w:r>
    </w:p>
    <w:p>
      <w:pPr>
        <w:spacing w:after="0" w:line="176"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Our subsidiary Roivant Sciences, Inc. subleases 83,340 square feet of office space located in New York, New York, pursuant to a sublease agreement that expires in October 2032. Certain of our subsidiaries and affiliates also lease office space in Boston, Massachusetts and Basel, Switzerland. We do not own any properties.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that our and our subsidiaries’ leased facilities are in good condition and are well maintained and that our current arrangements will be sufficient to meet our needs for the foreseeable future and that any required additional space will be available on commercially reasonable terms to meet space requirements if they arise.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do not currently, however, expect any such legal proceedings to have a material adverse effect on our business, operating results or financial condition. However, depending on the nature and timing of a given dispute, an unfavorable resolution could materially affect our current or future results of operations or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82"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Common Shares began trading on The Nasdaq Global Market (“Nasdaq”) under the symbol “ROIV” on October 1, 2021. Prior to that date, there was no public trading market for our Common Shares.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Warrants to purchase our Common Shares originally began trading on The Nasdaq Stock Market LLC as units under the symbol “MAACU” on October 6, 2020, in connection with the initial public offering of Montes Archimedes Acquisition Corp. (“MAAC”). Following the completion of the Business Combination with MAAC on September 30, 2021, we assumed MAAC’s obligations under the warrants and they began trading on The Nasdaq Global Market under the symbol “ROIVW” on October 1,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of June 21, 2022, there were 145 holders of record of our Common Shares and two holders of record of warrants to purchase our Common Shares. The actual number of holders of our Common Shares and warrants is greater than these numbers of record holders and includes stockholders who are beneficial owners but whose Common Shares or warrants are held in street name by banks, brokers and other nominees.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about our equity compensation plans in Item 12 of Part III of this Annual Report on Form 10-K is incorporated herein by reference.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of Unregistered Securities and Use of Proceeds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February 15, 2022, we issued 145,986 Common Shares to CF Principal Investments, LLC in consideration for its irrevocable commitment to purchase Common Shares pursuant to a Common Shares Purchase Agreement, dated as of February 14, 2022, by and between us and CF Principal Investments, LLC in connection with an equity line facility with an aggregate line of $250.0 million.</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On April 21, 2022, we issued 1,455,719 Common Shares to Silicon Therapeutics LLC in connection with the Agreement and Plan of Merger, dated as of February 2, 2021, by and among Roivant, Silicon Insite, Inc., Silicon TX China and Silicon Therapeutics LLC, as consideration in connection with the transaction, with an aggregate value of approximately $5.4 million.</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issued the foregoing securities in transactions not involving an underwriter and not requiring registration under Section 5 of the Securities Act of 1933, as amended, in reliance on the exemption afforded by Section 4(a)(2) thereof.</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above or reported in our Quarterly Reports on Form 10-Q for the quarters ended September 30, 2021 and December 31, 2021, there were no other sales of unregistered securities for the year ended March 31, 2022.</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82"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Roivant’s financial condition and results of operations should be read in conjunction with Roivant’s consolidated financial statements and notes to those statements included elsewhere in this Annual Report on Form 10-K. Certain information contained in the discussion and analysis set forth below includes forward-looking statements that involve risks and uncertainties. Roivant’s actual results may differ materially from those anticipated in these forward-looking statements as a result of many factors. Please see “Forward-Looking Statements” and “Risk Factors” in this Annual Report on Form 10-K. Our fiscal year ends on March 31 and our fiscal quarters end on June 30, September 30 and December 31.</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are building the next-generation “big pharma” company, organized to harness modern technologies and computational tools as well as the entrepreneurial spirit of nimble biotechnology companies at scale. Our mission is to improve the delivery of healthcare to patients by treating every inefficiency as an opportunity.</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leading computational physics and machine learning (“ML”) capabilities for in silico drug design.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develop drugs and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the Roivant platform and technologies that are built to address inefficiencies in the drug discovery, development and commercialization process.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agile Vant model has allowed us to rapidly add capabilities in diverse therapeutic areas, including immunology, dermatology and oncology, and modalities, including biologics, topicals and bifunctional small molecules.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180"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Since our inception in 2014, we have focused substantially all of our efforts and financial resources on acquiring and developing our product candidates and expanding our platform and technologies. For the years ended March 31, 2022 and 2021, we incurred net losses of $924.1 million and $900.2 million, respectively. As of March 31, 2022, we had cash and cash equivalents of approximately $2.1 billion and an accumulated deficit of approximately $2.8 billion. Through March 31, 2022, we had not generated any revenue from the sale of our product candidates. Through our subsidiary Dermavant Sciences Ltd., we have launched our first commercial product, VTAMA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(tapinarof) cream, following approval by the FDA in May 2022. Through March 31, 2022, our revenue, primarily generated through license agreements as well as from subscription and service-based fees, has not been significant. Our operations to date have been financed primarily through the sale of equity securities, sale of subsidiary interests, debt financings and revenue generated from licensing and collaboration arrangements.</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82"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Dermavant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May 2022, VTAMA cream was approved by the FDA as the first and only FDA-approved steroid-free topical medication in its class for the treatment of plaque psoriasis in adult patients.</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Following the approval of VTAMA cream by the FDA in May 2022, Dermavant Sciences Ltd. (together with its wholly owned subsidiaries, “Dermavant”) received $160.0 million in June 2022 pursuant to the terms of the revenue interest purchase and sale agreement (the “RIPSA”) as described in Note 7, “Long-Term Debt and Loan Commitment” of our audited financial statements.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Also, as a result of FDA approval, Dermavant achieved a regulatory milestone to GSK of £100.0 million (approximately $126 million on the date of achievement), which will be paid within 70 calendar days of FDA approval. Additionally, the first sale of VTAMA cream in May 2022 resulted in the achievement of a milestone to Welichem Biotech Inc. of CAD$25.0 million (approximately $20 million on the date of achievement), which will be paid within 60 calendar days of the invoice date. Dermavant intends to primarily use the RIPSA proceeds for the payment of these obligations.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Roivant</w:t>
      </w:r>
    </w:p>
    <w:p>
      <w:pPr>
        <w:spacing w:after="0" w:line="121"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We have implemented a company-wide cost optimization and pipeline reprioritization initiative to reduce our expected operating expenses and preserve our capital resources. As part of this initiative, we have discontinued the development of several programs, including ARU-1801, LSVT-1701, DMVT-502, DMVT-503, DMVT-504 and CVT-TCR-01, to focus our capital on the potentially most valuable and meaningful opportunities for patients in our pipeline, including our programs at newly launched Priovant. We elected to wind down the development of ARU-1801 after considering the future development costs of the program, the current market environment, and the clinical and commercial profile of the product candidate.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COVID-19 pandemic continues to present global public health and economic challenges. Although some of our clinical development timelines have been impacted by delays related to the COVID-19 pandemic, we have not experienced material financial impact on our business and operations as a result of the COVID-19 pandemic. However, the impact on our future results will largely depend on future developments related to COVID-19, which are highly uncertain and cannot be predicted with confidence, such as the emergence of new variants, the ultimate duration and spread of the outbreak, the continuing impact of the COVID-19 pandemic on financial markets and the global economy, travel restrictions and social distancing in the United States and other countries, business closures or business disruptions and the effectiveness of actions taken in the United States and other countries to contain, treat, and prevent the disease, including the availability and effectiveness of vaccines.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risks and uncertainties related to the COVID-19 pandemic that may impact our business, financial condition and results of operations, see the section titled “Risk Factors” included elsewhere in this Annual Report on Form 10-K.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Through March 31, 2022, we have not generated any revenues from the sale of our product candidates. Our revenue through March 31, 2022 primarily includes the recognition of upfront payments received in connection with license agreements. Revenue is also generated by subscription and service-based fees. Our revenue recognized from inception through March 31, 2022 has not been significant.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00"/>
          </w:cols>
          <w:pgMar w:left="320" w:top="482" w:right="4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With the approval of VTAMA cream for the treatment of plaque psoriasis in adult patients by the FDA in May 2022, we began to recognize product revenues after our initial product launch.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Through March 31, 2022, our cost of revenues primarily relates to subscription and service-based revenue recognized for the use of technology developed and consists primarily of employee, hosting, and third-party data costs. Our cost of revenues through March 31, 2022 has not been significant.</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With the approval of VTAMA cream for the treatment of plaque psoriasis in adult patients by the FDA in May 2022, we began to recognize cost of product revenues after our initial product launch.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Research and development expenses consist mainly of costs incurred in connection with the discovery and development of our product candidates.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Research and development expenses primarily include the following:</w:t>
      </w:r>
    </w:p>
    <w:p>
      <w:pPr>
        <w:spacing w:after="0" w:line="112" w:lineRule="exact"/>
        <w:rPr>
          <w:sz w:val="20"/>
          <w:szCs w:val="20"/>
          <w:color w:val="auto"/>
        </w:rPr>
      </w:pPr>
    </w:p>
    <w:p>
      <w:pPr>
        <w:ind w:left="1080" w:right="40" w:hanging="424"/>
        <w:spacing w:after="0" w:line="258"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Program-specific costs, including direct third-party costs, which include expenses incurred under agreements with contract research organizations (“CROs”) and contract manufacturing organizations (“CMOs”), manufacturing costs in connection with producing materials for use in conducting nonclinical and clinical studies, the cost of consultants who assist with the development of our product candidates on a program-specific basis, investigator grants, sponsored research, and any other third-party expenses directly attributable to the development of our product candidates.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internal costs, including: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such as salaries, share-based compensation, and benefits, for research and development personnel;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that are not allocated to a specific program.</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will continue to be central to our business model. We anticipate that our research and development expenses will increase for the foreseeable future as we advance our product candidates through preclinical studies and clinical trials, as well as acquire new product candidates. In addition, we expect our research and development expenses to increase in the future, including as a result of our small molecule discovery engine (“Roivant Discovery”), comprising advanced computational physics and machine learning capabilities, integrated with an in-house wet lab facility. Research and development expenses will also be driven by the number of drug candidates from Roivant Discovery that we advance through preclinical studies and clinical trials. We expect higher employee-related expenses, including higher share-based compensation expenses, as well as higher consulting costs as we hire additional resources to support increasing development activity.</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preclinical studies and clinical trials of our product candidates will depend on a variety of factors that include, but are not limited to, the following:</w:t>
      </w:r>
    </w:p>
    <w:p>
      <w:pPr>
        <w:spacing w:after="0" w:line="67" w:lineRule="exact"/>
        <w:rPr>
          <w:sz w:val="20"/>
          <w:szCs w:val="20"/>
          <w:color w:val="auto"/>
        </w:rPr>
      </w:pPr>
    </w:p>
    <w:p>
      <w:pPr>
        <w:ind w:left="1080" w:right="82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preclinical development activities, any future clinical trials of our product candidates, and other research and development activities that we may conduct;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in clinical trial design and patient enrollment or drop out or discontinuation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leverage adequate CRO support for the conduct of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appropriate safety and efficacy profile for our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82"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and changing government regulation and regulatory guidance;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clinical and commercial manufacturing capabilities, or make arrangements with third-party manufacturers in order to ensure that we or our third-party manufacturers are able to make product successfully;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due to the COVID-19 pandemic;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 of our product candidates.</w:t>
      </w:r>
    </w:p>
    <w:p>
      <w:pPr>
        <w:spacing w:after="0" w:line="225"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and we cannot reasonably estimate the costs that will be necessary to complete the remainder of the development of our product candidates. In addition, the probability of success for our product candidates will depend on numerous factors, including competition, manufacturing capability and commercial viability.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March 31, 2022, we began reporting acquired in-process research and development (“IPR&amp;D”) expense as a separate line item in our consolidated statements of operations. Acquired IPR&amp;D expenses include consideration for the purchase of IPR&amp;D through asset acquisitions and license agreements as well as payments made in connection with asset acquisitions and license agreements upon the achievement of development milestones. These expenses were previously recorded in “Research and development” on the consolidated statements of operations. Prior periods have been revised to conform to the current period presentation.</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Consideration for the purchase of IPR&amp;D through asset acquisitions and license agreements includes cash upfront payments, shares and other liability instruments issued, and fair value of future contingent consideration payments.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such as salaries, share-based compensation, and benefits, for general and administrative personnel, including those responsible for the identification and acquisition or in-license of new drug candidates as well as for overseeing Vant operations and facilitating the use of our platform and technologies at Vants. General and administrative expenses also consist of legal and accounting fees, consulting services and other operating costs relating to corporate matters and daily operations. Additionally, general and administrative expenses include costs incurred relating to the identification, acquisition or in-license and technology transfer of promising drug candidates along with costs incurred relating to the integration of new technologies.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expect expenses to increase in future periods as we continue to expand our sales and marketing infrastructure and general administrative functions. These increases will likely include salaries, sales incentive compensation, share-based compensation and travel expenses associated with our sales force, which began promoting VTAMA cream in the United States following approval by the FDA in May 2022, as well as expected costs associated with the further build out of our commercial operations functions. We anticipate these expenses to further increase if any of our other current or future product candidates receives regulatory approval in the United States or another jurisdiction.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investments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Change in fair value of investments includes the unrealized loss (gain) on equity investments in publicly-traded companies, including Sio Gene Therapies Inc. (“Sio”) and Arbutus Biopharma Corporation (“Arbutus”)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82"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well as our equity investment in Heracles Parent, L.L.C., the parent entity of the Datavant business (“Datavant”), following Datavant’s merger with a wholly-owned subsidiary of Heracles Parent, L.L.C., the parent company of CIOX Health, (the “Datavant Merger”) in July 2021 at which point our minority equity interest in Datavant became subject to the equity method of accounting. We have elected the fair value option to account for these investments.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investment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Gain on sale of investment resulted from the Datavant Merger in July 2021. Prior to the Datavant Merger, our investment in Datavant was accounted for using the measurement alternative to fair value. At closing of the Datavant Merger, we received approximately $320 million in cash and a minority equity interest in the combined company, which became subject to the equity method of accounting. We recognized a gain as a result of this transaction.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debt and liability instruments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Change in fair value of debt and liability instruments primarily includes the unrealized (gain) loss relating to the measurement and recognition of fair value on a recurring basis of certain liabilities, including debt issued by a wholly-owned subsidiary of Dermavant Sciences Ltd. to NovaQuest Co-Investment Fund VIII, L.P. (the “NovaQuest Facility”), and other liability instruments, including warrant and earn-out share liabilities issued in connection with our business combination with Montes Archimedes Acquisition Corp. (“MAAC”) as well as options granted to Sumitomo Dainippon Pharma Co., Ltd. (“Sumitomo”) to purchase our ownership interests in certain subsidiaries (the “Sumitomo Options”) before the termination of those options in June 2021.</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termination of Sumitomo Options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Gain on termination of Sumitomo Options resulted from the completion of transactions contemplated by an Asset Purchase Agreement entered into with Sumitomo and its subsidiary Sumitomo Pharmaceuticals (Suzhou) Co., Ltd. (“SPC”) in May 2021. The transactions contemplated by the Asset Purchase Agreement closed in June 2021. Pursuant to the Asset Purchase Agreement: (i) Sumitomo terminated all of its existing options to acquire our ownership interest in certain subsidiaries; (ii) we transferred and assigned to SPC all of our intellectual property, development and commercialization rights for (a) lefamulin in Mainland China, Taiwan, Hong Kong, and Macau (collectively “Greater China”), (b) vibegron in Mainland China,</w:t>
      </w:r>
    </w:p>
    <w:p>
      <w:pPr>
        <w:spacing w:after="0" w:line="3" w:lineRule="exact"/>
        <w:rPr>
          <w:sz w:val="20"/>
          <w:szCs w:val="20"/>
          <w:color w:val="auto"/>
        </w:rPr>
      </w:pPr>
    </w:p>
    <w:p>
      <w:pPr>
        <w:ind w:left="120" w:right="40" w:hanging="4"/>
        <w:spacing w:after="0" w:line="255" w:lineRule="auto"/>
        <w:tabs>
          <w:tab w:leader="none" w:pos="36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rodatristat ethyl in Greater China and South Korea and (d) RVT-802 in Greater China and South Korea; (iii) Sumitomo agreed to pay us $5.0 million in cash; and (iv) Sumitomo entered into an agreement with us to pursue future collaborations with Genevant Sciences Ltd. (“Genevant”). We received the cash payment, net of certain withholding taxes, in August 2021.</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deconsolidation of subsidiary and consolidation of unconsolidated entity</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Gain on deconsolidation of subsidiary resulted from the determination that we no longer had a controlling financial interest in certain subsidiaries. Gain on consolidation of unconsolidated entity resulted from the remeasurement of our previously held interest in Genevant following the consolidation of Genevant as of July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Other expense, net consists of interest expense resulting from interest accrued on long-term debt and the amortization of debt discount and issuance costs, losses from our equity method investment prior to consolidation in July 2020, interest income on our cash and cash equivalents, and other miscellaneous (income) expense.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82"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Income tax expense is recorded for the jurisdictions in which we do business. 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our deferred tax assets will be realizable.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Net loss attributable to noncontrolling interests consists of the portion of net loss of those consolidated entities that is not allocated to us. Changes in the amount of net loss attributable to noncontrolling interests are directly impacted by the net loss of our consolidated entities and changes in ownership percentages.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the years ended March 31,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March 31, 2022 and 2021:</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6"/>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55,286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31,491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6,909</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483,035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236,626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246,409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139,894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596,132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(456,238)</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259,878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515,155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1,094,693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312,235</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(1,351,642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(1,070,898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(280,744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87,291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(95,533)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182,824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(443,754)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(443,754)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29,845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Gain on termination of Sumitomo Options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(66,472)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(66,472)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subsidiary and consolidation of unconsolidated entity</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(115,364)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110,323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8,701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(923,747)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(898,547)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(924,116)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(900,233)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(78,854)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(90,999)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12,145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Roivant Sciences Ltd.</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(845,262)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(809,234)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(36,028)</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5360"/>
              <w:spacing w:after="0"/>
              <w:rPr>
                <w:sz w:val="20"/>
                <w:szCs w:val="20"/>
                <w:color w:val="auto"/>
              </w:rPr>
            </w:pPr>
            <w:r>
              <w:rPr>
                <w:rFonts w:ascii="Times New Roman" w:cs="Times New Roman" w:eastAsia="Times New Roman" w:hAnsi="Times New Roman"/>
                <w:sz w:val="18"/>
                <w:szCs w:val="18"/>
                <w:color w:val="auto"/>
              </w:rPr>
              <w:t>172</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Variance analysis for years ended March 31, 2022 and 2021</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84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35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$ 55,286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$ 23,795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net increased by $31.5 million to $55.3 million for the year ended March 31, 2022 compared to $23.8 million for the year ended March 31, 2021. The increase was primarily related to payments received in connection with license agreements and the license of technology. Additionally, we recognized revenue relating to the sales of clinical product as well as milestone income at Dermavant. Revenue generated was not significant in either period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8,966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2,057</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$6,909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Cost of revenues increased by $6.9 million to $9.0 million for the year ended March 31, 2022 compared to $2.1 million for the year ended March 31, 2021, consistent with increased revenue. Cost of revenues was not significant in either period presented.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March 31, 2022 and 2021, our research and development expenses consisted of the following:</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ind w:left="4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Program-specific costs: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Batoclimab</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49,236</w:t>
            </w:r>
          </w:p>
        </w:tc>
        <w:tc>
          <w:tcPr>
            <w:tcW w:w="3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Tapinarof</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Brepocitinib</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ARU-1801</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AFVT-2101</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ARU-2801</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LSVT-1701</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Namilumab</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program-specific costs</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60,660</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program-specific costs</w:t>
            </w:r>
          </w:p>
        </w:tc>
        <w:tc>
          <w:tcPr>
            <w:tcW w:w="2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285,039</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161,912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Unallocated internal costs:</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103,827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expenses</w:t>
            </w:r>
          </w:p>
        </w:tc>
        <w:tc>
          <w:tcPr>
            <w:tcW w:w="2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2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483,035</w:t>
            </w:r>
          </w:p>
        </w:tc>
        <w:tc>
          <w:tcPr>
            <w:tcW w:w="5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236,626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246,409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4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20" w:top="482" w:right="8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$246.4 million to $483.0 million for the year ended March 31, 2022 compared to $236.6 million for the year ended March 31, 2021, primarily due to increases in program-specific costs of $123.1 million, personnel-related expenses of $58.2 million, and share-based compensation of $41.1 million.</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increase of $123.1 million in program-specific costs largely reflects the progression of our programs and drug discovery. Program-specific costs for Dermavant’s tapinarof program increased by $30.5 million, largely resulting from purchases of clinical product as we prepared for commercial launch and incurred costs associated with our Phase 3 clinical program in atopic dermatitis. Program specific costs for Priovant Therapeutics, Inc.’s (“Priovant”) brepocitinib program were $24.9 million for the year ended March 31, 2022, reflecting costs incurred since the acquisition of brepocitinib in September 2021. Program-specific costs for Immunovant’s batoclimab program increased by $17.9 million, primarily reflecting activities to advance the clinical development of batoclimab in current and potentially new indications.</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increase of $58.2 million in personnel-related expenses was primarily driven by an increase in headcount to support the progression of our programs and drug discovery.</w:t>
      </w:r>
    </w:p>
    <w:p>
      <w:pPr>
        <w:spacing w:after="0" w:line="162"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The increase of $41.1 million in share-based compensation expense was primarily due to the achievement of the liquidity event vesting condition for certain equity instruments upon the closing of the Business Combination in September 2021, resulting in the recognition of a one-time catch-up expense of $22.9 million relating to cumulative service rendered between the grant date of the respective awards and completion of the Business Combination and continued recognition of expense over the requisite service periods. Historically, we did not recognize share-based compensation expense related to these equity instruments as the liquidity event requirement had not been met and was not deemed probable of being met.</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80" w:type="dxa"/>
            <w:vAlign w:val="bottom"/>
          </w:tcPr>
          <w:p>
            <w:pPr>
              <w:spacing w:after="0"/>
              <w:rPr>
                <w:sz w:val="15"/>
                <w:szCs w:val="15"/>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for the purchase of IPR&amp;D</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97,412</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$ 591,916</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(494,504)</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milestone payments</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acquired in-process research and development expenses</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139,894</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$ 596,132</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(456,238)</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Acquired in-process research and development expenses decreased by $456.2 million to $139.9 million for the year ended March 31, 2022 compared to $596.1 million for the year ended March 31, 2021. The decrease was primarily due to higher consideration for the purchase of IPR&amp;D during the year ended March 31, 2021 as a result of the following: consideration of $399.6 million attributed to IPR&amp;D relating to the acquisition of the business of Silicon Therapeutics; consideration of $116.5 million relating to the stock purchase agreement to acquire Oncopia; $41.4 million attributed to IPR&amp;D as part of the consolidation of Genevant, which was previously accounted for as an equity method investment; and consideration relating to the licensing and strategic collaboration agreement with Affimed N.V. During the year ended March 31, 2022, acquired in-process research and development expenses included consideration for the purchase of IPR&amp;D of $82.1 million relating to the acquisition of brepocitinib by Priovant and $14.1 million relating to a license agreement entered by Hemavant Sciences GmbH with Eisai Co., Ltd. Additionally, acquired in-process research and development expenses for year ended March 31, 2022 included a one-time milestone expense of CAD$50.0 million ($39.3 million) due to the achievement of a development milestone relating to Dermavant’s tapinarof program.</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40"/>
          </w:cols>
          <w:pgMar w:left="320" w:top="482"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98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00" w:type="dxa"/>
            <w:vAlign w:val="bottom"/>
            <w:tcBorders>
              <w:top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$775,033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$259,878</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$515.2 million to $775.0 million for the year ended March 31, 2022 compared to $259.9 million for the year ended March 31, 2021. The increase was primarily due to increases in share-based compensation expense of $438.9 million primarily as a result of the achievement of the liquidity event vesting condition for certain equity instruments upon the closing of the Business Combination in September 2021, resulting in the recognition of a one-time catch-up expense of $350.0 million relating to cumulative service rendered between the grant date of the respective awards and completion of the Business Combination and continued recognition of expense over the requisite service periods. Historically, we did not recognize share-based compensation expense related to these equity instruments as the liquidity event requirement had not been met and was not deemed probable of being met. Additionally, general and administrative expenses for Dermavant have increased as we prepared for commercial launch.</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investments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26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$87,291</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$(95,533)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Change in fair value of investments was an unrealized loss of $87.3 million and unrealized gain of $95.5 million for the years ended March 31, 2022 and 2021, respectively. The change of $182.8 million was primarily driven by changes in the public share prices of Arbutus and Sio as well as the change in fair value of our investment in Datavant following the completion of the Datavant Merger in July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investment</w:t>
      </w:r>
    </w:p>
    <w:p>
      <w:pPr>
        <w:spacing w:after="0" w:line="25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Years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7620</wp:posOffset>
            </wp:positionV>
            <wp:extent cx="10801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7540"/>
        <w:spacing w:after="0"/>
        <w:tabs>
          <w:tab w:leader="none" w:pos="8600" w:val="left"/>
          <w:tab w:leader="none" w:pos="95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wp:posOffset>
            </wp:positionV>
            <wp:extent cx="18173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ind w:left="8280"/>
        <w:spacing w:after="0" w:line="235" w:lineRule="auto"/>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87184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tabs>
          <w:tab w:leader="none" w:pos="7260" w:val="left"/>
          <w:tab w:leader="none" w:pos="8540" w:val="left"/>
          <w:tab w:leader="none" w:pos="9380" w:val="left"/>
        </w:tabs>
        <w:rPr>
          <w:sz w:val="20"/>
          <w:szCs w:val="20"/>
          <w:color w:val="auto"/>
        </w:rPr>
      </w:pPr>
      <w:r>
        <w:rPr>
          <w:rFonts w:ascii="Times New Roman" w:cs="Times New Roman" w:eastAsia="Times New Roman" w:hAnsi="Times New Roman"/>
          <w:sz w:val="18"/>
          <w:szCs w:val="18"/>
          <w:color w:val="auto"/>
        </w:rPr>
        <w:t>Gain on sale of investment</w:t>
      </w:r>
      <w:r>
        <w:rPr>
          <w:sz w:val="20"/>
          <w:szCs w:val="20"/>
          <w:color w:val="auto"/>
        </w:rPr>
        <w:tab/>
      </w:r>
      <w:r>
        <w:rPr>
          <w:rFonts w:ascii="Times New Roman" w:cs="Times New Roman" w:eastAsia="Times New Roman" w:hAnsi="Times New Roman"/>
          <w:sz w:val="18"/>
          <w:szCs w:val="18"/>
          <w:color w:val="auto"/>
        </w:rPr>
        <w:t>$ (443,754)</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$(443,754)</w:t>
      </w:r>
    </w:p>
    <w:p>
      <w:pPr>
        <w:spacing w:after="0" w:line="20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Gain on sale of investment was $443.8 million for the year ended March 31, 2022 due to the Datavant Merger in July 2021 at which point we received approximately $320 million in cash and a minority equity stake in the combined company. See “Components of Results of Operations—Gain on sale of investment” above for additional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debt and liability instruments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2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(3,354)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$ 29,845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$(33,199)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Change in fair value of debt and liability instruments was an unrealized gain of $3.4 million and unrealized loss of $29.8 million for the years ended March 31, 2022 and 2021, respectively. Change in fair value of debt and liability instruments for the year ended March 31, 2022 primarily consisted of an unrealized gain of $30.8 million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82"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relating to the warrant and earn-out share liabilities issued as part of the Business Combination, partially offset by an unrealized loss of $27.3 million relating to the NovaQuest facility, which was largely due to the passage of time and increased probabilities of success as a result of advancement in the stage of development of the product candidate. Change in fair value of debt and liability instruments for the year ended March 31, 2021 primarily consisted of an unrealized loss of $61.0 million relating to the NovaQuest Facility, partially offset by an unrealized gain of $33.5 million relating to the Sumitomo Options.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termination of Sumitomo Options</w:t>
      </w:r>
    </w:p>
    <w:p>
      <w:pPr>
        <w:spacing w:after="0" w:line="25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Years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7620</wp:posOffset>
            </wp:positionV>
            <wp:extent cx="11398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ind w:left="7380"/>
        <w:spacing w:after="0"/>
        <w:tabs>
          <w:tab w:leader="none" w:pos="8520" w:val="left"/>
          <w:tab w:leader="none" w:pos="95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-3175</wp:posOffset>
            </wp:positionV>
            <wp:extent cx="18770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8240"/>
        <w:spacing w:after="0" w:line="235" w:lineRule="auto"/>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871845"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tabs>
          <w:tab w:leader="none" w:pos="7160" w:val="left"/>
          <w:tab w:leader="none" w:pos="8380" w:val="left"/>
          <w:tab w:leader="none" w:pos="8680" w:val="left"/>
          <w:tab w:leader="none" w:pos="9460" w:val="left"/>
        </w:tabs>
        <w:rPr>
          <w:sz w:val="20"/>
          <w:szCs w:val="20"/>
          <w:color w:val="auto"/>
        </w:rPr>
      </w:pPr>
      <w:r>
        <w:rPr>
          <w:rFonts w:ascii="Times New Roman" w:cs="Times New Roman" w:eastAsia="Times New Roman" w:hAnsi="Times New Roman"/>
          <w:sz w:val="18"/>
          <w:szCs w:val="18"/>
          <w:color w:val="auto"/>
        </w:rPr>
        <w:t>Gain on termination of Sumitomo Options</w:t>
      </w:r>
      <w:r>
        <w:rPr>
          <w:sz w:val="20"/>
          <w:szCs w:val="20"/>
          <w:color w:val="auto"/>
        </w:rPr>
        <w:tab/>
      </w:r>
      <w:r>
        <w:rPr>
          <w:rFonts w:ascii="Times New Roman" w:cs="Times New Roman" w:eastAsia="Times New Roman" w:hAnsi="Times New Roman"/>
          <w:sz w:val="18"/>
          <w:szCs w:val="18"/>
          <w:color w:val="auto"/>
        </w:rPr>
        <w:t>$(66,472)</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$(66,472)</w:t>
      </w:r>
    </w:p>
    <w:p>
      <w:pPr>
        <w:spacing w:after="0" w:line="20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Gain on termination of Sumitomo Options was $66.5 million for the year ended March 31, 2022 due to the completion of transactions contemplated by the Asset Purchase Agreement entered into with Sumitomo and SPC. See “Components of Results of Operations—Gain on termination of Sumitomo Options” above for additional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deconsolidation of subsidiary and consolidation of unconsolidated entity</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subsidiary and consolidation of unconsolidated entity</w:t>
            </w:r>
          </w:p>
        </w:tc>
        <w:tc>
          <w:tcPr>
            <w:tcW w:w="1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 (5,041)</w:t>
            </w: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(115,364)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$ 110,323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Gain on deconsolidation of subsidiary and consolidation of unconsolidated entity was $5.0 million and $115.4 million for the years ended March 31, 2022 and 2021, respectively. The gain of $5.0 million for the year ended March 31, 2021 resulted from the deconsolidation of a subsidiary. Gain on deconsolidation of subsidiary and consolidation of unconsolidated entity for the year ended March 31, 2021 primarily related to a gain of $86.5 million on the deconsolidation of Datavant in April 2020 and a gain of $28.8 million resulting from the remeasurement of our previously held interest in Genevant upon its consolidation in July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the years ended March 31, 2022 and 2021, we incurred net losses of $924.1 million and $900.2 million, respectively. As of March 31, 2022, we had cash and cash equivalents of approximately $2.1 billion and our accumulated deficit was approximately $2.8 billion. Through March 31, 2022, we have not generated any revenues from the sale of our product candidates. Through our subsidiary Dermavant, we have launched our first commercial product, VTAMA cream, following approval by the FDA in May 2022. Our revenue through March 31, 2022, primarily generated through license agreements as well as from subscription and service-based fees, has not been significant.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short-term and long-term liquidity requirements as of March 31, 2022 included:</w:t>
      </w:r>
    </w:p>
    <w:p>
      <w:pPr>
        <w:spacing w:after="0" w:line="131" w:lineRule="exact"/>
        <w:rPr>
          <w:sz w:val="20"/>
          <w:szCs w:val="20"/>
          <w:color w:val="auto"/>
        </w:rPr>
      </w:pPr>
    </w:p>
    <w:p>
      <w:pPr>
        <w:ind w:left="1080" w:right="60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payments related to our long-term debt (see Note 7, “Long-Term Debt and Loan Commitment” of our audited financial statements);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our operating leases (see Note 12, “Leases” of our audited financial statements);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commitments to Palantir Technologies Inc. (“Palantir”) totaling $30.0 million related to a master subscription agreement entered in May 2021 for access to Palantir’s proprietary software for a five-year period;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40"/>
          </w:cols>
          <w:pgMar w:left="320" w:top="482"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1"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commitments to Samsung Biologics Co., Ltd. (“Samsung”) pursuant to a Product Service Agreement entered between Immunovant and Samsung by which Samsung will manufacture and supply Immunovant with batoclimab drug substance for commercial sale and perform other manufacturing-related services with respect to batoclimab. The minimum purchase commitment related to this agreement is estimated to be approximately $36.0 million.</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Additionally, we have certain payment obligations under various asset acquisition and license agreements. Under these agreements we are required to make milestone payments upon successful completion and achievement of certain development, regulatory and commercial milestones. The payment obligations under the asset acquisition and license agreements are contingent upon future events such as our achievement of specified development, regulatory and commercial milestones, and we will be required to make milestone payments and royalty payments in connection with the sale of products developed under these agreements.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May 2022, VTAMA (tapinarof) cream was approved by the FDA as the first and only FDA-approved steroid-free topical medication in its class for the treatment of plaque psoriasis in adult patients. As a result of FDA approval, Dermavant achieved a regulatory milestone to GSK of</w:t>
      </w: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£100.0 million (approximately $126 million on the date of achievement), which will be paid within 70 calendar days of FDA approval. Additionally, the first sale of VTAMA cream in May 2022 resulted in the achievement of a milestone to Welichem Biotech Inc. of CAD$25.0 million (approximately $20 million on the date of achievement), which will be paid within 60 calendar days of the invoice date. Dermavant intends to primarily use the RIPSA proceeds for the payment of these obligations.</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Apart from the above mentioned regulatory milestones related to VTAMA (tapinarof) cream, the payment obligations under our asset acquisition and license agreements are contingent upon future events and the amount, timing, and likelihood of such payments are not know.</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CROs and other vendors for clinical trials and with vendors for preclinical studies and other services and products for operating purposes, which are generally cancelable upon written notice.</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expect our existing cash and cash equivalents will be sufficient to fund our committed operating expenses and capital expenditure requirements for at least the next twelve months based on current operating plans and financial forecasts. However, we have based this estimate on assumptions that may prove to be wrong, which may require us to use our capital resources sooner than expected. See “Forward-Looking Statements” and “Risk Factors” in this Annual Report on Form 10-K.</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operations to date have been financed primarily through the sale of equity securities, sale of subsidiary interests, debt financings and revenue generated from licensing and collaboration arrangements.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RSL Equity Financing Transactions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inception, we have completed multiple equity financing transactions, including the following:</w:t>
      </w:r>
    </w:p>
    <w:p>
      <w:pPr>
        <w:spacing w:after="0" w:line="11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December 2019, in connection with the Sumitomo Transaction, we raised net proceeds of approximately $999.2 million in connection with the sale of our common shares to Sumitomo.</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September 2021, we completed our Business Combination with MAAC, a special purpose acquisition company, as well as concurrent PIPE Financing. In connection with the Business Combination and PIPE Financing, we received approximately $213.4 million in cash at closing.</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On February 14, 2022, we entered into a committed equity facility (the “Facility”) with an affiliate of Cantor Fitzgerald &amp; Co. (“Cantor”). Under the terms of the Facility, Cantor has committed to purchase up to an aggregate of $250.0 million in our common shares from time to time at our request, subject to certain limitations and the satisfaction of certain conditions. Any sales of our common shares to Cantor under the Facility will be made at 99% of the volume-weighted average price of our common shares on Nasdaq on a given trading day.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82"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consideration for entry into the Facility, we paid Cantor an upfront commitment fee in the form of 145,986 common shares. As of March 31, 2022, $250.0 million of our common shares remained available for sale under the Facility.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Sumitomo Transaction</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December 2019, we closed the Sumitomo Transaction, including the transfer of our ownership interest in five Vants—Myovant Sciences Ltd., Urovant Sciences Ltd., Enzyvant Therapeutics Ltd., Altavant Sciences Ltd., and Spirovant Sciences Ltd.—to Sumitovant Biopharma Ltd. (“Sumitovant”), a wholly-owned subsidiary of Sumitomo. In addition, in connection with the Sumitomo Transaction, we (i) granted Sumitomo options to purchase all, or in the case of Dermavant, 75%, of our ownership interests in six other subsidiaries and (ii) provided Sumitomo and Sumitovant with certain rights over and access to our proprietary technology platforms, DrugOme and Digital Innovation. In exchange for these components of the Sumitomo Transaction, we received approximately $1.9 billion in cash, which was in addition to the approximately $999.2 million from the sale of our common shares to Sumitomo as discussed above.</w:t>
      </w:r>
    </w:p>
    <w:p>
      <w:pPr>
        <w:spacing w:after="0" w:line="18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June 2021, we completed a transaction with Sumitomo pursuant to which Sumitomo terminated its existing options to acquire our equity interests in certain of our subsidiaries. See “Components of Results of Operations—Gain on termination of Sumitomo Options” above for additional information.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Vant Equity Financing Transactions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inception, we have completed multiple Vant equity financing transactions, including the following: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Immunovant</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December 2019, Immunovant raised $111.0 million (including $5.1 million related to common shares purchased by us) through a business combination with Health Sciences Acquisition Corporation, a special purpose acquisition company.</w:t>
      </w:r>
    </w:p>
    <w:p>
      <w:pPr>
        <w:spacing w:after="0" w:line="16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Additionally, during the years ended March 31, 2021 and 2020, Immunovant issued shares of common stock for an aggregate net proceeds of $384.9 million (including an aggregate of $27.5 million of shares of common stock purchased by us) in private financings, underwritten public offerings, and warrant exercises.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Proteovant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December 2020, following Proteovant Sciences, Inc’s (“Proteovant”) acquisition of Oncopia in November 2020, SK, Inc. (formerly known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 Holdings Co., Ltd.) (“SK”) entered into a subscription agreement (the “Subscription Agreement”) pursuant to which SK agreed to make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$200.0 million equity investment in Proteovant, representing an ownership interest of 40.0% on the closing date. In January 2021, in accordance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terms of the Subscription Agreement, SK made the first payment of $100.0 million to Proteovant. In July 2021, Proteovant collected the subscription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receivable relating to the second $100.0 million payment due under the SK Subscription Agreement.</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Vant Debt Financings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inception, we have completed multiple Vant debt financings, including the following: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Dermavant</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May 2019, Dermavant entered into a loan and security agreement (the “Hercules Loan Agreement”) with Hercules, pursuant to which Dermavant borrowed an aggregate of $20.0 million. In May 2021, all amounts outstanding under the Hercules Loan Agreement were repaid using the proceeds from the $40.0 million senior secured credit facility entered into by Dermavant in May 2021, and Dermavant terminated the Hercules Loan Agreement.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82"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approval of VTAMA cream by the FDA in May 2022, Dermavant received $160.0 million in June 2022 pursuant to the terms of the revenue interest purchase and sale agreement entered with XYQ Luxco, NovaQuest Co-Investment Fund XVII, L.P., an affiliate of NovaQuest Capital Management, LLC, and MAM Tapir Lender, LLC, an affiliate of Marathon Asset Management, L.P., together with U.S. Bank National Association, as collateral agent. Under the terms of the RIPSA, the Purchasers procured a capped single-digit revenue interest in net sales of tapinarof for all dermatological indications in the United States, up to a cap of $344.0 million, in exchange for $160.0 million in committed funding to be paid to Dermavant, conditional based on the approval of tapinarof by the FDA. As described above, Dermavant intends to primarily use the RIPSA proceeds for the payment of certain one-time milestone obligations that became payable upon the approval and commercialization of VTAMA (tapinarof) cream for the treatment of plaque psoriasis in adult patients in the United States.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Datavant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July 2021, we received approximately $320 million in cash as a result of the Datavant Merger.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120" w:right="500" w:firstLine="440"/>
        <w:spacing w:after="0" w:line="258"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advance the discovery efforts, preclinical activities, clinical trials and potential commercialization of our product candidates. Additionally, we expect to incur significant commercialization expenses with respect to VTAMA cream. Our operating results, including our net losses, may fluctuate significantly from quarter-to-quarter and year-to-year, depending on the timing of our planned clinical trials, our expenditures on other research and development activities and our commercialization efforts. We anticipate that our expenses will increase substantially as we:</w:t>
      </w:r>
    </w:p>
    <w:p>
      <w:pPr>
        <w:spacing w:after="0" w:line="89"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preclinical studies and clinical trials for our product candidates, which we are pursuing or may choose to pursue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the manufacturing of drug substance and drug product of our product candidates in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develop and commercialize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activities related to the discovery of novel drugs and advancement of our internal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efforts;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under our agreements with third parties that will require us to make substantial payments to those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our sales, marketing and distribution infrastructure and scale up external manufacturing capabilities to commercialize VTAMA and any drug candidates for which we may obtain regulatory approval;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expect to continue to finance our cash needs through a combination of our cash on hand and future equity offerings, debt financings, sales of subsidiaries, and collaborations, strategic alliances or marketing, distribution, licensing or similar arrangements with third parties. To the extent that we raise additional capital through the sale of equity or convertible debt securities, your ownership interest will be diluted, and the terms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82"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these securities may include liquidation or other preferences that adversely affect your rights as a common shareholder. Any agreements for future debt or preferred equity financings, if available, may involve covenants limiting or restricting our ability to take specific actions, such as incurring additional debt, making capital expenditures or declaring dividends. Our ability to raise additional capital may be adversely impacted by potential worsening global economic conditions and the recent disruptions to, and volatility in, the credit and financial markets in the United States and worldwide.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licensing or similar arrangements with third parties, we may be required to relinquish valuable rights to our technologies, future revenue streams, research programs or product candidates or to grant licenses on terms that may not be favorable to us. Adequate additional funding may not be available to us on acceptable terms, or at all. If we are unable to raise capital in sufficient amounts or on terms acceptable to us, we may have to significantly delay, scale back or discontinue the development or commercialization of our product candidates, grant rights to develop and market product candidates that we would otherwise prefer to develop and market ourselves or potentially discontinue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ended March 31, 2022 and 2021:</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4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3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$(677,729)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(552,138)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3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$ 303,295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(31,702)</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$ 306,792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456,264</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represents the cash receipts and disbursements related to all of our activities other than investing and financing activities. Cash flow from operating activities is derived from adjusting our net loss for non-cash items and changes in working capital.</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For the year ended March 31, 2022, cash used in operating activities increased by $125.6 million to $677.7 million compared to the year ended March 31, 2021. This increase was primarily driven by an increase in cash required to fund operations, particularly as a result of the progression of Vant programs and payments made for a one-time milestone expense and purchases of clinical product as we prepared for a commercial launch of VTAMA cream and incurred costs associated with our Phase 3 clinical program in atopic dermatitis at Dermavant. Additionally, in November 2021, we made a $50.0 million cash payment related to the previously-disclosed $100.0 million second tranche of consideration due in connection with the acquisition of Silicon Therapeutics, LLC. The remaining consideration was settled by the issuance of 6,348,057 of our common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Cash flow from investing activities includes cash used for acquisitions, net of cash acquired; proceeds from investments; dispositions, net of cash disposed; capital expenditures; and purchases of equity securities and other investments.</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March 31, 2022, cash flow from investing activities changed by $335.0 million to net cash provided by investing activities of $303.3 million from net cash used in investing activities of $31.7 million for the year ended March 31, 2021. This change in cash flow from investing activities is primarily due to approximately $320 million in cash we received as a result of the Datavant Merger.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82"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the year ended March 31, 2022, cash provided by financing activities decreased by $149.5 million to $306.8 million compared to the year ended March 31, 2021. During the year ended March 31, 2022, proceeds were generated by the completion of our Business Combination and PIPE financing in September 2021, payment of the subscription receivable due to Proteovant by SK in July 2021, and the senior secured credit facility entered into by Dermavant and certain of its subsidiaries with XYQ Luxco, as lender, and U.S. Bank National Association, as collateral agent, partially offset by cash used to repay all amounts outstanding under a previously existing loan and security agreement with Hercules Capital, Inc. During the year ended March 31, 2021, cash provided by financing activities was primarily driven by the issuance of equity by our majority-owned subsidiaries, Immunovant and Proteovant.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(“U.S. GAAP”). The preparation of these financial statements requires us to make estimates, judgments and assumptions that affect the reported amounts of assets and liabilities, and disclosures of contingencies as of the dates of the financial statements, and the reported amounts of revenues and expenses during the reporting periods. In accordance with U.S. GAAP,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circumstances, facts, or experience. Changes in estimates and assumptions are reflected in reported results in the period in which they become known.</w:t>
      </w:r>
    </w:p>
    <w:p>
      <w:pPr>
        <w:spacing w:after="0" w:line="188"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define our critical accounting policies as those under U.S. GAAP that require us to make subjective estimates and judgments about matters that are uncertain and are likely to have a material impact on our financial condition and results of operations, as well as the specific manner in which we apply those principles.</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“Summary of Significant Accounting Policies” in our consolidated financial statements included elsewhere in this Annual Report on Form 10-K, we believe that the following accounting policies are those most critical to the judgments and estimates used in the preparation of our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 We expense research and development costs as incurred.</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accrue expense for preclinical studies and clinical trial activities performed by vendors based upon estimates of the proportion of work completed. We determine such estimates by reviewing contracts, vendor agreements and purchase orders, and through discussions with our internal personnel and external service providers as to the progress or stage of completion and the agreed-upon fee to be paid for such services. However, actual costs and timing of preclinical studies and clinical trials are highly uncertain, subject to risks, and may change depending upon a number of factors, including our clinical development plan.</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make estimates of our accrued expenses as of each balance sheet date in our financial statements based on facts and circumstances known at that time. If the actual timing of the performance of services or the level of effort varies from the estimate, the accrual is adjusted accordingly. Nonrefundable advance payments for goods and services are deferred and recognized as expense in the period that the related goods are consumed or services are performed.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82"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recognize compensation costs related to share-based awards granted to employees, directors, and consultants based on the estimated fair value of the awards on the date of grant. The grant date fair value of the stock-based awards is recognized over the requisite service period, which is generally the vesting period of the respective awards. We may grant awards with graded-vesting features. When such awards have only service vesting requirements, we elected to record share-based compensation expense on a straight-line basis. If awards with graded-vesting features contain performance or market conditions, then we record share-based compensation expense using the accelerated attribution method.</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option-pricing model, which requires assumptions, including the fair value of our common shares prior to our initial public offering, volatility, the expected term of our stock options, the risk-free interest rate for a period that approximates the expected term of our stock options, and our expected dividend yield. Certain assumptions used in our Black-Scholes option-pricing model represent management’s best estimates and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subjective assumptions are estimated as follows:</w:t>
      </w:r>
    </w:p>
    <w:p>
      <w:pPr>
        <w:spacing w:after="0" w:line="11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Fair value of common share</w:t>
      </w:r>
      <w:r>
        <w:rPr>
          <w:rFonts w:ascii="Times New Roman" w:cs="Times New Roman" w:eastAsia="Times New Roman" w:hAnsi="Times New Roman"/>
          <w:sz w:val="18"/>
          <w:szCs w:val="18"/>
          <w:color w:val="auto"/>
        </w:rPr>
        <w:t>—Prior to the closing of the Business Combination, as a privately held company, we estimated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underlying our share-based awards on each grant date. To determine the fair value of our common shares underlying option grants, we considered, among other things, valuations of our common share prepared by an unrelated third-party valuation firm in accordance with the guidance provided by the American Institute of Certified Public Accountants Practice Guide, Valuation of Privately-Held-Company Equity Securities Issued as Compensation. The estimation of the fair value of the common shares considered factors including the following:</w:t>
      </w:r>
    </w:p>
    <w:p>
      <w:pPr>
        <w:spacing w:after="0" w:line="91"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common shares sold to investors in arm’s length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present value of our future cash flows;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forecasted operating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illiquid nature of our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information such as market size and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of comparable companies and the estimated value of transactions such companies have engaged in;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apply a similar methodology to estimate the fair value of the shares of common stock underlying share-based awards issued by our privately held Vants. Following the closing of the Company’s business combination with MAAC, our common shares became publicly traded and we began determining the fair value of each common share underlying share-based awards based on the closing price of our common shares as reported by Nasdaq on the date of grant. Therefore, it will not be necessary to determine the fair value of the new stock-based award pursuant to the methodology described above.</w:t>
      </w:r>
    </w:p>
    <w:p>
      <w:pPr>
        <w:spacing w:after="0" w:line="181"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—We have generally elected to use the “simplified method” for estimating the expected term of options, whereby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equals the arithmetic average of the vesting term and the original contractual term of the option (generally 10 years).</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80"/>
          </w:cols>
          <w:pgMar w:left="320" w:top="482" w:right="4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—Prior to the closing of the Business Combination, we were a privately held company and did not have any trading history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shares; accordingly, the expected volatility was estimated based on the average volatility for comparable publicly traded biotechnology companies over a period equal to the expected term of the stock option grants. The comparable companies were chosen based on their similar size, stage in the life cycle or area of specialty. We apply similar methodology to estimate the expected volatility at our privately held Vants. Because we do not have an extended trading history for our shares of common stock since the closing of the Business Combination, the method used to estimate the expected volatility remained unchanged.</w:t>
      </w:r>
    </w:p>
    <w:p>
      <w:pPr>
        <w:spacing w:after="0" w:line="182"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rate assumption is based on the U.S. Treasury instruments with maturities similar to the expected term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at the time of the grant.</w:t>
      </w:r>
    </w:p>
    <w:p>
      <w:pPr>
        <w:spacing w:after="0" w:line="158"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—We have not issued any dividends in our history and do not expect to issue dividends over the life of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we have estimated the dividend yield to be zero.</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“Summary of Significant Accounting Policies” in our consolidated financial statements included elsewhere in this Annual Report on Form 10-K.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of 2012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certain requirements related to the disclosure of executive compensation in this Annual Report on Form 10-K and in our periodic reports and proxy statements, and the requirement that we hold a nonbinding advisory vote on executive compensation and any golden parachute payments. We have also taken advantage of the ability to provide reduced disclosure of financial information in this Annual Report on Form 10-K,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 However, because we have taken advantage of certain reduced reporting requirements, the information contained herein may be different from the information you receive from other public companies in which you hold shares.</w:t>
      </w:r>
    </w:p>
    <w:p>
      <w:pPr>
        <w:spacing w:after="0" w:line="19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date of the first sale of Roivant common shares pursuant to an effective registration statement or (b) in which we have total annual gross revenue of at least $1.07 billion (as adjusted for inflation pursuant to SEC rules from time to time), and (2) the date on which (x) we are deemed to be a large accelerated filer, which means the market value of Roivant common shares that are held by non-affiliates exceeds $700 million as of the prior September 30th, or</w:t>
      </w:r>
    </w:p>
    <w:p>
      <w:pPr>
        <w:spacing w:after="0" w:line="3" w:lineRule="exact"/>
        <w:rPr>
          <w:sz w:val="20"/>
          <w:szCs w:val="20"/>
          <w:color w:val="auto"/>
        </w:rPr>
      </w:pPr>
    </w:p>
    <w:p>
      <w:pPr>
        <w:ind w:left="5480" w:right="2520" w:hanging="5364"/>
        <w:spacing w:after="0" w:line="433" w:lineRule="auto"/>
        <w:tabs>
          <w:tab w:leader="none" w:pos="36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prior three-year period. 183</w:t>
      </w:r>
    </w:p>
    <w:p>
      <w:pPr>
        <w:sectPr>
          <w:pgSz w:w="11900" w:h="16838" w:orient="portrait"/>
          <w:cols w:equalWidth="0" w:num="1">
            <w:col w:w="11100"/>
          </w:cols>
          <w:pgMar w:left="320" w:top="482"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more difficult.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Under SEC rules and regulations, because we are considered to be a “smaller reporting company,” we are not required to provide the information required by this item in this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00"/>
          </w:cols>
          <w:pgMar w:left="320" w:top="482" w:right="5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02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No. 42)</w:t>
            </w: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186</w:t>
            </w:r>
          </w:p>
        </w:tc>
      </w:tr>
      <w:tr>
        <w:trPr>
          <w:trHeight w:val="345"/>
        </w:trPr>
        <w:tc>
          <w:tcPr>
            <w:tcW w:w="57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450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r>
      <w:tr>
        <w:trPr>
          <w:trHeight w:val="283"/>
        </w:trPr>
        <w:tc>
          <w:tcPr>
            <w:tcW w:w="380" w:type="dxa"/>
            <w:vAlign w:val="bottom"/>
          </w:tcPr>
          <w:p>
            <w:pPr>
              <w:spacing w:after="0"/>
              <w:rPr>
                <w:sz w:val="24"/>
                <w:szCs w:val="24"/>
                <w:color w:val="auto"/>
              </w:rPr>
            </w:pPr>
          </w:p>
        </w:tc>
        <w:tc>
          <w:tcPr>
            <w:tcW w:w="4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March 31, 2022 and 2021</w:t>
            </w:r>
          </w:p>
        </w:tc>
        <w:tc>
          <w:tcPr>
            <w:tcW w:w="550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304"/>
        </w:trPr>
        <w:tc>
          <w:tcPr>
            <w:tcW w:w="380" w:type="dxa"/>
            <w:vAlign w:val="bottom"/>
          </w:tcPr>
          <w:p>
            <w:pPr>
              <w:spacing w:after="0"/>
              <w:rPr>
                <w:sz w:val="24"/>
                <w:szCs w:val="24"/>
                <w:color w:val="auto"/>
              </w:rPr>
            </w:pPr>
          </w:p>
        </w:tc>
        <w:tc>
          <w:tcPr>
            <w:tcW w:w="6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Consolidated Statements of Operations for the Years Ended March 31, 2022 and 2021</w:t>
            </w:r>
          </w:p>
        </w:tc>
        <w:tc>
          <w:tcPr>
            <w:tcW w:w="370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304"/>
        </w:trPr>
        <w:tc>
          <w:tcPr>
            <w:tcW w:w="380" w:type="dxa"/>
            <w:vAlign w:val="bottom"/>
          </w:tcPr>
          <w:p>
            <w:pPr>
              <w:spacing w:after="0"/>
              <w:rPr>
                <w:sz w:val="24"/>
                <w:szCs w:val="24"/>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Loss for the Years Ended March 31, 2022 and 2021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98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and Redeemable Noncontrolling Interest for the Years Ended March 31, 2022 and 2021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304"/>
        </w:trPr>
        <w:tc>
          <w:tcPr>
            <w:tcW w:w="380" w:type="dxa"/>
            <w:vAlign w:val="bottom"/>
          </w:tcPr>
          <w:p>
            <w:pPr>
              <w:spacing w:after="0"/>
              <w:rPr>
                <w:sz w:val="24"/>
                <w:szCs w:val="24"/>
                <w:color w:val="auto"/>
              </w:rPr>
            </w:pPr>
          </w:p>
        </w:tc>
        <w:tc>
          <w:tcPr>
            <w:tcW w:w="6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March 31, 2022 and 2021</w:t>
            </w:r>
          </w:p>
        </w:tc>
        <w:tc>
          <w:tcPr>
            <w:tcW w:w="364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304"/>
        </w:trPr>
        <w:tc>
          <w:tcPr>
            <w:tcW w:w="380" w:type="dxa"/>
            <w:vAlign w:val="bottom"/>
          </w:tcPr>
          <w:p>
            <w:pPr>
              <w:spacing w:after="0"/>
              <w:rPr>
                <w:sz w:val="24"/>
                <w:szCs w:val="24"/>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385"/>
        </w:trPr>
        <w:tc>
          <w:tcPr>
            <w:tcW w:w="380" w:type="dxa"/>
            <w:vAlign w:val="bottom"/>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Roivant Sciences Ltd.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Roivant Sciences Ltd. (the Company) as of March 31, 2022 and 2021, the related consolidated statements of operations, comprehensive loss, shareholders’ equity and redeemable noncontrolling interest and cash flows for each of the two years in the period ended March 31, 2022, and the related notes (collectively referred to as the “consolidated financial statements”). In our opinion, the consolidated financial statements present fairly, in all material respects, the financial position of the Company at March 31, 2022 and 2021, and the results of its operations and its cash flows for each of the two years in the period ended March 31, 2022,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28, 2022</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82"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183"/>
        </w:trPr>
        <w:tc>
          <w:tcPr>
            <w:tcW w:w="844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2,060,400</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2,055,044</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3,903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77,701</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82,220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54,250</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2,146,523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2,186,995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25,905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14,749</w:t>
            </w: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61,044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62,279</w:t>
            </w: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net of current portion</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9,731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8,931</w:t>
            </w: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Investments measured at fair value</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325,834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188,978</w:t>
            </w: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investment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100,563</w:t>
            </w: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16,092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27,197</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2,585,129</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2,589,692</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34,583</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20,550</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127,531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76,936</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11,398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12,313</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consideration liability</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100,000</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revenue</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10,147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5,918</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708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3,244</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 instruments measured at fair value</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44,912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67,893</w:t>
            </w: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62,468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62,384</w:t>
            </w:r>
          </w:p>
        </w:tc>
        <w:tc>
          <w:tcPr>
            <w:tcW w:w="0" w:type="dxa"/>
            <w:vAlign w:val="bottom"/>
          </w:tcPr>
          <w:p>
            <w:pPr>
              <w:spacing w:after="0"/>
              <w:rPr>
                <w:sz w:val="1"/>
                <w:szCs w:val="1"/>
                <w:color w:val="auto"/>
              </w:rPr>
            </w:pPr>
          </w:p>
        </w:tc>
      </w:tr>
      <w:tr>
        <w:trPr>
          <w:trHeight w:val="181"/>
        </w:trPr>
        <w:tc>
          <w:tcPr>
            <w:tcW w:w="84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Long-term debt (includes $177,400 and $150,100 accounted for under the fair value option at March 31, 2022 and</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60" w:type="dxa"/>
            <w:vAlign w:val="bottom"/>
            <w:shd w:val="clear" w:color="auto" w:fill="CCEEFF"/>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 respectively)</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210,025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170,280</w:t>
            </w: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13,740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8,183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8,169</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523,695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13)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22,491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22,491</w:t>
            </w: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Shareholders’ equity:</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8280" w:type="dxa"/>
            <w:vAlign w:val="bottom"/>
          </w:tcPr>
          <w:p>
            <w:pPr>
              <w:ind w:left="180"/>
              <w:spacing w:after="0" w:line="181" w:lineRule="exact"/>
              <w:rPr>
                <w:sz w:val="20"/>
                <w:szCs w:val="20"/>
                <w:color w:val="auto"/>
              </w:rPr>
            </w:pPr>
            <w:r>
              <w:rPr>
                <w:rFonts w:ascii="Times New Roman" w:cs="Times New Roman" w:eastAsia="Times New Roman" w:hAnsi="Times New Roman"/>
                <w:sz w:val="17"/>
                <w:szCs w:val="17"/>
                <w:color w:val="auto"/>
              </w:rPr>
              <w:t>Common shares, par value $0.0000000341740141 per share, 7,000,000,000 shares authorized and 694,975,965</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and 651,576,293 shares issued and outstanding at March 31, 2022 and 2021, respectively</w:t>
            </w: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4,421,614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3,814,805</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Subscription receivable</w:t>
            </w:r>
          </w:p>
        </w:tc>
        <w:tc>
          <w:tcPr>
            <w:tcW w:w="16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(100,000)</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(2,763,724)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(1,918,462)</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1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(946)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1,445</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Shareholders’ equity attributable to Roivant Sciences Ltd.</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1,656,944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1,797,788</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381,999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241,726</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2,038,943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2,039,514</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liabilities, redeemable noncontrolling interest and shareholders’ equity</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2,585,129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2,589,692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w w:val="99"/>
              </w:rPr>
              <w:t>(1)</w:t>
            </w:r>
          </w:p>
        </w:tc>
        <w:tc>
          <w:tcPr>
            <w:tcW w:w="82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Retroactively restated for the stock subdivision as described in Note 3.</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60" w:type="dxa"/>
            <w:vAlign w:val="bottom"/>
            <w:vMerge w:val="continue"/>
          </w:tcPr>
          <w:p>
            <w:pPr>
              <w:spacing w:after="0"/>
              <w:rPr>
                <w:sz w:val="24"/>
                <w:szCs w:val="24"/>
                <w:color w:val="auto"/>
              </w:rPr>
            </w:pPr>
          </w:p>
        </w:tc>
        <w:tc>
          <w:tcPr>
            <w:tcW w:w="8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82"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0" w:type="dxa"/>
            <w:vAlign w:val="bottom"/>
          </w:tcPr>
          <w:p>
            <w:pPr>
              <w:spacing w:after="0"/>
              <w:rPr>
                <w:sz w:val="1"/>
                <w:szCs w:val="1"/>
                <w:color w:val="auto"/>
              </w:rPr>
            </w:pPr>
          </w:p>
        </w:tc>
      </w:tr>
      <w:tr>
        <w:trPr>
          <w:trHeight w:val="142"/>
        </w:trPr>
        <w:tc>
          <w:tcPr>
            <w:tcW w:w="240" w:type="dxa"/>
            <w:vAlign w:val="bottom"/>
            <w:tcBorders>
              <w:bottom w:val="single" w:sz="8" w:color="CCEEFF"/>
            </w:tcBorders>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80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(includes $63,735 and $22,637 of share-based compensation expense for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years ended March 31, 2022 and 2021, respectively)</w:t>
            </w:r>
          </w:p>
        </w:tc>
        <w:tc>
          <w:tcPr>
            <w:tcW w:w="10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483,035</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236,626</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139,894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596,132</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80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General and administrative (includes $501,221 and $62,321 of share-based compensation expense for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years ended March 31, 2022 and 2021, respectively)</w:t>
            </w:r>
          </w:p>
        </w:tc>
        <w:tc>
          <w:tcPr>
            <w:tcW w:w="10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775,033</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259,878</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1,406,928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1,094,693</w:t>
            </w:r>
          </w:p>
        </w:tc>
        <w:tc>
          <w:tcPr>
            <w:tcW w:w="0" w:type="dxa"/>
            <w:vAlign w:val="bottom"/>
          </w:tcPr>
          <w:p>
            <w:pPr>
              <w:spacing w:after="0"/>
              <w:rPr>
                <w:sz w:val="1"/>
                <w:szCs w:val="1"/>
                <w:color w:val="auto"/>
              </w:rPr>
            </w:pPr>
          </w:p>
        </w:tc>
      </w:tr>
      <w:tr>
        <w:trPr>
          <w:trHeight w:val="230"/>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(1,351,642)</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87,291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(95,533)</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(443,754)</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29,845</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termination of Sumitomo Options</w:t>
            </w: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(66,472)</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subsidiary and consolidation of unconsolidated entity</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(115,364)</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8,701</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(923,747)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(898,547)</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(924,116)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(900,233)</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(78,854)</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(90,999)</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Roivant Sciences Ltd.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(845,262)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(809,234)</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share—basic and diluted(1)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Weighted average shares outstanding—basic and diluted</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7"/>
              </w:rPr>
              <w:t>669,753,458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630,046,720</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w:t>
            </w:r>
          </w:p>
        </w:tc>
        <w:tc>
          <w:tcPr>
            <w:tcW w:w="8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Retroactively restated for the stock subdivision as described in Note 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vMerge w:val="continue"/>
          </w:tcPr>
          <w:p>
            <w:pPr>
              <w:spacing w:after="0"/>
              <w:rPr>
                <w:sz w:val="24"/>
                <w:szCs w:val="24"/>
                <w:color w:val="auto"/>
              </w:rPr>
            </w:pPr>
          </w:p>
        </w:tc>
        <w:tc>
          <w:tcPr>
            <w:tcW w:w="8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40"/>
          </w:cols>
          <w:pgMar w:left="320" w:top="482"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20" w:type="dxa"/>
            <w:vAlign w:val="bottom"/>
          </w:tcPr>
          <w:p>
            <w:pPr>
              <w:spacing w:after="0"/>
              <w:rPr>
                <w:sz w:val="15"/>
                <w:szCs w:val="15"/>
                <w:color w:val="auto"/>
              </w:rPr>
            </w:pPr>
          </w:p>
        </w:tc>
        <w:tc>
          <w:tcPr>
            <w:tcW w:w="20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9020" w:type="dxa"/>
            <w:vAlign w:val="bottom"/>
          </w:tcPr>
          <w:p>
            <w:pPr>
              <w:spacing w:after="0"/>
              <w:rPr>
                <w:sz w:val="12"/>
                <w:szCs w:val="12"/>
                <w:color w:val="auto"/>
              </w:rPr>
            </w:pPr>
          </w:p>
        </w:tc>
        <w:tc>
          <w:tcPr>
            <w:tcW w:w="76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209"/>
        </w:trPr>
        <w:tc>
          <w:tcPr>
            <w:tcW w:w="9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(924,116)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(900,233)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(2,271)</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3,826</w:t>
            </w:r>
          </w:p>
        </w:tc>
      </w:tr>
      <w:tr>
        <w:trPr>
          <w:trHeight w:val="230"/>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(926,387)</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(896,407)</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(78,734)</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(90,967)</w:t>
            </w:r>
          </w:p>
        </w:tc>
      </w:tr>
      <w:tr>
        <w:trPr>
          <w:trHeight w:val="27"/>
        </w:trPr>
        <w:tc>
          <w:tcPr>
            <w:tcW w:w="90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Roivant Sciences Ltd.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(847,653)</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(805,440)</w:t>
            </w:r>
          </w:p>
        </w:tc>
      </w:tr>
      <w:tr>
        <w:trPr>
          <w:trHeight w:val="20"/>
        </w:trPr>
        <w:tc>
          <w:tcPr>
            <w:tcW w:w="9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40"/>
          </w:cols>
          <w:pgMar w:left="320" w:top="482"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and Redeemable Noncontrolling Interest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Shareholders’ Equity</w:t>
            </w:r>
            <w:r>
              <w:rPr>
                <w:rFonts w:ascii="Times New Roman" w:cs="Times New Roman" w:eastAsia="Times New Roman" w:hAnsi="Times New Roman"/>
                <w:sz w:val="10"/>
                <w:szCs w:val="10"/>
                <w:b w:val="1"/>
                <w:bCs w:val="1"/>
                <w:color w:val="auto"/>
              </w:rPr>
              <w:t>(1)</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36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360" w:type="dxa"/>
            <w:vAlign w:val="bottom"/>
            <w:tcBorders>
              <w:bottom w:val="single" w:sz="8" w:color="auto"/>
            </w:tcBorders>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0"/>
                <w:szCs w:val="10"/>
                <w:color w:val="auto"/>
              </w:rPr>
            </w:pPr>
          </w:p>
        </w:tc>
        <w:tc>
          <w:tcPr>
            <w:tcW w:w="80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Subscription</w:t>
            </w:r>
          </w:p>
        </w:tc>
        <w:tc>
          <w:tcPr>
            <w:tcW w:w="100" w:type="dxa"/>
            <w:vAlign w:val="bottom"/>
          </w:tcPr>
          <w:p>
            <w:pPr>
              <w:spacing w:after="0"/>
              <w:rPr>
                <w:sz w:val="10"/>
                <w:szCs w:val="10"/>
                <w:color w:val="auto"/>
              </w:rPr>
            </w:pPr>
          </w:p>
        </w:tc>
        <w:tc>
          <w:tcPr>
            <w:tcW w:w="10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4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10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6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2020</w:t>
            </w:r>
          </w:p>
        </w:tc>
        <w:tc>
          <w:tcPr>
            <w:tcW w:w="14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22,491</w:t>
            </w:r>
          </w:p>
        </w:tc>
        <w:tc>
          <w:tcPr>
            <w:tcW w:w="82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628,779,048</w:t>
            </w:r>
          </w:p>
        </w:tc>
        <w:tc>
          <w:tcPr>
            <w:tcW w:w="22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$3,143,739</w:t>
            </w:r>
          </w:p>
        </w:tc>
        <w:tc>
          <w:tcPr>
            <w:tcW w:w="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(2,349)</w:t>
            </w:r>
          </w:p>
        </w:tc>
        <w:tc>
          <w:tcPr>
            <w:tcW w:w="18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(1,109,228)</w:t>
            </w:r>
          </w:p>
        </w:tc>
        <w:tc>
          <w:tcPr>
            <w:tcW w:w="18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54,042</w:t>
            </w:r>
          </w:p>
        </w:tc>
        <w:tc>
          <w:tcPr>
            <w:tcW w:w="20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2,086,204</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the Company’s common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21,077,155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301,744</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301,744</w:t>
            </w: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subsidiary common shares, net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324,995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231,102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456,097</w:t>
            </w:r>
          </w:p>
        </w:tc>
        <w:tc>
          <w:tcPr>
            <w:tcW w:w="0" w:type="dxa"/>
            <w:vAlign w:val="bottom"/>
          </w:tcPr>
          <w:p>
            <w:pPr>
              <w:spacing w:after="0"/>
              <w:rPr>
                <w:sz w:val="1"/>
                <w:szCs w:val="1"/>
                <w:color w:val="auto"/>
              </w:rPr>
            </w:pPr>
          </w:p>
        </w:tc>
      </w:tr>
      <w:tr>
        <w:trPr>
          <w:trHeight w:val="126"/>
        </w:trPr>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subsidiary common shares to the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(11,692)</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11,692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Company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subsidiary stock options and</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522</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385</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907</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subsidiary restricted stock units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Deconsolidation of subsidiary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(3,054)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(3,054)</w:t>
            </w: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Consolidation of unconsolidated entity</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9,178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9,178</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equity awards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26"/>
        </w:trPr>
        <w:tc>
          <w:tcPr>
            <w:tcW w:w="26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contribution to majority-owned</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(1,642)</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1,642</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subsidiaries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1,720,090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57,252</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27,706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84,958</w:t>
            </w: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3,794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3,826</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(809,234)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(90,999)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(900,233)</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22,491</w:t>
            </w: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651,576,293</w:t>
            </w:r>
          </w:p>
        </w:tc>
        <w:tc>
          <w:tcPr>
            <w:tcW w:w="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3,814,805</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1,445</w:t>
            </w:r>
          </w:p>
        </w:tc>
        <w:tc>
          <w:tcPr>
            <w:tcW w:w="1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(1,918,462)</w:t>
            </w: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241,726</w:t>
            </w:r>
          </w:p>
        </w:tc>
        <w:tc>
          <w:tcPr>
            <w:tcW w:w="2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2,039,514</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Issuance of subsidiary warrants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6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ind w:left="5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2,051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2,075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the Company’s common shares</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upon closing of Business Combination and</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32,372,478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129,097</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129,097</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PIPE Financing, net of issuance costs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the Company’s common shares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related to settlement of transaction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840,398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consideration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subsidiary preferred shares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0" w:type="dxa"/>
            <w:vAlign w:val="bottom"/>
          </w:tcPr>
          <w:p>
            <w:pPr>
              <w:spacing w:after="0"/>
              <w:rPr>
                <w:sz w:val="1"/>
                <w:szCs w:val="1"/>
                <w:color w:val="auto"/>
              </w:rPr>
            </w:pPr>
          </w:p>
        </w:tc>
      </w:tr>
      <w:tr>
        <w:trPr>
          <w:trHeight w:val="126"/>
        </w:trPr>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subsidiary common and preferred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(52,189)</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52,189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to the Company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subscription receivable</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equity awards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the Company’s common shares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7,369,000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57,167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57,167</w:t>
            </w:r>
          </w:p>
        </w:tc>
        <w:tc>
          <w:tcPr>
            <w:tcW w:w="0" w:type="dxa"/>
            <w:vAlign w:val="bottom"/>
          </w:tcPr>
          <w:p>
            <w:pPr>
              <w:spacing w:after="0"/>
              <w:rPr>
                <w:sz w:val="1"/>
                <w:szCs w:val="1"/>
                <w:color w:val="auto"/>
              </w:rPr>
            </w:pPr>
          </w:p>
        </w:tc>
      </w:tr>
      <w:tr>
        <w:trPr>
          <w:trHeight w:val="126"/>
        </w:trPr>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warrants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60,021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778</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71"/>
        </w:trPr>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 restricted stock</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2,757,775</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412</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 vested and settled</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Deconsolidation of subsidiary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3,578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3,578</w:t>
            </w:r>
          </w:p>
        </w:tc>
        <w:tc>
          <w:tcPr>
            <w:tcW w:w="0" w:type="dxa"/>
            <w:vAlign w:val="bottom"/>
          </w:tcPr>
          <w:p>
            <w:pPr>
              <w:spacing w:after="0"/>
              <w:rPr>
                <w:sz w:val="1"/>
                <w:szCs w:val="1"/>
                <w:color w:val="auto"/>
              </w:rPr>
            </w:pPr>
          </w:p>
        </w:tc>
      </w:tr>
      <w:tr>
        <w:trPr>
          <w:trHeight w:val="126"/>
        </w:trPr>
        <w:tc>
          <w:tcPr>
            <w:tcW w:w="26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contributions to majority-owned</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(10,219)</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10,219</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subsidiaries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519,712</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45,244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564,956</w:t>
            </w: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(2,391)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(845,262)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(78,854)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(924,116)</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22,491</w:t>
            </w: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694,975,965</w:t>
            </w:r>
          </w:p>
        </w:tc>
        <w:tc>
          <w:tcPr>
            <w:tcW w:w="2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4,421,614</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1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(2,763,724)</w:t>
            </w: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381,999</w:t>
            </w:r>
          </w:p>
        </w:tc>
        <w:tc>
          <w:tcPr>
            <w:tcW w:w="2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2,038,943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103"/>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Retroactively restated for the stock subdivision as described in Note 3.</w:t>
      </w: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82"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0" w:type="dxa"/>
            <w:vAlign w:val="bottom"/>
          </w:tcPr>
          <w:p>
            <w:pPr>
              <w:spacing w:after="0"/>
              <w:rPr>
                <w:sz w:val="1"/>
                <w:szCs w:val="1"/>
                <w:color w:val="auto"/>
              </w:rPr>
            </w:pPr>
          </w:p>
        </w:tc>
      </w:tr>
      <w:tr>
        <w:trPr>
          <w:trHeight w:val="142"/>
        </w:trPr>
        <w:tc>
          <w:tcPr>
            <w:tcW w:w="8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(924,116)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(900,233)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acquired in-process research and development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351,523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564,956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84,958</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87,291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(95,533)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(443,754)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29,845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deconsolidation of subsidiary and consolidation of unconsolidated entity</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(115,364)</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termination of Sumitomo Options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16,978</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 net of effects from acquisition and divestiture: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50,595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9,225</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consideration liability</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(37,839)</w:t>
            </w: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investment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320,170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(5,806)</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(25,896)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(31,702)</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Business Combination and PIPE Financing</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213,424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subsidiary common shares, net of issuance costs paid</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455,756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payment of subscription receivable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subsidiary debt financings, net of financing costs paid</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long-term debt by subsidiary</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offering costs and loan origination costs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(127,576)</w:t>
            </w: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2,269,252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2,074,034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2,141,676</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 receivable related to issuance of subsidiary common shares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6,035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paid: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paid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40"/>
          </w:cols>
          <w:pgMar w:left="320" w:top="482"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1—Description of Business and Liquidity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Roivant Sciences Ltd. (inclusive of its consolidated subsidiaries, the “Company” or “RSL”) aims to improve health by rapidly delivering innovative medicines and technologies to patients. The Company does this by building biotech and healthcare technology companies (“Vants”) and deploying technology to drive greater efficiency in research and development and commercialization. In addition to biopharmaceutical subsidiaries, the Company also builds technology Vants focused on improving the process of developing and commercializing medicines. The Company was founded on April 7, 2014 as a Bermuda exempted limited company.</w:t>
      </w:r>
    </w:p>
    <w:p>
      <w:pPr>
        <w:spacing w:after="0" w:line="183" w:lineRule="exact"/>
        <w:rPr>
          <w:sz w:val="20"/>
          <w:szCs w:val="20"/>
          <w:color w:val="auto"/>
        </w:rPr>
      </w:pPr>
    </w:p>
    <w:p>
      <w:pPr>
        <w:ind w:left="120" w:right="600" w:firstLine="440"/>
        <w:spacing w:after="0" w:line="218" w:lineRule="auto"/>
        <w:rPr>
          <w:sz w:val="20"/>
          <w:szCs w:val="20"/>
          <w:color w:val="auto"/>
        </w:rPr>
      </w:pPr>
      <w:r>
        <w:rPr>
          <w:rFonts w:ascii="Times New Roman" w:cs="Times New Roman" w:eastAsia="Times New Roman" w:hAnsi="Times New Roman"/>
          <w:sz w:val="18"/>
          <w:szCs w:val="18"/>
          <w:color w:val="auto"/>
        </w:rPr>
        <w:t>VTAMA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(tapinarof) cream was approved by the United States Food and Drug Administration (“FDA”) in May 2022 as the first and only FDA-approved steroid-free topical medication in its class for the treatment of plaque psoriasis in adult patients.</w:t>
      </w:r>
    </w:p>
    <w:p>
      <w:pPr>
        <w:spacing w:after="0" w:line="19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has one operating and reporting segment as it allocates resources and assesses financial performance on a consolidated basis. The Company’s subsidiaries are wholly owned subsidiaries and majority-owned or controlled subsidiaries. Refer to Note 4, “Investments” for further discussion of the Company’s investments in unconsolidated entities.</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On September 30, 2021, RSL completed its business combination with Montes Archimedes Acquisition Corp. (“MAAC”), a special purpose acquisition company, and began trading on Nasdaq under the ticker symbol “ROIV.” Refer to Note 3, “Business Combination with MAAC” for additional details.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Liquidity</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Company has incurred significant losses and negative cash flows from operations since its inception. As of March 31, 2022, the Company had cash and cash equivalents of approximately $2.1 billion and its accumulated deficit was approximately $2.8 billion. For the years ended March 31, 2022 and 2021, the Company incurred net losses of $924.1 million and $900.2 million, respectively. The Company has historically financed its operations primarily through the sale of equity securities, sale of subsidiary interests, debt financings and revenue generated from licensing and collaboration arrangements. Through March 31, 2022, the Company had not generated any revenue from the sale of its product candidates. Through its subsidiary Dermavant Sciences Ltd., the Company has launched its first commercial product, VTAMA cream, following approval by the FDA in May 2022.</w:t>
      </w:r>
    </w:p>
    <w:p>
      <w:pPr>
        <w:spacing w:after="0" w:line="17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 industry including, but not limited to, uncertainties related to commercialization of products, regulatory approvals to market its product candidates, dependence on key products, dependence on third-party service providers, such as contract research organizations, and protection of intellectual property rights. Management expects to incur additional losses in the future to fund its operations and conduct product research and development and recognizes the need to raise additional capital to fully implement its business plan.</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intends to raise such additional capital through the issuance of equity securities, debt financings or other sources in order to further implement its business plan. However, if such financing is not available at adequate levels, the Company will need to reevaluate its operating plan and may be required to delay the development of its product candidates or take other steps to conserve capital. The Company expects its existing cash and cash equivalents will be sufficient to fund its committed operating expenses and capital expenditure requirements for at least the next 12 months from the date of issuance of these consolidated financial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82"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Basis of Presentation and Principles of Consolidation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fiscal year ends on March 31, and its fiscal quarters end on June 30, September 30, and December 31.</w:t>
      </w:r>
    </w:p>
    <w:p>
      <w:pPr>
        <w:spacing w:after="0" w:line="11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and notes thereto have been prepared in accordance with accounting principles generally accepted in the United States (“U.S. GAAP”).</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references in these notes to applicable accounting guidance are meant to refer to the authoritative U.S. GAAP as found in the Accounting Standards Codification (“ASC”) and Accounting Standards Updates (“ASU”) of the Financial Accounting Standards Board (“FASB”). The consolidated financial statements include the accounts of RSL and the subsidiaries in which it has a controlling financial interest, most often through a majority voting interest. All intercompany balances and transactions have been eliminated in consolidation.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consolidated entities where the Company owns or is exposed to less than 100% of the economics, the Company records net loss attributable to noncontrolling interests in its consolidated statements of operations equal to the percentage of common stock ownership interest retained in the respective operations by the noncontrolling parties. The Company presents noncontrolling interests as a component of shareholders’ equity on its consolidated balance sheets.</w:t>
      </w:r>
    </w:p>
    <w:p>
      <w:pPr>
        <w:spacing w:after="0" w:line="180"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changes in its ownership interest in its subsidiaries while control is retained as equity transactions. The carrying amount of the noncontrolling interest is adjusted to reflect the change in RSL’s ownership interest in the subsidiary. Any difference between the fair value of the consideration received or paid and the amount by which the noncontrolling interest is adjusted is recognized within shareholders’ equity attributable to RSL.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Use of Estimates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Company regularly evaluates estimates and assumptions related to assets, liabilities, costs, expenses, contingent liabilities, share-based compensation and research and development costs.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Additionally, the Company assessed the impact that the COVID-19 pandemic has had on its operations and financial results as of March 31, 2022 and through the issuance of these consolidated financial statements. The Company’s analysis was informed by the facts and circumstances as they were known to the Company. This assessment considered the impact COVID-19 may have on financial estimates and assumptions that affect the reported amounts of assets and liabilities and expenses.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Concentrations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include cash and cash equivalents. The Company maintains cash deposits and cash equivalents in highly-rated, federally-insured financial institutions in excess of federally insured limits. The Company has established guidelines relative to diversification and maturities to maintain safety and liquidity. The Company has not experienced any credit losses related to these financial instruments and does not believe that it is exposed to any significant credit risk related to these instruments.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00"/>
          </w:cols>
          <w:pgMar w:left="320" w:top="482" w:right="4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has long-lived assets in different geographic locations. As of March 31, 2022 and 2021, a majority of the Company’s long-lived assets were located in the United States.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Cash, Cash Equivalents, and Restricted Cash</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deposits in banks and all highly liquid investments that are readily convertible to cash. The Company considers all highly liquid investments purchased with original maturities of three months or less to be cash equivalents.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Restricted cash classified as a current asset consists of legally restricted non-interest bearing deposit accounts relating to the Company’s corporate credit card programs. Restricted cash classified as a long-term asset consists of restricted deposit accounts related to irrevocable standby letters of credit. As of March 31, 2021, restricted cash classified as a current asset included $75.0 million held in escrow for the purpose of fulfilling certain indemnification obligations. The full escrow amount of $75.0 million was disbursed to the Company in June 2021.</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Cash as reported in the accompanying consolidated statements of cash flows includes the aggregate amounts of cash, cash equivalents, and restricted cash as presented on the accompanying consolidated balance sheets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6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2,060,400</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2,055,044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86,632</w:t>
            </w:r>
          </w:p>
        </w:tc>
        <w:tc>
          <w:tcPr>
            <w:tcW w:w="4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2,074,034</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2,141,676</w:t>
            </w: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Contingencies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may be, from time to time, a party to various disputes and claims arising from normal business activities. The Company continually assesses any litigation or other claims it may confront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litigation, including an estimable range, if possible.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 Property and Equipment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Property and equipment, consisting primarily of computers, laboratory and other equipment, furniture and fixtures, software, and leasehold improvements, is recorded at cost, less accumulated depreciation. Maintenance and repairs that do not improve or extend the lives of the respective assets are expensed to operations as incurred. Upon disposal, retirement or sale, the related cost and accumulated depreciation is removed from the accounts and any resulting gain or loss is included in the results of operations. Depreciation of property and equipment is recorded using the straight-line method over the estimated useful lives of the related assets once the asset has been placed in service. Leasehold improvements are amortized using the straight-line method over the estimated useful life or remaining lease term, whichever is shorter. The following table provides the range of estimated useful lives used for each asset type:</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760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85"/>
        </w:trPr>
        <w:tc>
          <w:tcPr>
            <w:tcW w:w="1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Computers</w:t>
            </w:r>
          </w:p>
        </w:tc>
        <w:tc>
          <w:tcPr>
            <w:tcW w:w="1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76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5 - 10 years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6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76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6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Lesser of estimated useful life or remaining lease term</w:t>
            </w:r>
          </w:p>
        </w:tc>
      </w:tr>
      <w:tr>
        <w:trPr>
          <w:trHeight w:val="365"/>
        </w:trPr>
        <w:tc>
          <w:tcPr>
            <w:tcW w:w="1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6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194</w:t>
            </w:r>
          </w:p>
        </w:tc>
      </w:tr>
    </w:tbl>
    <w:p>
      <w:pPr>
        <w:sectPr>
          <w:pgSz w:w="11900" w:h="16838" w:orient="portrait"/>
          <w:cols w:equalWidth="0" w:num="1">
            <w:col w:w="11140"/>
          </w:cols>
          <w:pgMar w:left="320" w:top="482"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all long-lived assets, including the related useful lives, whenever events or changes in circumstances indicate that the carrying amount of a long-lived asset might not be recoverable. Recoverability is measured by comparison of the book values of the assets to the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 Investments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Investments in equity securities may be accounted for using (i) the fair value option if elected, (ii) fair value through earnings if fair value is readily determinable or (iii) for equity investments without readily determinable fair values, the measurement alternative to measure at cost adjusted for any impairment and observable price changes, as applicable. The election to use the measurement alternative is made for each eligible investment.</w:t>
      </w:r>
    </w:p>
    <w:p>
      <w:pPr>
        <w:spacing w:after="0" w:line="17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Company has elected the fair value option to account for certain investments over which the Company has significant influence. The Company believes the fair value option best reflects the underlying economics of the investment. See Note 4, “Investments.”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 Research and Development Expenses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(“R&amp;D”) costs are expensed as incurred. Preclinical and clinical study costs are accrued over the service periods specified in the contracts and adjusted as necessary based upon an ongoing review of the level of effort and costs actually incurred. R&amp;D costs primarily consist of costs associated with preclinical studies and clinical trials, including amounts paid to contract research organizations, contract manufacturing organizations, and other third parties that conduct R&amp;D activities on behalf of the Company, as well as employee-related expenses, such as salaries, share-based compensation, and benefits, for employees engaged in R&amp;D activities.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 Acquired In-Process Research and Development Expenses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March 31, 2022, the Company began reporting acquired in-process research and development (“IPR&amp;D”) expense as a separate line item in its consolidated statements of operations. Acquired IPR&amp;D expenses include consideration for the purchase of IPR&amp;D through asset acquisitions and license agreements as well as payments made in connection with asset acquisitions and license agreements upon the achievement of development milestones. These expenses were previously recorded in “Research and development” on the consolidated statements of operations. Prior periods have been revised to conform to the current period presentation.</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 evaluates in-licensed agreements for in-process research and development projects (“IPR&amp;D”) to determine if it meets the definition of a business and thus should be accounted for as a business combination. If the in-licensed agreement for IPR&amp;D does not meet the definition of a business and the assets have not reached technological feasibility and therefore have no alternative future use, the Company expenses payments made under such license agreements as acquired in-process research and development expense in its consolidated statements of operations. Payments for milestones achieved and payments for a product license prior to regulatory approval of the product are expensed in the period incurred. Milestone payments made in connection with regulatory approvals are capitalized and amortized to cost of revenue over the remaining useful life of the asset.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 General and Administrative Expenses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employee-related expenses for G&amp;A personnel, including those responsible for the identification and acquisition or in-license of new drug candidates as well as for overseeing Vant operations and facilitating the use of the Company’s platform and technologies at Vants. G&amp;A expenses also consist of legal and accounting fees, consulting services and other operating costs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82"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relating to corporate matters and daily operations. G&amp;A expenses include costs incurred relating to the identification, acquisition or in-license and technology transfer of promising drug candidates along with costs incurred relating to the integration of new technologies.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 Leases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the inception of the agreement. For each of the Company’s lease arrangements, the Company records a right-of-use asset representing the Company’s right to use an underlying asset for the lease term and a lease liability representing the Company’s obligation to make lease payments. Operating lease right-of-use assets and operating lease liabilities are recognized at the lease commencement date based on the estimated present value of fixed lease payments over the expected lease term. If the interest rate implicit in the Company’s leases is not readily determinable, in determining the weighted-average discount rate used to calculate the net present value of lease payments, the Company utilizes an estimate of its incremental borrowing rate. The Company’s incremental borrowing rates are determined based on the term of the lease, the economic environment of the lease, and the effect of collateralization. Lease expense for the Company’s operating leases is recognized on a straight-line basis over the lease term and variable lease costs are expensed as incurred.</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the practical expedient not to apply the recognition and measurement requirements to short-term leases, which is any lease with a term of one year or less as of the lease commencement date. Leases may require the Company to pay additional amounts for taxes, insurance, maintenance, and other expenses, which are generally referred to as non-lease components. The Company has elected the practical expedient to combine lease and non-lease components. If a lease includes options to extend the lease term, the Company does not assume the option will be exercised in its initial lease term assessment unless there is reasonable certainty that the Company will renew based on an assessment of economic factors present as of the lease commencement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 Income Taxes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the Company’s deferred tax assets will be realizable. If the Company determines that it would be able to realize its deferred tax assets in the future in excess of its net recorded amount, the Company would make an adjustment to the deferred tax asset valuation allowance, which would reduce the provision for income taxes.</w:t>
      </w:r>
    </w:p>
    <w:p>
      <w:pPr>
        <w:spacing w:after="0" w:line="18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 Share-Based Compensation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Share-based awards to employees, directors, and consultants, including stock options, restricted stock units, performance options and capped value appreciation rights, are measured at fair value on the date of the grant and that fair value is recognized as share-based compensation expense in the Company’s consolidated statements of operations over the requisite service period of the respective award. The estimated fair value of awards that contain performance conditions is expensed when the Company concludes that it is probable that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82"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performance condition will be achieved. The Company may grant awards with graded-vesting features. When such awards have only service vesting requirements, the Company elected to record share-based compensation expense on a straight-line basis. If awards with graded-vesting features contain performance or market conditions, then the Company records share-based compensation expense using the accelerated attribution method.</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its stock options that only have service vesting requirements or performance-based options without market conditions using the Black-Scholes option pricing model. For performance-based awards with market conditions, the Company determines the fair value of the awards as of the grant date using a Monte Carlo simulation model. When determining the grant-date fair value of stock-based awards, management further considers whether an adjustment is required to the observable market price or volatility of the Company’s common stock that is used in the valuation as a result of material non-public information, if that information is expected to result in a material increase in share price.</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Certain assumptions need to be made with respect to utilizing the Black-Scholes option pricing model, including the expected life of the award, volatility of the underlying shares, the risk-free interest rate and the fair value of the Company’s shares of common stock. Since the Company has limited option exercise history, it has generally elected to estimate the expected life of an award based upon the “simplified method” with the continued use of this method extended until such time the Company has sufficient exercise history. The risk-free interest rate is based on the rates paid on securities issued by the U.S. Treasury with a term approximating the expected life of the equity award. The expected share price volatility for the Company’s common shares is estimated by taking the average historical price volatility for industry peers. The Company accounts for pre-vesting award forfeitures when they occur.</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One of the inputs to the Black-Scholes option pricing model is the fair value of the Company’s common shares. Prior to the closing of its business combination with MAAC, as a privately held company, the Company estimated the fair value of the shares of common stock underlying its share-based awards on each grant date. Given the absence of a public trading market, and in accordance with the American Institute of Certified Public Accountants’ Practice Guide, Valuation of Privately-Held-Company Equity Securities Issued as Compensation, the Company exercised reasonable judgment and considered numerous objective and subjective factors to determine its best estimate of the fair value of its common shares. The estimation of the fair value of the common shares considered factors including the following: the prices of the Company’s common shares sold to investors in arm’s length transactions; the estimated present value of the Company’s future cash flows; the Company’s business, financial condition and results of operations; the Company’s forecasted operating performance; the illiquid nature of the Company’s common shares; industry information such as market size and growth; market capitalization of comparable companies and the estimated value of transactions such companies have engaged in; and macroeconomic conditions.</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applies a similar methodology to estimate the fair value of the shares of common stock underlying share-based awards issued by its privately held Vants. Following the closing of the Company’s business combination with MAAC, RSL’s common shares became publicly traded and the Company began determining the fair value of each common share underlying share-based awards based on the closing price of its common shares as reported by Nasdaq on the date of grant. Therefore, it will not be necessary to determine the fair value of the new stock-based award pursuant to the methodology described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 Fair Value Measurements</w:t>
      </w:r>
    </w:p>
    <w:p>
      <w:pPr>
        <w:spacing w:after="0" w:line="12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Company utilizes fair value measurement guidance prescribed by accounting standards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00"/>
          </w:cols>
          <w:pgMar w:left="320" w:top="482" w:right="4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are inputs that reflect the Company’s assumptions about the inputs that market participants would use in pricing the asset or liability and are developed based on the best information available in the circumstances. Fair value is defined as the exchange price, or exit price, representing the amount that would be received to sell an asset or paid to transfer a liability in an orderly transaction between market participants at the reporting date. As a basis for considering market participant assumptions in fair value measurements, the guidance establishes a three-tier fair value hierarchy that distinguishes among the following:</w:t>
      </w:r>
    </w:p>
    <w:p>
      <w:pPr>
        <w:spacing w:after="0" w:line="89" w:lineRule="exact"/>
        <w:rPr>
          <w:sz w:val="20"/>
          <w:szCs w:val="20"/>
          <w:color w:val="auto"/>
        </w:rPr>
      </w:pPr>
    </w:p>
    <w:p>
      <w:pPr>
        <w:ind w:left="1080" w:right="44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are based on unadjusted quoted prices in active markets for identical assets or liabilities that the Company has the ability to access.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are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are based on inputs that are unobservable (supported by little or no market activity) and significant to the overall fair value measurement.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include shares of common stock of Arbutus Biopharma Corporation (“Arbutus”); shares of common stock of Sio Gene Therapies Inc. (“Sio”); shares of common stock of Heracles Parent, L.L.C., the parent entity of Datavant (as defined and discussed in Note 4, “Investments”); liability instruments issued, including the Roivant Warrants and Earn-Out Shares (each as defined in Note 3, “Business Combination with MAAC”) liabilities issued in connection with the Company’s business combination with MAAC (as discussed in Note 3, “Business Combination with MAAC”); the deferred consideration liability; its investments in other entities; cash and cash equivalents consisting of money market funds; accounts payable; and long-term debt.</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shares of Arbutus and Sio common stock and investments in common stock with a readily determinable fair value are classified as Level 1, and their fair value is determined based upon quoted market prices in an active market. In October 2021, shares of Arbutus’ Series A participating convertible preferred shares (“Arbutus Preferred Shares”) held by the Company were converted into shares of common stock of Arbutus pursuant to mandatory conversion provisions. Prior to conversion, the Arbutus Preferred Shares held by the Company were classified as Level 2 as the fair value of such preferred shares was determined based upon the quoted market price of Arbutus common stock into which such preferred shares were convertible. The shares of common stock of Heracles Parent, L.L.C., the parent entity of Datavant (as defined and discussed in Note 4, “Investments”), and liability instruments issued, excluding the Public Warrants (as defined and discussed in Note 3, “Business Combination with MAAC”), are classified as Level 3 within the fair value hierarchy as the assumptions and estimates used in the valuations are unobservable in the market. The Public Warrants are publicly traded and therefore are classified as Level 1 as the Public Warrants have a readily determinable fair value. Cash, accounts payable, and the deferred consideration liability are stated at their respective historical carrying amounts, which approximate fair value due to their short-term nature. The deferred consideration liability was based on a fixed monetary amount, and payment was based solely on the passage of time. The deferred consideration liability was settled in November 2021 by payment of $50.0 million in cash as well as the issuance of 6,348,057 of the Company’s common shares. Money market funds are included in Level 1 of the fair value hierarchy and are valued at the closing price reported by an actively traded exchange. The carrying value of long-term debt issued by Dermavant Sciences Ltd. (together with its wholly owned subsidiaries, “Dermavant”), which is stated at amortized cost, approximates fair value based on current interest rates for similar types of borrowings and therefore is included in Level 2 of the fair value hierarchy. Long-term debt issued by Dermavant for which the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82"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fair value option has been elected is included in Level 3 of the fair value hierarchy as the assumptions and estimates used in the valuation are unobservable in the market.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 Foreign Currency</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Assets and liabilities of foreign operations are translated using exchange rates in effect at the balance sheet date and their results of operations are translated using average exchange rates for the year. Certain transactions of the Company and its subsidiaries are denominated in currencies other than their functional currency. Adjustments resulting from the translation of the financial statements of the Company’s foreign functional currency subsidiaries into U.S. dollars are excluded from the determination of net loss and are accumulated in a separate component of shareholders’ equity. Foreign exchange transaction gains and losses are included in “Other expense, net” in the Company’s statements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 Revenue Recognition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determine revenue recognition for its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These judgments are discussed in more detail below.</w:t>
      </w:r>
    </w:p>
    <w:p>
      <w:pPr>
        <w:spacing w:after="0" w:line="83" w:lineRule="exact"/>
        <w:rPr>
          <w:sz w:val="20"/>
          <w:szCs w:val="20"/>
          <w:color w:val="auto"/>
        </w:rPr>
      </w:pPr>
    </w:p>
    <w:p>
      <w:pPr>
        <w:ind w:left="1080" w:hanging="424"/>
        <w:spacing w:after="0" w:line="25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licenses to intellectual property are determined to be distinct from the other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identified in the arrangement, the Company recognizes revenues from non-refundable, upfront fees allocated to the license when the license is transferred to the licensee and the licensee is able to use and benefit from the license. For licenses that are not distinct from other promises, the Company applies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related revenue recognition accordingly.</w:t>
      </w:r>
    </w:p>
    <w:p>
      <w:pPr>
        <w:spacing w:after="0" w:line="88"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research, development or regulatory milestone payments,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on a cumulative catch-up basis in earnings in the period of the adjustment.</w:t>
      </w:r>
    </w:p>
    <w:p>
      <w:pPr>
        <w:spacing w:after="0" w:line="93" w:lineRule="exact"/>
        <w:rPr>
          <w:rFonts w:ascii="Times New Roman" w:cs="Times New Roman" w:eastAsia="Times New Roman" w:hAnsi="Times New Roman"/>
          <w:sz w:val="18"/>
          <w:szCs w:val="18"/>
          <w:color w:val="auto"/>
        </w:rPr>
      </w:pPr>
    </w:p>
    <w:p>
      <w:pPr>
        <w:ind w:left="1080" w:right="480" w:hanging="424"/>
        <w:spacing w:after="0" w:line="284"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Royalties and commercial milestone payments: </w:t>
      </w:r>
      <w:r>
        <w:rPr>
          <w:rFonts w:ascii="Times New Roman" w:cs="Times New Roman" w:eastAsia="Times New Roman" w:hAnsi="Times New Roman"/>
          <w:sz w:val="18"/>
          <w:szCs w:val="18"/>
          <w:color w:val="auto"/>
        </w:rPr>
        <w:t>For arrangements that include sales-based royalties, including commercial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based on a pre-specified level of sales, the Company</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00"/>
          </w:cols>
          <w:pgMar w:left="320" w:top="482"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recognizes revenue at the later of (i) when the related sales occur, or (ii) when the performance obligation to which some or all of the royalty has been allocated has been satisfied (or partially satisfied). Achievement of these royalties and commercial milestones may solely depend upon performance of the licensee.</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Revenue is also generated by certain technology-focused Vants from subscription and service-based fees recognized for the use of certain technology developed by these Vants. Subscription revenue is recognized ratably over the contract period.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Trade Receivables, Net</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customer credit profiles. The Company reserves against trade receivables for estimated losses that may arise from a customer’s inability to pay, and any amounts determined to be uncollectible are written off against the reserve when it is probable that the receivable will not be collected. The reserve amount for estimated losses was de minimis as of March 31, 2022 and 2021. Trade receivables, net is included in “Other current assets” on the accompanying consolidated balance sheets.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Warrant Liabilities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classifies the Roivant Warrants as liabilities. At the end of each reporting period, changes in fair value during the period are recognized within the consolidated statements of operations. The Company will continue to adjust the carrying value of the liability associated with the Roivant Warrants for changes in the fair value until the earlier of a) the exercise or expiration of the Roivant Warrants or b) the redemption of the Roivant Warrants. Issuance costs incurred that were attributable to the Roivant Warrants were expensed as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 Recently Adopted Accounting Pronouncements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No. 2020-06”). ASU No. 2020-06 simplifies the accounting for convertible instruments by reducing the number of accounting models for convertible debt instruments and convertible preferred stock. Limiting the accounting models will result in fewer embedded conversion features being separately recognized from the host contract as compared with current U.S. GAAP. ASU No. 2020-06 also removes certain settlement conditions that are required for equity contracts to qualify for the derivatives scope exception, which will permit more equity contracts to qualify for it. Either a modified retrospective transition method or a fully retrospective transition method is permissible for the adoption of this standard. ASU No. 2020-06 is effective for fiscal years beginning after December 15, 2021, including interim periods within those fiscal years. The early-adoption of ASU No. 2020-06 on April 1, 2021 did not have a material impact on the Company’s consolidated financial statements.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3—Business Combination with MAAC</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September 30, 2021 (the “Closing Date”), in accordance with the Business Combination Agreement, as amended (the “Business Combination Agreement”), RSL completed its previously announced business combination (the “Business Combination”) with MAAC, through the merger of RSL’s wholly owned subsidiary, Rhine Merger Sub, Inc., with MAAC (the “Merger”), with MAAC surviving the Merger as a wholly owned subsidiary of RSL. As MAAC does not represent a business for accounting purposes and its primary asset represents cash and cash equivalents, the Business Combination was treated as an equity contribution in exchange for the issuance of RSL shares. The net assets of MAAC were stated at historical cost, with no goodwill or other intangible assets recorded. Reported amounts from operations included herein prior to the Business Combination are those of RSL.</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60"/>
          </w:cols>
          <w:pgMar w:left="320" w:top="482" w:right="5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the Closing Date prior to the effective time of the Merger (the “Effective Time”), RSL effected a 2.9262-for-1 stock subdivision based on the fixed exchange ratio established in the Business Combination. The shares, equity awards and net loss per share available to holders of the Company’s common stock prior to the Business Combination, have been retroactively restated to reflect the fixed exchange ratio.</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accordance with the terms of the Business Combination Agreement, at the Effective Time:</w:t>
      </w:r>
    </w:p>
    <w:p>
      <w:pPr>
        <w:spacing w:after="0" w:line="131" w:lineRule="exact"/>
        <w:rPr>
          <w:sz w:val="20"/>
          <w:szCs w:val="20"/>
          <w:color w:val="auto"/>
        </w:rPr>
      </w:pPr>
    </w:p>
    <w:p>
      <w:pPr>
        <w:ind w:left="1080" w:right="40" w:hanging="532"/>
        <w:spacing w:after="0" w:line="258"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MAAC Class A common stock (the “MAAC Class A Shares”) and each share of MAAC Class B common stock (the “MAAC Class B Shares”) that were outstanding immediately before the Effective Time (other than treasury shares and any shares held by Patient Square Capital LLC (the “MAAC Sponsor”), any affiliate of the MAAC Sponsor or any of MAAC’s independent directors (the “MAAC Independent Directors”) or its transferee) were automatically canceled and extinguished and converted into one common share of RSL (the “Roivant Common Share”),</w:t>
      </w:r>
    </w:p>
    <w:p>
      <w:pPr>
        <w:spacing w:after="0" w:line="88" w:lineRule="exact"/>
        <w:rPr>
          <w:rFonts w:ascii="Times New Roman" w:cs="Times New Roman" w:eastAsia="Times New Roman" w:hAnsi="Times New Roman"/>
          <w:sz w:val="18"/>
          <w:szCs w:val="18"/>
          <w:color w:val="auto"/>
        </w:rPr>
      </w:pPr>
    </w:p>
    <w:p>
      <w:pPr>
        <w:ind w:left="1080" w:right="140" w:hanging="532"/>
        <w:spacing w:after="0" w:line="25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MAAC Class B Share that was outstanding immediately before the Effective Time and held by the MAAC Sponsor, any affiliate of the MAAC Sponsor or any of the MAAC Independent Directors or its transferee were automatically canceled and extinguished and converted into a number of Roivant Common Shares based on an exchange ratio of 0.75, with a portion of such Roivant Common Shares issued to the MAAC Sponsor, any affiliate of the MAAC Sponsor, any MAAC Independent Director or its transferee by virtue of the Merger being subject to the vesting and other terms and conditions set forth in the Sponsor Support Agreement (as more fully described below),</w:t>
      </w:r>
    </w:p>
    <w:p>
      <w:pPr>
        <w:spacing w:after="0" w:line="92"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to purchase MAAC Class A Shares that was outstanding immediately before the Effective Time was converted automatically into a right to acquire a Roivant Common Share (a “Roivant Warrant”) at an exercise price of $11.50 per share, subject to certain adjustments.</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Following the Merger, the Roivant Common Shares and the Roivant Warrants began trading on the Nasdaq Global Market under the ticker symbols “ROIV” and “ROIVW,” respectively, on October 1, 2021.</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RSL entered into subscription agreements with certain investors, whereby it issued 22,000,000 common shares at $10.00 per share for an aggregate purchase price of $220.0 million (the “PIPE Financing”). The PIPE Financing closed simultaneously with the consummation of the Business Combination.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and PIPE Financing, the Company received $213.4 million in cash at closing (the “Closing”), net of deferred underwriting expenses and unpaid expenses incurred by MAAC in connection with the transaction. The Company incurred $24.4 million in costs directly related to the Business Combination and PIPE Financing, such as banker fees and costs associated with third-party legal, accounting and other professional services. Upon Closing, these costs, which had been capitalized on the Company’s balance sheet were recorded as a reduction of additional paid-in capital with the exception of $7.4 million, which were expensed as they represent the allocation of the transaction costs associated with the Roivant Warrants and Earn-Out Shares liabilities. Transaction costs were allocated to the Roivant Warrants and Earn-Out Shares liabilities based on the fair value of such instruments out of the total consideration.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jc w:val="both"/>
        <w:ind w:left="120" w:right="72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MAAC, the MAAC Sponsor, Roivant and each of the MAAC Independent Directors, entered into the Sponsor Support Agreement, which was subsequently amended on June 9, 2021, to reflect the MAAC Independent Directors and Roivant entering into respective Lock-Up Agreements, and further amended on September 30, 2021.</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Sponsor Support Agreement, among other things:</w:t>
      </w:r>
    </w:p>
    <w:p>
      <w:pPr>
        <w:spacing w:after="0" w:line="131" w:lineRule="exact"/>
        <w:rPr>
          <w:sz w:val="20"/>
          <w:szCs w:val="20"/>
          <w:color w:val="auto"/>
        </w:rPr>
      </w:pPr>
    </w:p>
    <w:p>
      <w:pPr>
        <w:ind w:left="1080" w:hanging="532"/>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2,033,591 Roivant Common Shares issued to the MAAC Sponsor and 10,000 Roivant Common Shares issued to each MAAC Independent Director (collectively, the “20% Earn-Out Shares”), each in respect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00"/>
          </w:cols>
          <w:pgMar w:left="320" w:top="482" w:right="4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of its MAAC Class B Shares, will vest if the closing price of Roivant Common Shares is greater than or equal to $15.00 over any twenty out of thirty trading day period during the Vesting Period (defined below).</w:t>
      </w:r>
    </w:p>
    <w:p>
      <w:pPr>
        <w:spacing w:after="0" w:line="67" w:lineRule="exact"/>
        <w:rPr>
          <w:sz w:val="20"/>
          <w:szCs w:val="20"/>
          <w:color w:val="auto"/>
        </w:rPr>
      </w:pPr>
    </w:p>
    <w:p>
      <w:pPr>
        <w:jc w:val="both"/>
        <w:ind w:left="1080" w:right="40" w:hanging="532"/>
        <w:spacing w:after="0" w:line="261"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1,016,796 Roivant Common Shares issued to the MAAC Sponsor and 5,000 Roivant Common Shares issued to each MAAC Independent Director (collectively, the “10% Earn-Out Shares” and, together with the 20% Earn-Out Shares, the “Earn-Out Shares”), each in respect of its MAAC Class B Shares, will vest if the closing price of Roivant Common Shares is greater than or equal to $20.00 over any twenty out of thirty trading day period during the Vesting Period (as defined below).</w:t>
      </w:r>
    </w:p>
    <w:p>
      <w:pPr>
        <w:spacing w:after="0" w:line="85"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number of Roivant Common Shares issued to the MAAC Sponsor and each MAAC Independent Director are not subject to the vesting conditions described above (the “Retained Shares”).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Vesting Period represents the period commencing on November 9, 2021, the date on which the registration statement on Form S-1 required to be filed by the Company in connection with the PIPE Financing was declared effective, and ending no later than September 30, 2026 (the “Vesting Period”). The Vesting Period will, if a definitive purchase agreement with respect to a Sale (as defined in the Sponsor Support Agreement) is entered into on or prior to the end of such period, be extended to the earlier of one day after the consummation of such Sale and the termination of such definitive transaction agreement, and if a Sale occurs during such Vesting Period, then all of the Earn-Out Shares unvested as of such time will automatically vest immediately prior to the consummation of such Sale. If any Earn-Out Shares have not vested on or prior to the end of such Vesting Period, then such Earn-Out Shares will be forfeited.</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Earn-Out Shares require liability classification and are classified as “Liability instruments measured at fair value” on the consolidated balance sheets. The Earn-Out Shares liability is subject to remeasurement at each balance sheet date with changes in fair value recognized in the Company’s statement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May 1, 2021 and June 9, 2021, RSL, on the one hand, and the MAAC Sponsor, the MAAC Independent Directors and certain Roivant equityholders, on the other hand, entered into lock-up agreements, pursuant to which, among other things, the MAAC Sponsor, the MAAC Independent Directors and such Roivant equityholders have agreed not to effect any sale or distribution of the Roivant Common Shares (including those underlying incentive equity awards or Roivant Warrants) held by the MAAC Sponsor, the MAAC Independent Directors or such equityholders as of immediately following the Closing during the applicable lock-up period, subject to customary exceptions.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lock-up period applicable to Roivant Common Shares held by the MAAC Sponsor and MAAC Independent Directors as of immediately following the Closing will be (i) with respect to 25% of the Roivant Common Shares held by the MAAC Sponsor and MAAC Independent Directors, six months following the Closing, which expired on March 30, 2022, (ii) with respect to an additional 25% of the Roivant Common Shares held by the MAAC Sponsor and MAAC Independent Directors, the earlier of twelve months following the achievement of certain price-based vesting restrictions or six years from the Closing and (iii) with respect to 50% of the Roivant Common Shares held by the MAAC Sponsor and MAAC Independent Directors, thirty-six months following the Closing.</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Roivant Common Shares underlying warrants held by the MAAC Sponsor as of immediately following the Closing will be subject to a corresponding lock-up period for (a) with respect to 25% of such warrants held by the MAAC Sponsor, six months from the Closing, which expired on March 30, 2022, (b) with respect to an additional 25% of such warrants held by the MAAC Sponsor, twelve months from Closing and (c) with respect to 50% of such warrants held by the MAAC Sponsor, thirty-six months from the Closing.</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lock-up period applicable to Roivant Common Shares held by certain Roivant equityholders as of immediately following the Closing (including those underlying incentive equity awards) will be (x) with respect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82"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to 25% of the Roivant Common Shares held by such Roivant equityholders (including those underlying incentive equity awards), six months following the Closing, which expired on March 30, 2022, (y) with respect to an additional 25% of the Roivant Common Shares held by such Roivant equityholders (including those underlying incentive equity awards), twelve months following the Closing and (z) with respect to 50% of the Roivant Common Shares (including those underlying incentive equity awards) held by such Roivant equityholders, thirty-six months following the Closing.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10,214,365 Roivant Warrants that were held by the MAAC Sponsor at an exercise price of $11.50 (the “Private Placement Warrants”) and 20,535,896 Roivant Warrants held by MAAC’s shareholders at an exercise price of $11.50 (the “Public Warrants”) were converted into the right to acquire Roivant Common Shares. Pursuant to the agreement governing the Roivant Warrants, the Roivant Warrants became exercisable 30 days following the completion of the Business Combination. The Roivant Warrants will expire five years after the completion of the Business Combination, or earlier upon redemption or liquidation.</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generally identical to the Public Warrants, except that (i) the Private Placement Warrants (including the common stock issuable upon exercise of the Private Placement Warrants) were not transferable, assignable or salable until 30 days after the completion of the Business Combination (ii) they will not be redeemable by the Company when the price per share of Roivant Common Shares equals or exceeds $18.00, and (iii) the Private Placement Warrants may be exercised by holders on a cashless basis. If the Private Placement Warrants are held by holders other than our sponsor or its permitted transferees, the Private Placement Warrants will be redeemable by Roivant in all redemption scenarios and exercisable by the holders on the same basis as the Public Warrants.</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Roivant Warrants require liability classification and are classified as “Liability instruments measured at fair value” on the consolidated balance sheets. The Private Placement Warrants liability and Public Warrants liability are subject to remeasurement at each balance sheet date with changes in fair value recognized in the Company’s statement of operations. As of March 31, 2022, 60,021 Roivant Warrants have been exercised and none redeemed.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Roivant Warrants when the price per share of Roivant Common Shares equals or exceeds $18.00.</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may redeem the outstanding Roivant Warrants for cash (except with respect to the Private Placement Warrants):</w:t>
      </w:r>
    </w:p>
    <w:p>
      <w:pPr>
        <w:spacing w:after="0" w:line="131"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Roivant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common stock for any 20 trading days within a 30-trading day period ending on the third trading day prior to the date on which the Company sends the notice of redemption to the warrantholders (the “Reference Value”) equals or exceeds $18.00 per share (as adjusted for stock splits, stock capitalizations, reorganizations, recapitalizations and the like).</w:t>
      </w:r>
    </w:p>
    <w:p>
      <w:pPr>
        <w:spacing w:after="0" w:line="176"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However, in this case, the Company will not redeem the Roivant Warrants unless an effective registration statement under the Securities Act covering the Roivant Common Shares issuable upon exercise of the Roivant Warrants is effective and a current prospectus relating to those Roivant Common Shares is available throughout the 30-day redemption period. Any such exercise would not be on a “cashless” basis and would require the exercising warrantholder to pay the exercise price for each Roivant Warrant being exercised.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82"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Roivant Warrants when the price per share of Roivant Common Shares equals or exceeds $10.00.</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may redeem the outstanding Roivant Warrants (except as described herein with respect to the Private Placement Warrants):</w:t>
      </w:r>
    </w:p>
    <w:p>
      <w:pPr>
        <w:spacing w:after="0" w:line="131"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Roivant Warrant upon a minimum of 30 days’ prior written notice of redemption provided that holders will be able to exercise their Roivant Warrants on a cashless basis prior to redemption and receive that number of Roivant Common Shares determined by reference to an agreed table based on the redemption date and the “fair market value” of the Roivant Common Shares;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stock splits, stock dividends, rights issuances, subdivisions, reorganizations, recapitalizations and the like);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stock splits, stock dividends, rights issuances, subdivisions, reorganizations, recapitalizations and the like), the Private Placement Warrants must also concurrently be called for redemption on the same terms (except as described herein with respect to a holder’s ability to cashless exercise its warrants) as the outstanding Public Warrants, as described above.</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For these purposes, “fair market value” of Roivant Common Shares shall mean the volume-weighted average price of common shares for the 10 trading days immediately following the date on which the notice of redemption is sent to warrantholders. In no event will the Roivant Warrants be exercisable in connection with this redemption feature for more than 0.361 Roivant Common Shares per Roivant Warrant (subject to adjustment).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4—Investments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 in Arbutus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October 2017, pursuant to a subscription agreement entered into by RSL and Arbutus, RSL acquired 16,013,540 shares of common stock of Arbutus and 1,164,000 Arbutus Preferred Shares, which converted into 22,833,922 shares of Arbutus common stock in October 2021. The Company accounts for its investment in Arbutus as an equity method investment accounted for using the fair value option. Due to the Company’s significant influence over operating and financial policies, Arbutus is considered a related party of the Company. At March 31, 2022, RSL held approximately 26% of issued and outstanding shares of Arbutus.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March 31, 2022 and 2021, the aggregate fair value of the Company’s investment in Arbutus was $115.8 million and $129.4 million, respectively, with the Company recognizing an unrealized loss on its investment in Arbutus of $13.6 million and an unrealized gain of $90.2 million in the accompanying consolidated statements of operations for the years ended March 31, 2022 and 2021. The fair value of the Company’s investment was determined using the closing price of Arbutus’s common stock on March 31, 2022 and 2021 of $2.98 and $3.33, respectively.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 in Sio</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February 2020, RSL’s ownership interest in Sio fell below 50.0%, and as a result, the Company deconsolidated Sio. The Company accounts for its investment in Sio as an equity method investment accounted for using the fair value option. Due to the Company’s significant influence over operating and financial policies, Sio is considered a related party of the Company. At March 31, 2022, RSL held approximately 25% of Sio’s issued and outstanding common shares.</w:t>
      </w:r>
    </w:p>
    <w:p>
      <w:pPr>
        <w:spacing w:after="0" w:line="180" w:lineRule="exact"/>
        <w:rPr>
          <w:sz w:val="20"/>
          <w:szCs w:val="20"/>
          <w:color w:val="auto"/>
        </w:rPr>
      </w:pPr>
    </w:p>
    <w:p>
      <w:pPr>
        <w:ind w:left="120" w:right="500" w:firstLine="440"/>
        <w:spacing w:after="0" w:line="281" w:lineRule="auto"/>
        <w:rPr>
          <w:sz w:val="20"/>
          <w:szCs w:val="20"/>
          <w:color w:val="auto"/>
        </w:rPr>
      </w:pPr>
      <w:r>
        <w:rPr>
          <w:rFonts w:ascii="Times New Roman" w:cs="Times New Roman" w:eastAsia="Times New Roman" w:hAnsi="Times New Roman"/>
          <w:sz w:val="17"/>
          <w:szCs w:val="17"/>
          <w:color w:val="auto"/>
        </w:rPr>
        <w:t>At March 31, 2022 and 2021, the fair value of the Company’s investment in Sio was $12.4 million and $48.5 million, respectively, with the Company recognizing an unrealized loss on its investment in Sio of $36.1 million and an unrealized gain of $3.2 million in the accompanying consolidated statements of operations for the years ended March 31, 2022 and 2021, respectively. The fair value of common shares held by the Company was determined using the closing price of Sio’s common stock on March 31, 2022 and 2021 of $0.67 and $2.61, respectively.</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80"/>
          </w:cols>
          <w:pgMar w:left="320" w:top="482" w:right="4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 in Datavant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April 2020, following an equity raise completed by Datavant Holdings, Inc. (“Datavant”) along with a restructuring of Datavant’s equity classes, it was determined that RSL no longer controlled Datavant. As such, the Company deconsolidated Datavant as of April 2020. Due to the Company’s significant influence over operating and financial policies, Datavant is considered a related party of the Company. Upon deconsolidation, the Company recorded its investment in Datavant based on the fair value of Datavant preferred shares held of $99.0 million. Prior to the Datavant Merger (defined below), the Company accounted for its investment in Datavant using the measurement alternative to fair value. Under the measurement alternative, the investment is remeasured upon observable price changes in orderly transactions or upon impairment, if any. The Company recognized a gain on deconsolidation of $86.5 million in the accompanying consolidated statements of operations for the year ended March 31, 2021. In July 2020, Datavant issued and sold additional preferred shares to RSL at a price consistent with that of the initial round of Datavant’s Series B equity raise, which resulted in an increase in the carrying value of the Company’s investment to $100.6 million.</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June 2021, Datavant and Heracles Parent, L.L.C. (referred to herein as “Ciox Parent” and, after the closing of the Datavant Merger (as defined below), “Datavant”), a provider of healthcare information services and technology solutions to hospitals, health systems, physician practices and authorized recipients of protected health records in the United States, primarily through its wholly owned subsidiary CIOX Health, LLC, entered into a definitive agreement to merge Datavant with and into a newly formed wholly owned subsidiary of Ciox Parent (the “Datavant Merger”). The merger closed on July 27, 2021. At closing, the Company received approximately $320 million in cash and a minority equity stake in Ciox Parent. As a result of the transaction, the Company recognized a gain on remeasurement of $443.8 million in the accompanying consolidated statements of operations for the year ended March 31, 2022. As of March 31, 2022, the Company’s minority equity interest represented approximately 17% of the outstanding Class A units in Ciox Parent. Ciox Parent’s capital structure includes several classes of preferred units that, among other features, have liquidation preferences and conversion features. Upon conversion of such preferred units into Class A units, the Company’s ownership interest would be diluted.</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Following the completion of the Datavant Merger, the Company’s minority equity interest became subject to the equity method of accounting. At such time, the fair value option was elected to continuously remeasure the investment to fair value each reporting period with changes in fair value reflected in earnings. As of March 31, 2022 and July 27, 2021, the fair value of the Company’s investment was $193.9 million and $224.1 million, respectively, with the Company recognizing an unrealized loss on its investment of $30.2 million for the year ended March 31, 2022. The fair value of the Company’s investment was determined using valuation models that incorporate significant unobservable inputs and is classified as a Level 3 measurement within the fair value hierarchy. Refer to Note 14, “Fair Value Measurements” for more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Investment</w:t>
      </w:r>
    </w:p>
    <w:p>
      <w:pPr>
        <w:spacing w:after="0" w:line="119"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The Company holds an additional equity investment that is measured using the fair value option. The fair value of this investment was $3.7 million and $11.1 million as of March 31, 2022 and 2021,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5—Asset Acquisitions and License Agreements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During the years ended March 31, 2022 and 2021, the Company, directly or indirectly through Vants, completed the following key asset acquisitions and license agreements. The Company evaluated the below agreements, except the collaboration agreement entered into between Proteovant Therapeutics, Inc. and Blueprint Medicines Corporation (“Blueprint Medicines”) that is evaluated separately below, and determined that the acquired assets did not meet the definition of a business as substantially all the fair value of the assets acquired were concentrated in a single asset or group of similar assets and/or the acquired assets were not capable of producing outputs due to the lack of an assembled workforce and early stage of development and thus, each transaction was accounted for as an asset acquisition.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00"/>
          </w:cols>
          <w:pgMar w:left="320" w:top="482"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then evaluated whether each in-process research and development asset had an alternative future use and concluded it did not. As a result, the Company recorded the consideration attributable to in-process research and development under the below agreements as acquired in-process research and development expense in the accompanying consolidated statements of operations for the years ended March 31, 2022 and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Genevant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July 2020, RSL increased its investment in Genevant Sciences Ltd. (“Genevant”) as part of a recapitalization transaction (the “Recapitalization”). Genevant, an entity focused on the discovery, development, and commercialization of a broad range of RNA-based therapeutics enabled by Arbutus’ proprietary lipid nanoparticle and ligand conjugate delivery technologies, was created in April 2018 as part of an agreement between RSL and Arbutus. As part of the initial transaction entered into in April 2018, RSL contributed $38.7 million in cash, including transaction costs, for an equity ownership interest in Genevant. Prior to the Recapitalization, RSL accounted for its investment in Genevant under the equity method of accounting as it had determined that it was not the primary beneficiary of Genevant since it did not have the power to direct its most significant activities. Additionally, RSL made additional investments in the form of promissory notes issued by Genevant amounting to $20.1 million aggregate principal amount outstanding (the “Genevant Outstanding Notes”) prior to the Recapitalization. RSL applied its share of losses relating to its equity method investment in Genevant against the Company’s carrying value of its investment in Genevant’s common shares and against the carrying value of the Genevant Outstanding Notes. The carrying value of RSL’s investment in Genevant was reduced to zero prior to the Recapitalization.</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Recapitalization, the following transactions were completed:</w:t>
      </w:r>
    </w:p>
    <w:p>
      <w:pPr>
        <w:spacing w:after="0" w:line="131"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issued 74,272,043 common shares to RSL for an aggregated purchase price of $20.5 million;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million aggregate principal amount of the Genevant Outstanding Notes were converted into 54,526,549 common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issued 9,057,566 common shares to Arbutus for an aggregated purchase price of $2.5 million.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Recapitalization, RSL held an 82.9% controlling interest in Genevant.</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Concurrent with the Recapitalization, the composition of Genevant’s Board of Directors was restructured to include two directors designated by RSL and one director who is a senior officer of Genevant.</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Recapitalization and changes to the bye-laws, RSL determined that it controls the most significant activities of Genevant and is the primary beneficiary of Genevant following the Recapitalization. As such, RSL began consolidating Genevant into the Company’s consolidated financial statements from the date of the Recapitalization. The Company evaluated the acquired set of assets and activities and determined that the acquired set did not meet the definition of a business and thus the transaction was not considered a business combination.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transactions completed as part of the Recapitalization represent an acquisition achieved in stages, which required the remeasurement of RSL’s previously held interest in Genevant. As such, RSL’s investments in Genevant were remeasured to fair value of $28.8 million, also resulting in a gain of $28.8 million that was recognized in the accompanying consolidated statements of operations for the year ended March 31, 2021. Along with the fair value of noncontrolling interests in Genevant of $9.2 million and cash paid of $20.5 million for common shares of Genevant as part of the Recapitalization, total consideration paid was $58.5 million. Of this amount, $41.4 million was attributed to in-process research and development, which was determined by the Company to have not reached technological feasibility and therefore have no alternative future use. Accordingly, the Company recorded $41.4 million as acquired in-process research and development expense in the accompanying consolidated statements of operations for the year ended March 31, 2021.</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82"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Proteovant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November 2020, Proteovant Sciences, Inc. (formerly known as Pharmavant 5, Inc.) (together with its wholly owned subsidiaries, “Proteovant”) entered into a stock purchase agreement to acquire Oncopia Therapeutics, Inc. (“Oncopia”), a preclinical biotechnology company developing small molecule protein degraders primarily against certain oncology targets. Upfront proceeds to Oncopia’s shareholders were $105.0 million, prior to certain adjustments in accordance with the terms of the agreement. Proteovant is also obligated to make future development and commercial milestone payments of up to $100.0 million for the first product targeting each of the two specified initial targets, and up to $51.0 million for the first product targeting each of certain specified additional molecular targets. Additionally, the Company’s investments in promissory notes issued by Oncopia for an aggregate principal amount of $11.5 million were settled through either conversion to equity or cancellation.</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Oncopia’s intellectual property was developed by the University of Michigan laboratory run by Oncopia’s co-founder (the “Co-Founder”). In connection with Proteovant’s acquisition, Oncopia amended and restated its existing license agreements with the University of Michigan. Under the new license agreement, Oncopia will be obligated to make future development and commercial milestone payments of up to $8.6 million for the first product for each molecular target covered by intellectual property included in the agreement, in addition to paying tiered royalties on net sales ranging from low-to mid-single digits, subject to certain adjustments.</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Co-Founder’s lab at the University of Michigan had been providing on-going discovery and optimization services to Oncopia under a sponsored research agreement (the “SRA”). Immediately after closing the acquisition, Oncopia extended the SRA through at least December 31, 2023, and expanded the potential molecular targets to be pursued under the SRA. As revised, Oncopia is obligated to pay the University of Michigan approximately $15.5 million under the SRA.</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Lastly, in connection with the acquisition of Oncopia, the Co-Founder entered into an agreement with the Company to serve as a consultant. In exchange for these services, the Company has agreed to grant the Co-Founder RSL restricted stock units for which the majority will vest upon achievement of development milestones for products directed to targets for which no milestones are payable to Oncopia shareholders and the remaining portion will be subject to time-based service requirements. These restricted stock units were also subject to a liquidity requirement to vest, which was achieved upon the closing of the Business Combination. The Company will also make a cash payment to the Co-Founder upon achievement of development milestones for each such product.</w:t>
      </w:r>
    </w:p>
    <w:p>
      <w:pPr>
        <w:spacing w:after="0" w:line="187"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2021, the Company recorded $116.5 million, relating to the net upfront cash payment of $101.2 million, settlement of promissory notes receivable, including accrued interest, of $11.9 million, and fair value of future contingent consideration payments of $3.4 million, as acquired in-process research and development expense in the accompanying consolidated statements of operations.</w:t>
      </w:r>
    </w:p>
    <w:p>
      <w:pPr>
        <w:spacing w:after="0" w:line="176"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December 2020, RSL, Proteovant and SK, Inc. (formerly known as SK Holdings Co., Ltd.) (“SK”) entered into a subscription agreement (the “Subscription Agreement”) pursuant to which SK agreed to make a $200.0 million equity investment in Proteovant, representing an ownership interest of 40.0% on the closing date. In January 2021, in accordance with the terms of the Subscription Agreement, SK made the first payment of $100.0 million to Proteovant. SK made the second payment of $100.0 million to Proteovant in July 2021.</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February 2022, Proteovant entered into a collaboration agreement with Blueprint Medicines pursuant to which the parties will jointly research and advance up to two novel protein degrader compounds into development candidates, as well as up to two additional novel protein degrader target programs as may be mutually agreed to by the Blueprint Medicines and Proteovant (each a target program). Under the terms of the collaboration agreement, Proteovant received a nonrefundable, upfront payment of $20.0 million in March 2022 and will be eligible to receive up to an additional $632.0 million in contingent milestone payments including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82"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specified research, development, regulatory and commercialization milestones and tiered percentage royalties on a licensed product-by-licensed product basis ranging from the mid- to high-single digits on net sales on the first two target programs, subject to adjustment in specified circumstances. If Proteovant opts-in to the second target program (the “Opt-In Right”), the parties will jointly develop and commercialize such compounds and will split profits and losses of that program equally in the United States along with global development costs. Additionally, development and regulatory milestone payments for the second target or opt-in target program will be reduced, and Proteovant will only be eligible to receive commercialization milestone payments and royalties on ex-United States sales of products relating to such target program. In addition, the parties may jointly extend the collaboration, with the same structure and financial terms, for up to two additional target programs through additional funding by Blueprint Medicines and Proteovant’s Opt-In Right would extend to the second of such additional target programs.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Proteovant will be performing research and development activities throughout the period until Blueprint Medicines can exercise its option to obtain a worldwide, exclusive license to develop and commercialize any licensed compound, subject to Proteovant’s Opt-In Right. Proteovant initially recorded the $20.0 million upfront payment as deferred revenue on the accompanying consolidated financial statements and will recognize it as revenue as the services are provided.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Affivant</w:t>
      </w:r>
    </w:p>
    <w:p>
      <w:pPr>
        <w:spacing w:after="0" w:line="121"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In November 2020, RSL and its indirect subsidiary Affivant Sciences GmbH (“Affivant”) entered into a licensing and strategic collaboration agreement with Affimed N.V. (“Affimed”) to develop and commercialize novel innate cell engagers for multiple cancer targets in exchange for consideration that includes $40.0 million in upfront cash and pre-paid R&amp;D funding and $20.0 million of newly issued shares in RSL. Affimed could receive further short-term proceeds in the form of option fees contingent on the commencement of additional programs contemplated under the agreement. Affimed is eligible to receive up to an additional approximately $2.0 billion in milestones over time upon achievement of specified development, regulatory and commercial milestones, as well as tiered royalties on net sales.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Silicon Therapeutics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March 2021, the Company completed the acquisition of the business of Silicon Therapeutics, LLC (“Silicon Therapeutics”), a physics-driven computational drug discovery company, for total consideration of approximately $450.0 million, with additional cash payments payable subject to the satisfaction of certain regulatory and commercial milestones. This acquisition did not include one of Silicon Therapeutics’ subsidiaries, Silicon SWAT, Inc. Approximately $350.0 million of the consideration was payable primarily in the Company’s common stock at or near closing of the acquisition (the “First Tranche”). At closing of the acquisition, the Company issued 21,409,764 common shares and paid approximately $14.0 million in cash, net of cash received, to Silicon Therapeutics after giving effect to certain transaction adjustments and holdbacks. The remainder of the First Tranche was paid in a combination of common shares and cash as certain holdbacks were released. In November 2021, the Company transferred the remaining</w:t>
      </w:r>
    </w:p>
    <w:p>
      <w:pPr>
        <w:spacing w:after="0" w:line="3"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$100.0 million (the “Second Tranche Consideration”) to Silicon Therapeutics through a $50.0 million cash payment and the issuance of 6,348,057 of the Company’s common shares.</w:t>
      </w:r>
    </w:p>
    <w:p>
      <w:pPr>
        <w:spacing w:after="0" w:line="7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transaction was accounted for as an asset acquisition as substantially all of the fair value of the assets acquired were concentrated in a single asset, in-process research and development related to the computational drug discovery platform that designs and develops small molecule therapeutics. For accounting purposes, the fair value of consideration transferred was $402.4 million, consisting of $281.7 million relating to the fair value of common shares issued upfront and expected to be issued shortly thereafter; $105.1 million relating to the fair value of liabilities due to the sellers, including the Second Tranche Consideration, future contingent consideration payments, and closing consideration to be paid in cash; and cash of $15.6 million paid at closing. Of this amount, $399.6 million was attributed to in-process research and development, which was determined to</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00"/>
          </w:cols>
          <w:pgMar w:left="320" w:top="482"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have no alternative future use. Accordingly, the Company recorded $399.6 million as acquired in-process research and development expense in the accompanying consolidated statement of operations for the year ended March 31, 2021.</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the vesting of certain outstanding Silicon Therapeutics share-based compensation awards held by employees of Silicon Therapeutics was discretionarily accelerated at closing. As a result, the Company recorded share-based compensation expense of $23.5 million in the accompanying consolidated statements of operations for the year ended March 31, 2021.</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certain share-based compensation awards of Silicon Therapeutics were exchanged with restricted common stock of the Company, subject to certain service-based vesting requirements, with a fair value of $22.6 million. Of this amount, $15.6 million was attributed to precombination service and therefore included in the total fair value of consideration transferred.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Priovant</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September 2021, Priovant Therapeutics, Inc. (“Priovant”) entered into a license and collaboration agreement with Pfizer, Inc. (“Pfizer”) (the “Pfizer License Agreement”). The transaction was accounted for as an asset acquisition as the acquired assets did not meet the definition of a business. The fair value of consideration transferred was $82.1 million, consisting of $70.0 million of preferred stock issued to Pfizer, representing a dilution-protected minority ownership interest in Priovant; a $10.0 million upfront cash payment; and $2.1 million relating to other obligations. The acquired rights, which included the licensed rights, starting materials and in-process inventory for each drug candidate, represent in-process research and development assets, which were determined to have no alternative future use. Accordingly, the Company recorded $82.1 million as acquired in-process research and development expense in the accompanying consolidated statements of operations for the year ended March 31, 2022.</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Priovant is obligated to pay Pfizer a mid tens-of-millions sales milestone payment if aggregate net sales of its licensed products in Priovant’s territory in a given year exceed a mid hundreds-of-millions amount. Pfizer is obligated to pay Priovant a low tens-of-millions sales milestone payment if aggregate net sales of its licensed products outside of Priovant’s territory in a given year exceed a mid hundreds-of-millions amount.</w:t>
      </w:r>
    </w:p>
    <w:p>
      <w:pPr>
        <w:spacing w:after="0" w:line="176"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Priovant is obligated to pay Pfizer a tiered, sub-teens royalty, on aggregate net sales of its licensed products in Priovant’s territory. Pfizer is obligated to pay Priovant a tiered high single-digit to sub-teens royalty, on aggregate net sales of its licensed products outside of Priovant’s territory.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Hemavant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November 2021, Hemavant Sciences GmbH (“Hemavant”), a wholly owned subsidiary of the Company, entered into a license agreement with Eisai Co., Ltd. (“Eisai”) (the “Eisai License Agreement”). Pursuant to the Eisai License Agreement, Eisai granted Hemavant (i) an exclusive, worldwide, sublicensable, royalty-bearing license under certain patents and know-how and (ii) a non-exclusive, worldwide, sublicensable, royalty-bearing license under certain additional patents, know-how and inventions, in each case, to develop, manufacture and commercialize the compound known as RVT-2001 and products incorporating RVT-2001 for all human and animal uses. In exchange for the rights, the Company made an upfront payment to Eisai consisting of $8.0 million in cash and the issuance of $7.0 million in shares of the Company’s common stock at an agreed price of $8.00 per share. Hemavant may also be obligated to pay up to a maximum of $65.0 million in development and regulatory milestone payments (with respect the product for the first indication) and up to a maximum of $18.0 million in payments (with respect to the product for each additional indication) and up to a maximum of $295.0 million in commercial milestone payments. Hemavant may also be obligated to pay a tiered high single-digit to sub-teens royalty, subject to certain customary reductions, on net sales of licensed products.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82"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transaction was accounted for as an asset acquisition as the acquired assets did not meet the definition of a business. The acquired rights, which include the licensed rights and in-process inventory of the drug candidate, represent in-process research and development assets that were determined to have no alternative future use. The fair value of the 874,957 shares of the Company’s common stock issued to Eisai based on the closing price as of the effective date of the Eisai License Agreement was $6.1 million. Accordingly, the Company recorded $14.1 million as acquired in-process research and development expense in the accompanying consolidated statements of operations for the year ended March 31,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at March 31, 2022 and 2021 consisted of the following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6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$ 66,188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$ 20,755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Compensation-related expenses</w:t>
            </w:r>
          </w:p>
        </w:tc>
        <w:tc>
          <w:tcPr>
            <w:tcW w:w="98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44,262</w:t>
            </w: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38,552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980" w:type="dxa"/>
            <w:vAlign w:val="bottom"/>
            <w:gridSpan w:val="6"/>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17,081</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17,629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127,531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$ 76,936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7—Long-Term Debt and Loan Commitment</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Long-Term Debt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Long-term debt, net consists of the following (in thousands):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68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$217,400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$170,100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Exit fee / end of term charge</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7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(12,375)</w:t>
            </w:r>
          </w:p>
        </w:tc>
        <w:tc>
          <w:tcPr>
            <w:tcW w:w="2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170,280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210,025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170,280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Dermavant</w:t>
      </w:r>
    </w:p>
    <w:p>
      <w:pPr>
        <w:spacing w:after="0" w:line="121" w:lineRule="exact"/>
        <w:rPr>
          <w:sz w:val="20"/>
          <w:szCs w:val="20"/>
          <w:color w:val="auto"/>
        </w:rPr>
      </w:pPr>
    </w:p>
    <w:p>
      <w:pPr>
        <w:ind w:left="120" w:right="180" w:firstLine="440"/>
        <w:spacing w:after="0" w:line="276" w:lineRule="auto"/>
        <w:rPr>
          <w:sz w:val="20"/>
          <w:szCs w:val="20"/>
          <w:color w:val="auto"/>
        </w:rPr>
      </w:pPr>
      <w:r>
        <w:rPr>
          <w:rFonts w:ascii="Times New Roman" w:cs="Times New Roman" w:eastAsia="Times New Roman" w:hAnsi="Times New Roman"/>
          <w:sz w:val="17"/>
          <w:szCs w:val="17"/>
          <w:color w:val="auto"/>
        </w:rPr>
        <w:t>In May 2019, Dermavant entered into a loan and security agreement (the “Hercules Loan Agreement”) with Hercules Capital, Inc. (“Hercules”), pursuant to which Dermavant borrowed an aggregate of $20.0 million, which bore interest at a variable per annum rate at the greater of (i) 9.95% or</w:t>
      </w:r>
    </w:p>
    <w:p>
      <w:pPr>
        <w:spacing w:after="0" w:line="1" w:lineRule="exact"/>
        <w:rPr>
          <w:sz w:val="20"/>
          <w:szCs w:val="20"/>
          <w:color w:val="auto"/>
        </w:rPr>
      </w:pPr>
    </w:p>
    <w:p>
      <w:pPr>
        <w:ind w:left="120" w:hanging="4"/>
        <w:spacing w:after="0" w:line="251" w:lineRule="auto"/>
        <w:tabs>
          <w:tab w:leader="none" w:pos="3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plus 4.45%. Dermavant was also obligated to pay an end of term charge of $1.4 million. Following the achievement of certain milestones, the term loan maturity was extended to June 1, 2023 with interest-only monthly payments through December 2021. All amounts outstanding under the Hercules Loan Agreement were repaid in May 2021 using the proceeds from a $40.0 million senior secured credit facility (the “Credit Facility”) entered into by Dermavant and certain of its subsidiaries in May 2021 with XYQ Luxco S.A.R.L (“XYQ Luxco”), as lender, and U.S. Bank National Association, as collateral agent. The Credit Facility has a five-year maturity and bears an interest rate of 10.0% per annum. Interest is payable quarterly in arrears on the last day of each calendar quarter through the maturity date. A lump sum principal payment is due on the maturity date. Dermavant is also obligated to pay an exit fee of $5.0 million. The exit fee can be reduced to $4.0 million upon achievement of certain equity milestones defined in the agreement, which are not deemed likely as of March 31, 2022. In connection with the funding of the Credit Facility, Dermavant issued a warrant to XYQ Luxco to purchase 1,199,072 common shares of Dermavant at an exercise price of $0.01 per common share.</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82"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connection with Dermavant’s acquisition of tapinarof from GlaxoSmithKline Intellectual Property Development Ltd. and Glaxo Group Limited</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(collectively “GSK”) pursuant to an asset purchase agreement (the “GSK Agreement”), Dermavant and NovaQuest Co-Investment Fund VIII, L.P.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(“NovaQuest”) entered into a funding agreement (the “NovaQuest Agreement”). Pursuant to the NovaQuest Agreement, Dermavant borrowed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$100.0 million in August 2018 and $17.5 million in October 2018 in exchange for an obligation to make certain variable future payments calculated as a</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function of the achievement of regulatory and commercial milestones or events of termination. The aggregate maximum amount of regulatory milestone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payments that Dermavant could be required to make under the NovaQuest Agreement is $440.6 million, with $176.3 million due over a six-year period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paid quarterly following the U.S. regulatory approval of VTAMA in May 2022. The maximum aggregate amount of commercial milestone payments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$141.0 million. In some circumstances, Dermavant may be able to offset certain of the regulatory milestone payments with up to $88.1 million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commercial milestone payments. At issuance, the Company concluded that certain features of the long-term debt would be considered derivatives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require bifurcation. In lieu of bifurcating various features in the agreement, the Company has elected the fair value option for this financial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instrument and will record the changes in the fair value within the statements of operations at the end of each reporting period. Direct costs and fees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to the debt issued under the NovaQuest Agreement were recognized in earnings. As of March 31, 2022 and 2021, the fair value of the debt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$177.4 million and $150.1 million, respectively. Refer to Note 14, “Fair Value Measurements” for additional details regarding the fair value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measurement.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Debt Maturities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Annual maturities, including the exit fee, of debt outstanding as of March 31, 2022 are as follows (in thousands). Long term debt issued by Dermavant for which the fair value option has been elected is excluded from the below as the repayment terms are variable.</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March 31,</w:t>
            </w: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45,000</w:t>
            </w: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5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45,000</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Loan Commitment</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May 2021, Dermavant, as seller, entered into a $160.0 million revenue interest purchase and sale agreement (the “RIPSA”) for its investigational product tapinarof with XYQ Luxco, NovaQuest Co-Investment Fund XVII, L.P., an affiliate of NovaQuest Capital Management, LLC, and MAM Tapir Lender, LLC, an affiliate of Marathon Asset Management, L.P. (collectively, the “Purchasers”), together with U.S. Bank National Association, as collateral agent. Under the terms of the RIPSA, the Purchasers procured a capped single-digit revenue interest in net sales of tapinarof for all dermatological indications in the United States, up to a cap of $344.0 million, in exchange for $160.0 million in committed funding to be paid to Dermavant, conditional based on the approval of tapinarof by the FDA.</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VTAMA (tapinarof) cream was approved by the FDA in May 2022. Refer to Note 17, “Subsequent Events” for more information.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00"/>
          </w:cols>
          <w:pgMar w:left="320" w:top="482" w:right="4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Sumitomo Dainippon Pharma Co., Ltd.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May 2021, the Company entered into an Asset Purchase Agreement with Sumitomo Dainippon Pharma Co., Ltd. (“Sumitomo”) and its subsidiary Sumitomo Pharmaceuticals (Suzhou) Co., Ltd. (“SPC”) (the “Asset Purchase Agreement”). The transactions contemplated by the Asset Purchase Agreement closed in June 2021. Pursuant to the Asset Purchase Agreement: (i) Sumitomo terminated all of its existing options to acquire the Company’s equity interests in certain of its subsidiaries (the “Sumitomo Options”); (ii) the Company transferred and assigned to SPC all of its intellectual property, development and commercialization rights for (a) lefamulin in Mainland China, Taiwan, Hong Kong, and Macau (collectively “Greater China”), (b) vibegron in Mainland China, (c) rodatristat ethyl in Greater China and South Korea and (d) RVT-802 in Greater China and South Korea; (iii) Sumitomo agreed to pay the Company $5.0 million in cash; and (iv) Sumitomo entered into an agreement with the Company to pursue future collaborations with Genevant. The Company received the cash payment, net of certain withholding taxes, in August 2021. The Company recorded a gain on the termination of the Sumitomo Options of $66.5 million, consisting of the fair value of the Sumitomo Options on the date of termination and the cash payment, in the accompanying consolidated statements of operations for the year ended March 31, 2022.</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 and Strategic Cooperation Agreement</w:t>
      </w:r>
    </w:p>
    <w:p>
      <w:pPr>
        <w:spacing w:after="0" w:line="121"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In December 2019, RSL and Sumitomo completed the transactions contemplated by the transaction agreement by and between RSL and Sumitomo, dated as of October 31, 2019 (the “Sumitomo Transaction Agreement”). Concurrent with entry into the Sumitomo Transaction Agreement, RSL and Sumitomo entered into the following agreements: (i) a transition services agreement (the “TSA”), pursuant to which the parties agreed to provide certain transitional services to one another at cost for a specified period of time following the closing date and (ii) a strategic cooperation agreement (the “SCA”), providing for certain technology-related collaborations. Pursuant to the terms of the TSA and the SCA, RSL billed Sumitomo $1.0 million and $1.4 million, net of amounts billed by Sumitomo to RSL, during the years ended March 31, 2022 and 2021, respectively. Additionally, during each of the years ended March 31, 2022 and 2021, the Company paid Sumitomo a $1.0 million DrugOme access fee pursuant to the SCA.</w:t>
      </w:r>
    </w:p>
    <w:p>
      <w:pPr>
        <w:spacing w:after="0" w:line="17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On March 1, 2022, RSL and Sumitomo amended the SCA. In connection with the amendment, RSL agreed to pay Sumitomo an aggregate of $4.5 million. This consideration was expensed during the year ended March 31,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9—Shareholders’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RSL Common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September 30, 2021 in connection with the closing of the Business Combination, the Company effected a 2.9262-for-1 stock subdivision based on the fixed exchange ratio established in the Business Combination. All per share amounts and number of shares in the consolidated financial statements and related notes have been retroactively restated to reflect the stock split.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Additionally, in connection with the closing of the Business Combination, the Company adjusted its authorized share capital to equal 7,000,000,000 common shares, par value $0.0000000341740141 per share. Each common share has the right to one vote. The holders of common shares are also entitled to receive dividends whenever funds are legally available and when declared by the board of directors, subject to the prior rights of holders of all classes of stock outstanding having priority rights as to dividends. No dividends have been declared by the board of directors since the Company’s inception.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82"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Committed Equity Facility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February 14, 2022, the Company entered into a committed equity facility (the “Facility”) with an affiliate of Cantor Fitzgerald &amp; Co. (“Cantor”). Under the terms of the Facility, Cantor has committed to purchase up to an aggregate of $250.0 million in the Company’s common shares from time to time at the request of the Company, subject to certain limitations and the satisfaction of certain conditions. Any sales of the Company’s common shares to Cantor under the Facility will be made at 99% of the volume-weighted average price of the Company’s common shares on Nasdaq on a given trading day. In consideration for entry into the Facility, the Company paid Cantor an upfront commitment fee in the form of 145,986 common shares. As of March 31, 2022, $250.0 million of the Company’s common shares remained available for sale under the Facility.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Consolidated Vant Equity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Immunovant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May 2020 and September 2020, Immunovant, Inc. achieved the first and second earnout milestones as defined in the share exchange agreement with Health Sciences Acquisitions Corporation. As a result, all of the 20,000,000 earnout shares of Immunovant, Inc.’s common stock were issued, including 17,547,938 shares of common stock issued to RSL.</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April 2020, Immunovant, Inc. completed an underwritten public offering of 9,613,365 shares of its common stock, including 1,034,483 shares of common stock purchased by RSL, at a price of $14.50 per share for net proceeds to Immunovant, Inc. of approximately $131.0 million, after deducting underwriting discounts and commissions and offering expenses. The proceeds included $15.0 million received from RSL.</w:t>
      </w:r>
    </w:p>
    <w:p>
      <w:pPr>
        <w:spacing w:after="0" w:line="176" w:lineRule="exact"/>
        <w:rPr>
          <w:sz w:val="20"/>
          <w:szCs w:val="20"/>
          <w:color w:val="auto"/>
        </w:rPr>
      </w:pPr>
    </w:p>
    <w:p>
      <w:pPr>
        <w:jc w:val="both"/>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In May 2020, Immunovant, Inc.’s 11,500,000 outstanding warrants became exercisable for an aggregate of 5,750,000 shares of Immunovant, Inc.’s common stock at a price of $11.50 per share. An aggregate of 11,438,290 outstanding warrants were exercised for an aggregate of 5,719,145 shares of Immunovant, Inc.’s common stock at a price of $11.50 per share, for net proceeds of approximately $65.8 million. The remaining 61,710 warrants were cancelled.</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September 2020, Immunovant, Inc. completed an underwritten public offering of 6,060,606 shares of its common stock, including 380,000 shares of common stock purchased by RSL, at a price of $33.00 per share for net proceeds to Immunovant, Inc. of approximately $188.1 million, after deducting underwriting discounts and commissions and offering expenses. The proceeds included $12.5 million received from RSL.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Proteovant</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July 2021, Proteovant collected the subscription receivable relating to the second $100.0 million payment due under a subscription agreement entered into with SK, Inc. (“SK”) in December 2020 pursuant to which SK agreed to make a $200.0 million equity investment in Proteovant, representing an ownership interest of 40.0% on the closing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10—Share-Based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Share-Based Compensation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Share-based compensation expense was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 expense recognized as:</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R&amp;D expenses</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63,735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$ 22,637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G&amp;A expenses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501,221</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62,321</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564,956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$ 84,958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8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achievement of the liquidity event vesting condition for certain equity instruments upon the closing of the Business Combination resulted in the recognition of a one-time catch-up expense of $372.9 million in September 2021 relating to cumulative service rendered between the grant date of the respective awards and completion of the Business Combination. This one-time catch-up expense is reflected in the accompanying consolidated statements of operations for the year ended March 31,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RSL Equity Incentive Plans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RSL has three equity incentives plans: the Roivant Sciences Ltd. 2021 Equity Incentive Plan (the “RSL 2021 EIP”), the Roivant Sciences Ltd. Amended and Restated 2015 Equity Incentive Plan (the “RSL 2015 EIP”), and the Roivant Sciences Ltd. Amended and Restated 2015 Restricted Stock Unit Plan (the “2015R Plan”) (collectively, the “RSL Equity Plans”). The RSL 2021 EIP was approved and adopted in connection with the Business Combination and became effective immediately prior to closing. Since the effective date of the RSL 2021 EIP, no further stock awards have been or will be made under the RSL 2015 EIP. Additionally, no further stock awards will be made under the 2015R Plan. As of March 31, 2022, 69,300,000 of the Company’s common shares were reserved for issuance under the RSL 2021 EIP. The number of common shares reserved for issuance under the RSL 2021 EIP will automatically increase on April 1 of each year by an amount equal to the lesser of (i) 5% of the common shares outstanding as of the last day of the immediately preceding fiscal year and (ii) such number of common shares as determined by our board of directors in its discretion. The RSL 2021 EIP has a ten-year term. The Company’s employees, directors, and consultants are eligible to receive incentive stock options, nonqualified stock options, stock appreciation rights, restricted stock awards, restricted stock units and other stock awards under the RSL 2021 EIP. At March 31, 2022, a total of 59,373,756 common shares were available for future grants under the RSL 2021 EIP.</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All RSL common shares issuable on exercise of vested options or settlement of other equity instruments that were issued and outstanding as of the closing of the Business Combination were subject to a six-month lock-up period. The lock-up period expired on March 30,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Performance 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Activity for stock options and performance stock options under the RSL Equity Plans for the year ended March 31, 2022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5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50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4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69,687,308</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5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12,181,127</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9.76</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(101,436)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4.06</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(1,402,095)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11.86</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80,364,904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11.37</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March 31, 2022</w:t>
            </w: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11.15</w:t>
            </w:r>
          </w:p>
        </w:tc>
        <w:tc>
          <w:tcPr>
            <w:tcW w:w="16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39,236,351</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all outstanding and exercisable options and the fair value of the Company’s common stock at March 31, 2022. At March 31, 2022, total unrecognized compensation expense related to non-vested stock options and performance stock options was approximately $149.7 million and is expected to be recognized over a weighted-average period of approximately 2.63 years.</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40"/>
          </w:cols>
          <w:pgMar w:left="320" w:top="482"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March 31, 2022 and 2021, there were 39,236,351 and 16,193,146 vested stock options and performance stock options, respectively. Vesting for performance stock options was subject to a liquidity event vesting requirement in addition to time-based service requirements. The liquidity event vesting requirement was met upon closing of the Business Combination on September 30, 2021.</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each stock option on the date of grant using the Black-Scholes closed form option-pricing model applying the weighted average assumptions in the following table. No performance stock options were granted during the years ended March 31, 2022 and 2021.</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21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vMerge w:val="continue"/>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81.70%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74.84%</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risk free interest rate</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1.13%</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6.25</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information regarding stock options and performance stock options is set forth below (in thousands, except per share data).</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8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Grant date fair value of options vested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210,487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25,711</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 of stock options granted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8.67</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Stock Units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Activity for restricted stock units and performance stock units under the RSL Equity Plans for the year ended March 31, 2022 is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34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7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3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March 31, 2021</w:t>
            </w:r>
          </w:p>
        </w:tc>
        <w:tc>
          <w:tcPr>
            <w:tcW w:w="14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7,294,028</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20,948,227</w:t>
            </w:r>
          </w:p>
        </w:tc>
        <w:tc>
          <w:tcPr>
            <w:tcW w:w="560" w:type="dxa"/>
            <w:vAlign w:val="bottom"/>
          </w:tcPr>
          <w:p>
            <w:pPr>
              <w:spacing w:after="0"/>
              <w:rPr>
                <w:sz w:val="18"/>
                <w:szCs w:val="18"/>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(5,111,550)</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spacing w:after="0"/>
              <w:rPr>
                <w:sz w:val="19"/>
                <w:szCs w:val="19"/>
                <w:color w:val="auto"/>
              </w:rPr>
            </w:pPr>
          </w:p>
        </w:tc>
        <w:tc>
          <w:tcPr>
            <w:tcW w:w="1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(1,173,956)</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March 31, 2022</w:t>
            </w:r>
          </w:p>
        </w:tc>
        <w:tc>
          <w:tcPr>
            <w:tcW w:w="1440" w:type="dxa"/>
            <w:vAlign w:val="bottom"/>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21,956,749</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total fair value of restricted stock units and performance stock units vested during the year ended March 31, 2022 was $59.3 million. Vesting for both restricted stock units and performance stocks units was subject to a liquidity event vesting requirement. There were no vested restricted stock units or performance stock units at March 31, 2021 as the liquidity event vesting requirement was not met until the closing of the Business Combination on September 30, 2021. Restricted stock units vest upon the achievement of time-based service requirements. The vesting of performance stock units requires that certain performance conditions are achieved during the performance period and is subject to continued service requirements.</w:t>
      </w:r>
    </w:p>
    <w:p>
      <w:pPr>
        <w:spacing w:after="0" w:line="183"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At March 31, 2022, total unrecognized compensation expense related to non-vested restricted stock units and performance stock units was approximately $155.8 million. Unrecognized compensation expense relating to restricted stock units and performance stock units that are deemed probable of vesting is expected to be recognized over a weighted-average period of approximately 2.97 years.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80"/>
          </w:cols>
          <w:pgMar w:left="320" w:top="482" w:right="4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Capped Value Appreciation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March 2020 CVAR Grants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March 2020, the Company granted capped value appreciation rights (“CVARs”) that will pay at settlement the excess in shares of (a) the lesser of (i) the fair market value of a common share as of the settlement date or (ii) the cap of $12.68, over (b) the hurdle price of either $6.40 or $11.50, as applicable to each grant. On March 30, 2022, the Company amended the outstanding CVARs that were granted in March 2020. Pursuant to the amendment, in the event any CVARs have satisfied the time-based service and liquidity event vesting requirements (“service-vested CVARs”) but have not satisfied the applicable hurdle price on an applicable measurement date, then such CVARs will be deemed to remain outstanding and the applicable award holder will be provided the right to earn such CVARs if the hurdle price is satisfied on subsequent annual “hurdle measurement dates” prior to the original expiration date of the CVARs, being March 31, 2026. The “hurdle measurement dates” are March 30 of each of years 2023 through 2026. If the hurdle price is not satisfied on any such subsequent annual hurdle measurement date prior to the expiration date of the CVARs, then the CVARs will be forfeited in their entirety on the expiration date. This amendment was accounted for as a modification and resulted in an aggregate of approximately $16.9 million of incremental fair value. Incremental fair value associated with CVARs that do not require further service for vesting was recognized in full on March 30, 2022. The Company will recognize the incremental fair value for CVARs that require future service for vesting over the remaining requisite service period.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Activity for CVARs under the RSL 2015 EIP for the year ended March 31, 2022 is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18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w w:val="99"/>
              </w:rPr>
              <w:t>Number of CVARs</w:t>
            </w:r>
          </w:p>
        </w:tc>
        <w:tc>
          <w:tcPr>
            <w:tcW w:w="11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Non-service-vested CVARs balance at March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32,447,626</w:t>
            </w: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0.72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1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left="37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Service-vested</w:t>
            </w:r>
          </w:p>
        </w:tc>
        <w:tc>
          <w:tcPr>
            <w:tcW w:w="21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(18,213,910)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1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(435,630)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left="433"/>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Non-service-vested CVARs balance at March 31,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13,798,086</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At March 31, 2022, there were 18,213,910 service-vested CVARs. The hurdle price was not satisfied for these service-vested CVARs and as such they remain outstanding. The total fair value of CVARs that service-vested during the year ended March 31, 2022 was $22.3 million. There were no service-vested CVARs at March 31, 2021 as the liquidity event vesting requirement was not met until the closing of the Business Combination on September 30, 2021.</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At March 31, 2022, total unrecognized compensation expense related to non-service-vested CVARs was approximately $10.1 million and is expected to be recognized over a weighted-average period of approximately 1.74 years.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November 2021 CVAR Grants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November 2021, the Company made one-time grants of 6,317,350 CVARs in the aggregate under the RSL 2021 EIP to eligible participants. The CVARs are eligible to vest based on the satisfaction of service-based and performance-based vesting requirements. The performance-based vesting requirement was achieved in December 2021. Vested CVARs will be settled in common shares, up to a specified cap price.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00"/>
          </w:cols>
          <w:pgMar w:left="320" w:top="482" w:right="4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Activity for CVARs under the RSL 2021 EIP for the year ended March 31, 2022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7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Number of CVARs</w:t>
            </w:r>
          </w:p>
        </w:tc>
        <w:tc>
          <w:tcPr>
            <w:tcW w:w="52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March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6,317,350</w:t>
            </w:r>
          </w:p>
        </w:tc>
        <w:tc>
          <w:tcPr>
            <w:tcW w:w="560" w:type="dxa"/>
            <w:vAlign w:val="bottom"/>
          </w:tcPr>
          <w:p>
            <w:pPr>
              <w:spacing w:after="0"/>
              <w:rPr>
                <w:sz w:val="18"/>
                <w:szCs w:val="18"/>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(32,100)</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Non-vested balance at March 31, 2022</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6,285,250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At March 31, 2022, total unrecognized compensation expense related to non-vested CVARs was approximately $19.3 million and is expected to be recognized over a weighted-average period of approximately 3.13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Employee Stock Purchase Plan</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September 2021, the Company adopted the Roivant Sciences Ltd. Employee Stock Purchase Plan (the “RSL ESPP”), which provides for the granting of an option to purchase common shares of RSL to eligible employees, as defined by the RSL ESPP. As of March 31, 2022, the maximum number of common shares reserved and available for purchase under the RSL ESPP was 13,900,000. The total number of common shares available for purchase under the RSL ESPP will be increased annually on April 1 of each year during the term of the plan in an amount equal to the least of (i) 13,900,000 common shares, (ii) one percent of the aggregate number of common shares outstanding (on a fully diluted basis) on the last day of the immediately preceding Company fiscal year and (iii) such lesser number of common shares as determined by the board of directors; provided that the maximum number of common shares that may be issued under the RSL ESPP during the term of the plan is 147,447,650 common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Subsidiary Equity Incentive Plans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wholly owned and majority-owned or controlled subsidiaries of RSL adopt their own equity incentive plan (“EIP”). Each EIP is generally structured so that the applicable subsidiary, and its affiliates’ employees, directors, officers and consultants are eligible to receive non-qualified and incentive stock options, stock appreciation rights, restricted share awards, restricted stock unit awards, and other share awards under their respective EIP. The Company recorded share-based compensation expense of $47.4 million and $29.1 million for the years ended March 31, 2022 and 2021, respectively, related to subsidiary EIPs. At March 31, 2022, total unrecognized compensation expense related to subsidiary EIPs was approximately $134.5 million.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loss before income taxes and the related expense/(benefit)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6"/>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40" w:type="dxa"/>
            <w:vAlign w:val="bottom"/>
          </w:tcPr>
          <w:p>
            <w:pPr>
              <w:ind w:left="360"/>
              <w:spacing w:after="0" w:line="216" w:lineRule="exact"/>
              <w:rPr>
                <w:sz w:val="20"/>
                <w:szCs w:val="20"/>
                <w:color w:val="auto"/>
              </w:rPr>
            </w:pPr>
            <w:r>
              <w:rPr>
                <w:rFonts w:ascii="Times New Roman" w:cs="Times New Roman" w:eastAsia="Times New Roman" w:hAnsi="Times New Roman"/>
                <w:sz w:val="18"/>
                <w:szCs w:val="18"/>
                <w:color w:val="auto"/>
              </w:rPr>
              <w:t>Bermuda</w:t>
            </w:r>
            <w:r>
              <w:rPr>
                <w:rFonts w:ascii="Times New Roman" w:cs="Times New Roman" w:eastAsia="Times New Roman" w:hAnsi="Times New Roman"/>
                <w:sz w:val="25"/>
                <w:szCs w:val="25"/>
                <w:color w:val="auto"/>
                <w:vertAlign w:val="superscript"/>
              </w:rPr>
              <w:t>(1)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$ 390,831</w:t>
            </w:r>
          </w:p>
        </w:tc>
        <w:tc>
          <w:tcPr>
            <w:tcW w:w="2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$(227,471)</w:t>
            </w: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(747,953)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(212,921)</w:t>
            </w: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Switzerland</w:t>
            </w: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(544,870)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(424,494)</w:t>
            </w:r>
          </w:p>
        </w:tc>
      </w:tr>
      <w:tr>
        <w:trPr>
          <w:trHeight w:val="216"/>
        </w:trPr>
        <w:tc>
          <w:tcPr>
            <w:tcW w:w="62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(2)</w:t>
            </w: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(21,755)</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(33,661)</w:t>
            </w:r>
          </w:p>
        </w:tc>
      </w:tr>
      <w:tr>
        <w:trPr>
          <w:trHeight w:val="223"/>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(923,747</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(898,547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78"/>
              </w:rPr>
              <w:t>(1)</w:t>
            </w:r>
          </w:p>
        </w:tc>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Primarily entities which are centrally managed and controlled in the United Kingdom</w:t>
            </w:r>
          </w:p>
        </w:tc>
      </w:tr>
      <w:tr>
        <w:trPr>
          <w:trHeight w:val="235"/>
        </w:trPr>
        <w:tc>
          <w:tcPr>
            <w:tcW w:w="2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78"/>
              </w:rPr>
              <w:t>(2)</w:t>
            </w:r>
          </w:p>
        </w:tc>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Primarily Greater China and United Kingdom activity</w:t>
            </w:r>
          </w:p>
        </w:tc>
      </w:tr>
      <w:tr>
        <w:trPr>
          <w:trHeight w:val="365"/>
        </w:trPr>
        <w:tc>
          <w:tcPr>
            <w:tcW w:w="280" w:type="dxa"/>
            <w:vAlign w:val="bottom"/>
          </w:tcPr>
          <w:p>
            <w:pPr>
              <w:spacing w:after="0"/>
              <w:rPr>
                <w:sz w:val="24"/>
                <w:szCs w:val="24"/>
                <w:color w:val="auto"/>
              </w:rPr>
            </w:pPr>
          </w:p>
        </w:tc>
        <w:tc>
          <w:tcPr>
            <w:tcW w:w="63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217</w:t>
            </w:r>
          </w:p>
        </w:tc>
      </w:tr>
    </w:tbl>
    <w:p>
      <w:pPr>
        <w:sectPr>
          <w:pgSz w:w="11900" w:h="16838" w:orient="portrait"/>
          <w:cols w:equalWidth="0" w:num="1">
            <w:col w:w="11120"/>
          </w:cols>
          <w:pgMar w:left="320" w:top="482"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464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196"/>
        </w:trPr>
        <w:tc>
          <w:tcPr>
            <w:tcW w:w="4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taxes: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Bermuda</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1,365</w:t>
            </w: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Switzerland</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(1)</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321</w:t>
            </w:r>
          </w:p>
        </w:tc>
      </w:tr>
      <w:tr>
        <w:trPr>
          <w:trHeight w:val="223"/>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17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369</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1,686</w:t>
            </w:r>
          </w:p>
        </w:tc>
        <w:tc>
          <w:tcPr>
            <w:tcW w:w="4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Bermuda</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Switzerland</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17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216"/>
        </w:trPr>
        <w:tc>
          <w:tcPr>
            <w:tcW w:w="46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369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1,686</w:t>
            </w:r>
          </w:p>
        </w:tc>
      </w:tr>
      <w:tr>
        <w:trPr>
          <w:trHeight w:val="20"/>
        </w:trPr>
        <w:tc>
          <w:tcPr>
            <w:tcW w:w="4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Primarily Greater China and United Kingdom activity</w:t>
      </w:r>
    </w:p>
    <w:p>
      <w:pPr>
        <w:spacing w:after="0" w:line="99" w:lineRule="exact"/>
        <w:rPr>
          <w:sz w:val="20"/>
          <w:szCs w:val="20"/>
          <w:color w:val="auto"/>
        </w:rPr>
      </w:pPr>
    </w:p>
    <w:p>
      <w:pPr>
        <w:ind w:left="120" w:right="380" w:firstLine="440"/>
        <w:spacing w:after="0" w:line="270" w:lineRule="auto"/>
        <w:rPr>
          <w:sz w:val="20"/>
          <w:szCs w:val="20"/>
          <w:color w:val="auto"/>
        </w:rPr>
      </w:pPr>
      <w:r>
        <w:rPr>
          <w:rFonts w:ascii="Times New Roman" w:cs="Times New Roman" w:eastAsia="Times New Roman" w:hAnsi="Times New Roman"/>
          <w:sz w:val="18"/>
          <w:szCs w:val="18"/>
          <w:color w:val="auto"/>
        </w:rPr>
        <w:t>A reconciliation of income tax provision/(benefit) computed at the Bermuda statutory rate to income tax expense reflected in the consolidated financial statements is as follows (in thousands, except percentages):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80" w:type="dxa"/>
            <w:vAlign w:val="bottom"/>
            <w:gridSpan w:val="5"/>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0" w:type="dxa"/>
            <w:vAlign w:val="bottom"/>
          </w:tcPr>
          <w:p>
            <w:pPr>
              <w:spacing w:after="0"/>
              <w:rPr>
                <w:sz w:val="15"/>
                <w:szCs w:val="15"/>
                <w:color w:val="auto"/>
              </w:rPr>
            </w:pPr>
          </w:p>
        </w:tc>
        <w:tc>
          <w:tcPr>
            <w:tcW w:w="192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Bermuda statutory rate</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lef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lef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Foreign rate differential</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w w:val="99"/>
              </w:rPr>
              <w:t>(179,000)</w:t>
            </w: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(150,778)</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disallowed IPR&amp;D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15,347</w:t>
            </w:r>
          </w:p>
        </w:tc>
        <w:tc>
          <w:tcPr>
            <w:tcW w:w="44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111,432</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198"/>
        </w:trPr>
        <w:tc>
          <w:tcPr>
            <w:tcW w:w="6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Tax-effect of changes in the fair value of investments and loss from equity method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15,169</w:t>
            </w:r>
          </w:p>
        </w:tc>
        <w:tc>
          <w:tcPr>
            <w:tcW w:w="440" w:type="dxa"/>
            <w:vAlign w:val="bottom"/>
          </w:tcPr>
          <w:p>
            <w:pPr>
              <w:spacing w:after="0"/>
              <w:rPr>
                <w:sz w:val="20"/>
                <w:szCs w:val="20"/>
                <w:color w:val="auto"/>
              </w:rPr>
            </w:pPr>
          </w:p>
        </w:tc>
        <w:tc>
          <w:tcPr>
            <w:tcW w:w="11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(22,472)</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gain on sale of investment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(84,313)</w:t>
            </w:r>
          </w:p>
        </w:tc>
        <w:tc>
          <w:tcPr>
            <w:tcW w:w="1160" w:type="dxa"/>
            <w:vAlign w:val="bottom"/>
            <w:tcBorders>
              <w:left w:val="single" w:sz="8" w:color="CCEEFF"/>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lef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Nontaxable gain on deconsolidation of business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(958)</w:t>
            </w: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(16,438)</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25,973</w:t>
            </w:r>
          </w:p>
        </w:tc>
        <w:tc>
          <w:tcPr>
            <w:tcW w:w="44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905</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 deficiencies (excess tax benefits) from share-based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12,918</w:t>
            </w:r>
          </w:p>
        </w:tc>
        <w:tc>
          <w:tcPr>
            <w:tcW w:w="440" w:type="dxa"/>
            <w:vAlign w:val="bottom"/>
          </w:tcPr>
          <w:p>
            <w:pPr>
              <w:spacing w:after="0"/>
              <w:rPr>
                <w:sz w:val="18"/>
                <w:szCs w:val="18"/>
                <w:color w:val="auto"/>
              </w:rPr>
            </w:pPr>
          </w:p>
        </w:tc>
        <w:tc>
          <w:tcPr>
            <w:tcW w:w="11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(439)</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10,912</w:t>
            </w:r>
          </w:p>
        </w:tc>
        <w:tc>
          <w:tcPr>
            <w:tcW w:w="44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2,457</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Research tax credits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(10,113)</w:t>
            </w: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(10,555)</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205,811</w:t>
            </w:r>
          </w:p>
        </w:tc>
        <w:tc>
          <w:tcPr>
            <w:tcW w:w="44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85,046</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 rate changes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(2,444)</w:t>
            </w: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(8,933)</w:t>
            </w:r>
          </w:p>
        </w:tc>
        <w:tc>
          <w:tcPr>
            <w:tcW w:w="1160" w:type="dxa"/>
            <w:vAlign w:val="bottom"/>
            <w:tcBorders>
              <w:left w:val="single" w:sz="8" w:color="CCEEFF"/>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0.97%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1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46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 w:hanging="424"/>
        <w:spacing w:after="0" w:line="218" w:lineRule="auto"/>
        <w:tabs>
          <w:tab w:leader="none" w:pos="540" w:val="left"/>
        </w:tabs>
        <w:numPr>
          <w:ilvl w:val="0"/>
          <w:numId w:val="1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Primarily related to operations in the United States, Switzerland, the United Kingdom, and other jurisdictions with statutory tax rates different than the Bermuda rate.</w:t>
      </w:r>
    </w:p>
    <w:p>
      <w:pPr>
        <w:spacing w:after="0" w:line="19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for the years ended March 31, 2022 and 2021 was (0.04)% and (0.19)%, respectively, driven by the Company’s jurisdictional earnings by location and a valuation allowance that eliminates the Company’s global net deferred tax assets.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40"/>
          </w:cols>
          <w:pgMar w:left="320" w:top="482"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Deferred taxes reflect the tax effects of the differences between the amounts recorded as assets and liabilities for financial reporting purposes and the comparable amounts recorded for income tax purposes. Significant components of the deferred tax assets (liabilities) at March 31, 2022 and 2021 are as follows (in thousands):​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tax credits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27,155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19,063</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61,544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50,564</w:t>
            </w: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312,749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202,906</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93,177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26,623</w:t>
            </w: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16,638</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7,303</w:t>
            </w:r>
          </w:p>
        </w:tc>
      </w:tr>
      <w:tr>
        <w:trPr>
          <w:trHeight w:val="223"/>
        </w:trPr>
        <w:tc>
          <w:tcPr>
            <w:tcW w:w="6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530,682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323,097</w:t>
            </w:r>
          </w:p>
        </w:tc>
        <w:tc>
          <w:tcPr>
            <w:tcW w:w="100" w:type="dxa"/>
            <w:vAlign w:val="bottom"/>
          </w:tcPr>
          <w:p>
            <w:pPr>
              <w:spacing w:after="0"/>
              <w:rPr>
                <w:sz w:val="19"/>
                <w:szCs w:val="19"/>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(512,736)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(303,287)</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(1,214)</w:t>
            </w: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(13,908)</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(4,688)</w:t>
            </w: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has Federal net operating losses in Switzerland, the United States, the United Kingdom and other jurisdictions in the amount of $1,749.2 million, $244.1 million, $40.1 million, and $98.4 million, respectively. The Switzerland net operating losses will expire in varying amounts between March 31, 2025 and March 31, 2029. The United States net operating losses can be carried forward indefinitely with utilization limited to 80% of future taxable income for tax years beginning on or after January 1, 2021, while the United Kingdom and other net operating losses can be carried forward indefinitely as well, with an annual limitation on utilization. The Company has generated net operating losses from United States state and local jurisdictions in the amount of $94.8 million which will expire in varying amounts between March 31, 2035 and March 31, 2042. The Company has generated $27.2 million of research tax credit carryforwards primarily in the United States and Canada, which will expire in varying amounts between March 31, 2035 and March 31, 2042.</w:t>
      </w:r>
    </w:p>
    <w:p>
      <w:pPr>
        <w:spacing w:after="0" w:line="19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Company assesses the realizability of the deferred tax assets at each balance sheet date based on available positive and negative evidence in order to determine the amount which is more likely than not to be realized and record a valuation allowance as necessary. Due to the Company’s cumulative loss position which provides significant negative evidence difficult to overcome, the Company has recorded a valuation allowance of $512.7 million as of March 31, 2022, representing the portion of the deferred tax asset that is not more likely than not to be realized. For the period April 1, 2021 through March 31, 2022, the valuation allowance increased by $209.4 million, primarily as a result of corresponding increases in our global net operating losses, as well as increased costs related to share-based compensation. The amount of the deferred tax asset considered realizable could be adjusted for future factors that would impact the assessment of the objective and subjective evidence of the Company. The Company will continue to assess the realizability of deferred tax assets at each balance sheet date in order to determine the amount, if any, required for a valuation allowance.</w:t>
      </w:r>
    </w:p>
    <w:p>
      <w:pPr>
        <w:spacing w:after="0" w:line="188"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There are outside basis differences related to the Company’s investment in subsidiaries for which no deferred taxes have been recorded as these would not be subject to tax on repatriation as Bermuda has no tax regime for Bermuda exempted limited companies, and the United Kingdom tax regime relating to company distributions and sales generally provides for exemption from tax for most overseas profits, subject to certain exceptions.</w:t>
      </w:r>
    </w:p>
    <w:p>
      <w:pPr>
        <w:spacing w:after="0" w:line="15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is subject to tax and is required to file United States, United Kingdom, and Switzerland federal income tax returns, as well as income tax returns in various state, local, and foreign jurisdictions.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82"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Company is subject to tax examinations for tax years ended March 31, 2018 and forward in major taxing jurisdictions. Tax audits and examinations can involve complex issues, interpretations and judgments. The resolution of matters may span multiple years particularly if subject to litigation or negotiation. The Company believes it has appropriately recorded its tax position using reasonable estimates and assumptions, however, the potential tax benefits may impact the results of operations or cash flows in the period of resolution, settlement or when the statutes of limitations expire.</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Company’s unrecognized tax benefit activity during the year ended March 31, 2022 was not material to the Company’s consolidated financial statements. There were no unrecognized tax benefits recorded as of March 31, 2021. No interest and penalties related to unrecognized tax benefits were recorded as of March 31, 2022 or March 31,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12—Leases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Company’s operating leases consist primarily of real estate leases, including those entered into by certain wholly owned and majority-owned or controlled subsidiaries of RSL.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operating lease expense for the Company were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6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$ 13,649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4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$ 15,202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4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Information related to the Company’s operating lease right-of-use assets and operating lease liabilities was as follows (in thousands, except periods and percentages):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10"/>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During the Year Ended March 31,</w:t>
            </w:r>
          </w:p>
        </w:tc>
        <w:tc>
          <w:tcPr>
            <w:tcW w:w="0" w:type="dxa"/>
            <w:vAlign w:val="bottom"/>
          </w:tcPr>
          <w:p>
            <w:pPr>
              <w:spacing w:after="0"/>
              <w:rPr>
                <w:sz w:val="1"/>
                <w:szCs w:val="1"/>
                <w:color w:val="auto"/>
              </w:rPr>
            </w:pPr>
          </w:p>
        </w:tc>
      </w:tr>
      <w:tr>
        <w:trPr>
          <w:trHeight w:val="142"/>
        </w:trPr>
        <w:tc>
          <w:tcPr>
            <w:tcW w:w="17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5,491</w:t>
            </w:r>
          </w:p>
        </w:tc>
        <w:tc>
          <w:tcPr>
            <w:tcW w:w="0" w:type="dxa"/>
            <w:vAlign w:val="bottom"/>
          </w:tcPr>
          <w:p>
            <w:pPr>
              <w:spacing w:after="0"/>
              <w:rPr>
                <w:sz w:val="1"/>
                <w:szCs w:val="1"/>
                <w:color w:val="auto"/>
              </w:rPr>
            </w:pPr>
          </w:p>
        </w:tc>
      </w:tr>
      <w:tr>
        <w:trPr>
          <w:trHeight w:val="373"/>
        </w:trPr>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1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March 31, 2021</w:t>
            </w:r>
          </w:p>
        </w:tc>
        <w:tc>
          <w:tcPr>
            <w:tcW w:w="0" w:type="dxa"/>
            <w:vAlign w:val="bottom"/>
          </w:tcPr>
          <w:p>
            <w:pPr>
              <w:spacing w:after="0"/>
              <w:rPr>
                <w:sz w:val="1"/>
                <w:szCs w:val="1"/>
                <w:color w:val="auto"/>
              </w:rPr>
            </w:pPr>
          </w:p>
        </w:tc>
      </w:tr>
      <w:tr>
        <w:trPr>
          <w:trHeight w:val="209"/>
        </w:trPr>
        <w:tc>
          <w:tcPr>
            <w:tcW w:w="77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960" w:type="dxa"/>
            <w:vAlign w:val="bottom"/>
            <w:tcBorders>
              <w:top w:val="single" w:sz="8" w:color="auto"/>
            </w:tcBorders>
            <w:gridSpan w:val="4"/>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9.0</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2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414"/>
        </w:trPr>
        <w:tc>
          <w:tcPr>
            <w:tcW w:w="7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As of March 31, 2022, maturities of operating lease liabilities were as follows (in thousands):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00" w:type="dxa"/>
            <w:vAlign w:val="bottom"/>
            <w:gridSpan w:val="3"/>
          </w:tcPr>
          <w:p>
            <w:pPr>
              <w:ind w:left="1760"/>
              <w:spacing w:after="0"/>
              <w:rPr>
                <w:sz w:val="20"/>
                <w:szCs w:val="20"/>
                <w:color w:val="auto"/>
              </w:rPr>
            </w:pPr>
            <w:r>
              <w:rPr>
                <w:rFonts w:ascii="Times New Roman" w:cs="Times New Roman" w:eastAsia="Times New Roman" w:hAnsi="Times New Roman"/>
                <w:sz w:val="14"/>
                <w:szCs w:val="14"/>
                <w:b w:val="1"/>
                <w:bCs w:val="1"/>
                <w:color w:val="auto"/>
              </w:rPr>
              <w:t>Years Ending March 31,</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4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12,714</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12,672</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10,455</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9,363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8,680</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46,783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100,667</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(24,996)</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(1,805)</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73,866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ind w:left="5360"/>
              <w:spacing w:after="0"/>
              <w:rPr>
                <w:sz w:val="20"/>
                <w:szCs w:val="20"/>
                <w:color w:val="auto"/>
              </w:rPr>
            </w:pPr>
            <w:r>
              <w:rPr>
                <w:rFonts w:ascii="Times New Roman" w:cs="Times New Roman" w:eastAsia="Times New Roman" w:hAnsi="Times New Roman"/>
                <w:sz w:val="18"/>
                <w:szCs w:val="18"/>
                <w:color w:val="auto"/>
              </w:rPr>
              <w:t>220</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70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Commitments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is obligated to make contractual payments related to its long-term debt. Refer to Note 7, “Long-Term Debt and Loan Commitment” for further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operating leases, consisting primarily of real estate leases. Refer to Note 12, “Leases” for further information.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In May 2021, the Company entered into a master subscription agreement with Palantir Technologies Inc. (“Palantir”) for access to Palantir’s proprietary software for a five-year period. As of March 31, 2022, the remaining minimum payments for this software subscription are $30.0 million.</w:t>
      </w:r>
    </w:p>
    <w:p>
      <w:pPr>
        <w:spacing w:after="0" w:line="14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November 2021, the Company’s subsidiary, Immunovant, Inc. (“Immunovant”), entered into a Product Service Agreement with Samsung Biologics Co., Ltd. (“Samsung”) by which Samsung will manufacture and supply Immunovant with batoclimab drug substance for commercial sale and perform other manufacturing-related services with respect to batoclimab. As of March 31, 2022, the minimum purchase commitment related to this agreement is estimated to be approximately $36.0 million.</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primarily through its subsidiaries, has entered into commitments under various asset acquisition and license agreements. Additionally, the Company through its subsidiaries enters into agreements with contract service providers to assist in the performance of its R&amp;D activities. Expenditures to contract research organizations and contract manufacturing organizations represent significant costs in the clinical development of its product candidates. Subject to required notice periods and certain obligations under binding purchase orders, the Company can elect to discontinue the work under these agreements at any time. The Company expects to enter into additional collaborative research, contract research, manufacturing, and supplier agreements in the future, which may require upfront payments and long-term commitments of capital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Loss Contingencies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loss can be reasonably estimated, and if the Company believes that a reasonably possible loss exists, the Company discloses the facts and circumstances of the litigation or claim, including an estimable range, if possible. The Company is currently not involved in any legal proceedings with a probable and estimable material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Immunovant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the Company’s subsidiary, Immunovant, has previously disclosed, in February 2021, a putative securities class action complaint was filed against Immunovant and certain of its current and former officers in the U.S. District Court for the Eastern District of New York on behalf of a class consisting of those who acquired Immunovant’s securities from October 2, 2019 and February 1, 2021. The complaint alleged that Immunovant and certain of its officers violated Sections 10(b) and 20(a) of the Securities Exchange Act of 1934, as amended, by making false and misleading statements regarding the safety of batoclimab and seeks unspecified monetary damages on behalf of the putative class and an award of costs and expenses, including reasonable attorneys’ fees.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80"/>
          </w:cols>
          <w:pgMar w:left="320" w:top="482"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December 29, 2021, the U.S. District Court appointed a lead plaintiff. On February 1, 2022, the lead plaintiff filed an amended complaint adding both (i) the Company and (ii) Immunovant’s directors and underwriters as defendants, and asserting additional claims under Section 11, 12(a)(2), and 15 of the Securities Act of 1933, which was further amended by an amended complaint filed on March 15, 2022. On May 27, 2022, defendants, including the Company, filed motions to dismiss that amended complaint. The Company intends to vigorously defend the case and has not recorded a liability related to this lawsuit because, at this time, the Company is unable to reasonably estimate possible losses or determine whether an unfavorable outcome is either probable or remote.</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March 2022, Acuitas Therapeutics Inc. filed a lawsuit in the U.S. District Court for the Southern District of New York against two of the Company’s affiliates, Genevant and Arbutus, seeking a declaratory judgment that U.S. Patents 8,058,069, 8,492,359, 8,822,668, 9,006,417, 9,364,435, 9,404,127, 9,504,651, 9,518,272, and 11,141,378 are not infringed by the manufacture, use, offer for sale, sale or importation into the United States of COMIRNATY, Pfizer’s and BioNTech’s vaccine for COVID-19 and are otherwise invalid. Each of Genevant and Arbutus intend to vigorously defend the case and neither they nor the Company have recorded a liability related to this lawsuit.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Indemnification Agreements</w:t>
      </w:r>
    </w:p>
    <w:p>
      <w:pPr>
        <w:spacing w:after="0" w:line="121" w:lineRule="exact"/>
        <w:rPr>
          <w:sz w:val="20"/>
          <w:szCs w:val="20"/>
          <w:color w:val="auto"/>
        </w:rPr>
      </w:pPr>
    </w:p>
    <w:p>
      <w:pPr>
        <w:jc w:val="both"/>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is a party to a number of agreements entered into in the ordinary course of business that contain typical provisions that obligate the Company to indemnify the other parties to such agreements upon the occurrence of certain events. The aggregate maximum potential future liability of the Company under such indemnification provisions is uncertain. The Company also indemnifies each of its directors and officers for certain events or occurrences, subject to certain limits. The maximum amount of potential future indemnification is unlimited; however, the Company currently maintain director and officer liability insurance, which may cover certain liabilities arising from our obligation to indemnify our directors. The Company has not experienced any material losses related to these indemnification obligations, and no material claims with respect thereto were outstanding. To date, the Company has not incurred any material costs and have not accrued any liabilities related to such obligations in the consolidated financial statements as of March 31, 2022 and 2021.</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00"/>
          </w:cols>
          <w:pgMar w:left="320" w:top="482"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14—Fair Value Measurements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assets and liabilities that are measured at fair value on a recurring basis as of March 31, 2022 and 2021, by level, within the fair value hierarchy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2021</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1,297,844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1,297,844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1,420,597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1,420,597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Datavant Class A units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193,963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193,963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Sio common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48,487</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48,487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Arbutus common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115,765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115,765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53,325</w:t>
            </w:r>
          </w:p>
        </w:tc>
        <w:tc>
          <w:tcPr>
            <w:tcW w:w="0" w:type="dxa"/>
            <w:vAlign w:val="bottom"/>
          </w:tcPr>
          <w:p>
            <w:pPr>
              <w:spacing w:after="0"/>
              <w:rPr>
                <w:sz w:val="1"/>
                <w:szCs w:val="1"/>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 in Arbutus convertible preferred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76,037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76,037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11,129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11,129</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1,429,715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1,623,678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1,533,538</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76,037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1,609,575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Debt issued by Dermavant to NovaQuest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177,400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150,100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Liability instruments measured at fair value</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67,893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67,893</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204,293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217,993</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340" w:hanging="424"/>
        <w:spacing w:after="0" w:line="227" w:lineRule="auto"/>
        <w:tabs>
          <w:tab w:leader="none" w:pos="540" w:val="left"/>
        </w:tabs>
        <w:numPr>
          <w:ilvl w:val="0"/>
          <w:numId w:val="1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At March 31, 2022, Level 1 includes the fair value of the Public Warrants of $18.0 million, and Level 3 includes the fair value of the Earn-Out Shares of $9.2 million, Private Placement Warrants of $9.1 million, and other liability instruments issued of $8.6 million. At March 31, 2021, Level 3 includes the fair value of the Sumitomo Options of $62.4 million and other liability instrument issued of $5.5 million.</w:t>
      </w:r>
    </w:p>
    <w:p>
      <w:pPr>
        <w:spacing w:after="0" w:line="20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There were no transfers of assets between Level 1 and Level 2 of the fair value measurement hierarchy that occurred during the years ended March 31, 2022 and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Level 3 Disclosures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measures its Level 3 assets and liabilities at fair value based on significant inputs not observable in the market, which causes them to be classified as a Level 3 measurement within the fair value hierarchy. The valuation of the Level 3 assets and liabilities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related to updated assumptions and estimates are recorded within the statements of operations at the end of each reporting period.</w:t>
      </w:r>
    </w:p>
    <w:p>
      <w:pPr>
        <w:spacing w:after="0" w:line="183"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Level 3 assets and liabilities may change significantly as additional data are obtained, impacting the Company’s assumptions regarding probabilities of potential scenarios used to estimate fair value. In evaluating this information, considerable judgment is required to interpret the data used to develop the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40"/>
          </w:cols>
          <w:pgMar w:left="320" w:top="482"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fair value of the Level 3 assets during the year ended March 31, 2022 were as follows (in thousands):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8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investment in Datavant at recognition date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224,147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investment in Datavant, included in net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(30,184)</w:t>
            </w:r>
          </w:p>
        </w:tc>
        <w:tc>
          <w:tcPr>
            <w:tcW w:w="0" w:type="dxa"/>
            <w:vAlign w:val="bottom"/>
          </w:tcPr>
          <w:p>
            <w:pPr>
              <w:spacing w:after="0"/>
              <w:rPr>
                <w:sz w:val="1"/>
                <w:szCs w:val="1"/>
                <w:color w:val="auto"/>
              </w:rPr>
            </w:pPr>
          </w:p>
        </w:tc>
      </w:tr>
      <w:tr>
        <w:trPr>
          <w:trHeight w:val="223"/>
        </w:trPr>
        <w:tc>
          <w:tcPr>
            <w:tcW w:w="8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Balance at March 31, 2022</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193,963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Level 3 assets held during the year ended March 31,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fair value of the Level 3 liabilities during the years ended March 31, 2022 and 2021 were as follows (in thousands):</w:t>
      </w:r>
    </w:p>
    <w:p>
      <w:pPr>
        <w:spacing w:after="0" w:line="270"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debt and liability instruments, included in net loss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instruments disposed due to deconsolidation of subsidiary</w:t>
            </w:r>
          </w:p>
        </w:tc>
        <w:tc>
          <w:tcPr>
            <w:tcW w:w="2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(3,325)</w:t>
            </w: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15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liability instrument issued</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debt and liability instruments, included in net loss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Termination of DSP Options</w:t>
            </w:r>
          </w:p>
        </w:tc>
        <w:tc>
          <w:tcPr>
            <w:tcW w:w="15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204,293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in Datavant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investment in Datavant. The estimate of fair value for this investment was determined using the income approach and implementation of the option pricing method (“OPM”). The OPM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 shall be distributed among the various ownership classes at a future date. The fair value was calculated using significant unobservable inputs including the following:</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5620" w:type="dxa"/>
            <w:vAlign w:val="bottom"/>
            <w:vMerge w:val="restart"/>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Point Estimate Used</w:t>
            </w:r>
          </w:p>
        </w:tc>
        <w:tc>
          <w:tcPr>
            <w:tcW w:w="0" w:type="dxa"/>
            <w:vAlign w:val="bottom"/>
          </w:tcPr>
          <w:p>
            <w:pPr>
              <w:spacing w:after="0"/>
              <w:rPr>
                <w:sz w:val="1"/>
                <w:szCs w:val="1"/>
                <w:color w:val="auto"/>
              </w:rPr>
            </w:pPr>
          </w:p>
        </w:tc>
      </w:tr>
      <w:tr>
        <w:trPr>
          <w:trHeight w:val="133"/>
        </w:trPr>
        <w:tc>
          <w:tcPr>
            <w:tcW w:w="360" w:type="dxa"/>
            <w:vAlign w:val="bottom"/>
            <w:tcBorders>
              <w:bottom w:val="single" w:sz="8" w:color="auto"/>
            </w:tcBorders>
            <w:vMerge w:val="continue"/>
          </w:tcPr>
          <w:p>
            <w:pPr>
              <w:spacing w:after="0"/>
              <w:rPr>
                <w:sz w:val="11"/>
                <w:szCs w:val="11"/>
                <w:color w:val="auto"/>
              </w:rPr>
            </w:pPr>
          </w:p>
        </w:tc>
        <w:tc>
          <w:tcPr>
            <w:tcW w:w="5620" w:type="dxa"/>
            <w:vAlign w:val="bottom"/>
            <w:vMerge w:val="continue"/>
          </w:tcPr>
          <w:p>
            <w:pPr>
              <w:spacing w:after="0"/>
              <w:rPr>
                <w:sz w:val="11"/>
                <w:szCs w:val="11"/>
                <w:color w:val="auto"/>
              </w:rPr>
            </w:pPr>
          </w:p>
        </w:tc>
        <w:tc>
          <w:tcPr>
            <w:tcW w:w="13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As of March 31, 2022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gridSpan w:val="2"/>
            <w:vMerge w:val="continue"/>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issued by Dermavant to NovaQuest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fair value of the debt instrument as of March 31, 2022 and 2021 represents the fair value of amounts payable to NovaQuest using the Monte Carlo simulation method under the income approach determined by using probability assessments of the expected future payments through 2032 and applying discount rates ranging from 10% to 12%. The future payments are based on significant inputs that are not observable in the market which are subject to remeasurement at each reporting date. The estimates of fair value may not be indicative of the amounts that could ultimately be paid by Dermavant to NovaQuest.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60"/>
          </w:cols>
          <w:pgMar w:left="320" w:top="482" w:right="51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Earn-Out Shares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Earn-Out Shares issued as part of the Business Combination was calculated using the Monte Carlo simulation method under the income approach. The model was structured to include the lock-up periods to which the Earn-Out Shares are subject. Refer to Note 3, “Business Combination with MAAC” for additional details. Significant unobservable inputs used to calculate the fair value of the Earn-Out Shares included the following:</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5820" w:type="dxa"/>
            <w:vAlign w:val="bottom"/>
            <w:vMerge w:val="restart"/>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Point Estimate Used</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3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As of March 31, 2022</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Volatility</w:t>
            </w:r>
          </w:p>
        </w:tc>
        <w:tc>
          <w:tcPr>
            <w:tcW w:w="1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82.3%</w:t>
            </w: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the fair value of the Earn-Out Shares was $9.2 million. Earn-Out Shares are included in “Liability instruments measured at fair value” in the accompanying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Private Placement Warrants issued as part of the Business Combination was calculated using the Monte Carlo simulation method under the income approach. The model was structured to incorporate the redemption features as discussed in Note 3, “Business Combination with MAAC” and the added restriction by which the Company cannot redeem the Private Warrants if the Reference Value is greater than $18.00. Significant unobservable inputs used to calculate the fair value of the Private Placement Warrants included the following:</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5820" w:type="dxa"/>
            <w:vAlign w:val="bottom"/>
            <w:vMerge w:val="restart"/>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Point Estimate Used</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3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As of March 31, 2022</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Volatility</w:t>
            </w:r>
          </w:p>
        </w:tc>
        <w:tc>
          <w:tcPr>
            <w:tcW w:w="1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56.5%</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the fair value of the Private Placement Warrants was $9.1 million. The Private Placement Warrants are included in “Liability instruments measured at fair value” in the accompanying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Sumitomo Options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Prior to termination in June 2021, the fair value of the options to acquire the Company’s interest in certain of its subsidiaries, which were granted to Sumitomo under the Sumitomo Transaction Agreement, was calculated using significant unobservable inputs including the following:</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Range or Point</w:t>
            </w:r>
          </w:p>
        </w:tc>
        <w:tc>
          <w:tcPr>
            <w:tcW w:w="0" w:type="dxa"/>
            <w:vAlign w:val="bottom"/>
          </w:tcPr>
          <w:p>
            <w:pPr>
              <w:spacing w:after="0"/>
              <w:rPr>
                <w:sz w:val="1"/>
                <w:szCs w:val="1"/>
                <w:color w:val="auto"/>
              </w:rPr>
            </w:pPr>
          </w:p>
        </w:tc>
      </w:t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5620" w:type="dxa"/>
            <w:vAlign w:val="bottom"/>
            <w:vMerge w:val="restart"/>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 Used</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vMerge w:val="continue"/>
          </w:tcPr>
          <w:p>
            <w:pPr>
              <w:spacing w:after="0"/>
              <w:rPr>
                <w:sz w:val="12"/>
                <w:szCs w:val="12"/>
                <w:color w:val="auto"/>
              </w:rPr>
            </w:pPr>
          </w:p>
        </w:tc>
        <w:tc>
          <w:tcPr>
            <w:tcW w:w="5620" w:type="dxa"/>
            <w:vAlign w:val="bottom"/>
            <w:vMerge w:val="continue"/>
          </w:tcPr>
          <w:p>
            <w:pPr>
              <w:spacing w:after="0"/>
              <w:rPr>
                <w:sz w:val="12"/>
                <w:szCs w:val="12"/>
                <w:color w:val="auto"/>
              </w:rPr>
            </w:pPr>
          </w:p>
        </w:tc>
        <w:tc>
          <w:tcPr>
            <w:tcW w:w="13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As of March 31, 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Time to expiration (in years)</w:t>
            </w:r>
          </w:p>
        </w:tc>
        <w:tc>
          <w:tcPr>
            <w:tcW w:w="1300" w:type="dxa"/>
            <w:vAlign w:val="bottom"/>
            <w:tcBorders>
              <w:top w:val="single" w:sz="8" w:color="auto"/>
            </w:tcBorders>
            <w:shd w:val="clear" w:color="auto" w:fill="CCEEFF"/>
          </w:tcPr>
          <w:p>
            <w:pPr>
              <w:jc w:val="right"/>
              <w:ind w:right="379"/>
              <w:spacing w:after="0" w:line="203" w:lineRule="exact"/>
              <w:rPr>
                <w:sz w:val="20"/>
                <w:szCs w:val="20"/>
                <w:color w:val="auto"/>
              </w:rPr>
            </w:pPr>
            <w:r>
              <w:rPr>
                <w:rFonts w:ascii="Times New Roman" w:cs="Times New Roman" w:eastAsia="Times New Roman" w:hAnsi="Times New Roman"/>
                <w:sz w:val="18"/>
                <w:szCs w:val="18"/>
                <w:color w:val="auto"/>
              </w:rPr>
              <w:t>3.59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89.0% - 95.0%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June 2021, the Company completed a transaction with Sumitomo pursuant to which Sumitomo terminated all of its existing options to acquire the Company’s equity interests in certain subsidiaries. As of March 31, 2021, the fair value of the Sumitomo Options was $62.4 million, which is included in “Liability instruments measured at fair value” in the accompanying consolidated balance sheets. See Note 8, “Related Party Transactions” for additional information.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60"/>
          </w:cols>
          <w:pgMar w:left="320" w:top="482" w:right="51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15—Other Expense,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expense, net was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450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7,041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(3,237)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w:t>
            </w:r>
          </w:p>
        </w:tc>
      </w:tr>
      <w:tr>
        <w:trPr>
          <w:trHeight w:val="27"/>
        </w:trPr>
        <w:tc>
          <w:tcPr>
            <w:tcW w:w="4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3,435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8,701</w:t>
            </w:r>
          </w:p>
        </w:tc>
      </w:tr>
      <w:tr>
        <w:trPr>
          <w:trHeight w:val="20"/>
        </w:trPr>
        <w:tc>
          <w:tcPr>
            <w:tcW w:w="4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16—Net Loss per Common Share</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Roivant Sciences Ltd. by the weighted-average number of common stock outstanding during the period. Diluted net loss per common share is computed by dividing the net loss attributable to Roivant Sciences Ltd. by the diluted weighted-average number of common stock outstanding during the period.</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periods of loss, diluted loss per share is calculated similar to basic loss per share as the effect of including all potentially dilutive common stock equivalents is anti-dilutive. All outstanding common stock equivalents have been excluded from the computation of diluted loss per share because their effect was anti-dilutive due to the net loss.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2022 and 2021, potentially dilutive securities were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09"/>
        </w:trPr>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performance stock options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80,364,904</w:t>
            </w:r>
          </w:p>
        </w:tc>
        <w:tc>
          <w:tcPr>
            <w:tcW w:w="4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69,687,308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and performance stock units (non-vested)</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21,956,749</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7,294,028</w:t>
            </w:r>
          </w:p>
        </w:tc>
      </w:tr>
      <w:tr>
        <w:trPr>
          <w:trHeight w:val="216"/>
        </w:trPr>
        <w:tc>
          <w:tcPr>
            <w:tcW w:w="7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March 2020 CVARs</w:t>
            </w:r>
            <w:r>
              <w:rPr>
                <w:rFonts w:ascii="Times New Roman" w:cs="Times New Roman" w:eastAsia="Times New Roman" w:hAnsi="Times New Roman"/>
                <w:sz w:val="25"/>
                <w:szCs w:val="25"/>
                <w:color w:val="auto"/>
                <w:vertAlign w:val="superscript"/>
              </w:rPr>
              <w:t>(1)</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32,011,996</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32,447,626</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November 2021 CVARs</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6,285,250</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common stock (non-vested)</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741,405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1,720,090</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 (non-vested)</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3,080,387</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10,214,365</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20,475,875</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instruments issued</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5,103,577</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5,458,543</w:t>
            </w:r>
          </w:p>
        </w:tc>
      </w:tr>
    </w:tbl>
    <w:p>
      <w:pPr>
        <w:spacing w:after="0" w:line="172" w:lineRule="exact"/>
        <w:rPr>
          <w:sz w:val="20"/>
          <w:szCs w:val="20"/>
          <w:color w:val="auto"/>
        </w:rPr>
      </w:pPr>
    </w:p>
    <w:p>
      <w:pPr>
        <w:ind w:left="540" w:hanging="424"/>
        <w:spacing w:after="0"/>
        <w:tabs>
          <w:tab w:leader="none" w:pos="540" w:val="left"/>
        </w:tabs>
        <w:numPr>
          <w:ilvl w:val="0"/>
          <w:numId w:val="1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Refer to Note 10, “Share-Based Compensation” for details regarding settlement of CVARs.</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17—Subsequent Events</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May 2022, VTAMA (tapinarof) cream was approved by the FDA as the first and only FDA-approved steroid-free topical medication in its class for the treatment of plaque psoriasis in adult patients.</w:t>
      </w:r>
    </w:p>
    <w:p>
      <w:pPr>
        <w:spacing w:after="0" w:line="16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Following the approval of VTAMA cream by the FDA in May 2022, Dermavant received $160.0 million in June 2022 pursuant to the terms of the RIPSA as described in Note 7, “Long-Term Debt and Loan Commitment.”</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Also, as a result of FDA approval, Dermavant achieved a regulatory milestone to GSK of £100.0 million (approximately $126 million on the date of achievement), which will be paid within 70 calendar days of FDA approval. Additionally, the first sale of VTAMA cream in May 2022 resulted in the achievement of a milestone to Welichem Biotech Inc. of CAD$25.0 million (approximately $20 million on the date of achievement), which will be paid within 60 calendar days of the invoice date. Dermavant intends to primarily use the RIPSA proceeds for the payment of these obligations.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00"/>
          </w:cols>
          <w:pgMar w:left="320" w:top="482"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our Principal Financial Officer and our Principal Accounting Officer, evaluated the effectiveness of our disclosure controls and procedures as of March 31, 2022 and concluded that our disclosure controls and procedures were effective as of that date.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principal financial and principal accounting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year ended March 31, 2022 that has materially affected, or is reasonably likely to materially affect, our internal control over financial reporting.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82"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from our definitive proxy statement for our 2022 Annual Meeting of Stockholders to be filed with the SEC within 120 days after the end of our fiscal year ended March 31, 2022.</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and persons performing similar functions. A current copy of the code is posted on the Corporate Governance section of our website, which is located at investor.roivant.com/corporate-governance. If we make any substantive amendments to, or grant any waivers from, the code of business conduct and ethics for our principal executive officer, principal financial officer, principal accounting officer or persons performing similar functions, or any officer or director, we will disclose the nature of such amendment or waiver on our website or in a current report on Form 8-K.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2022 Annual Meeting of Stockholders to be filed with the SEC within 120 days after the end of our fiscal year ended March 31, 2022.</w:t>
      </w:r>
    </w:p>
    <w:p>
      <w:pPr>
        <w:spacing w:after="0" w:line="266"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2022 Annual Meeting of Stockholders to be filed with the SEC within 120 days after the end of our fiscal year ended March 31,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2022 Annual Meeting of Stockholders to be filed with the SEC within 120 days after the end of our fiscal year ended March 31,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2022 Annual Meeting of Stockholders to be filed with the SEC within 120 days after the end of our fiscal year ended March 31, 2022.</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60"/>
          </w:cols>
          <w:pgMar w:left="320" w:top="482" w:right="51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800" w:hanging="244"/>
        <w:spacing w:after="0"/>
        <w:tabs>
          <w:tab w:leader="none" w:pos="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rFonts w:ascii="Times New Roman" w:cs="Times New Roman" w:eastAsia="Times New Roman" w:hAnsi="Times New Roman"/>
          <w:sz w:val="18"/>
          <w:szCs w:val="18"/>
          <w:color w:val="auto"/>
        </w:rPr>
      </w:pPr>
    </w:p>
    <w:p>
      <w:pPr>
        <w:ind w:left="1160" w:hanging="181"/>
        <w:spacing w:after="0"/>
        <w:tabs>
          <w:tab w:leader="none" w:pos="11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560" w:right="160" w:firstLine="423"/>
        <w:spacing w:after="0" w:line="282" w:lineRule="auto"/>
        <w:rPr>
          <w:sz w:val="20"/>
          <w:szCs w:val="20"/>
          <w:color w:val="auto"/>
        </w:rPr>
      </w:pPr>
      <w:r>
        <w:rPr>
          <w:rFonts w:ascii="Times New Roman" w:cs="Times New Roman" w:eastAsia="Times New Roman" w:hAnsi="Times New Roman"/>
          <w:sz w:val="18"/>
          <w:szCs w:val="18"/>
          <w:color w:val="auto"/>
        </w:rPr>
        <w:t>For a list of the consolidated financial statements included herein, see “Index to Consolidated Financial Statements” under Part I, Item 8 of this Annual Report on Form 10-K.</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17"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of the absence of conditions under which they are required or because the required information, where material, is shown in the financial statements, financial notes or supplementary financial information.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 Exhibits required by Item 601 of Regulation S-K: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or incorporated by reference into, this Annual Report on Form 10-K.</w:t>
      </w:r>
    </w:p>
    <w:p>
      <w:pPr>
        <w:spacing w:after="0" w:line="37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14"/>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420" w:type="dxa"/>
            <w:vAlign w:val="bottom"/>
            <w:tcBorders>
              <w:bottom w:val="single" w:sz="8" w:color="auto"/>
            </w:tcBorders>
            <w:gridSpan w:val="14"/>
            <w:vMerge w:val="continue"/>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54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2"/>
                <w:szCs w:val="12"/>
                <w:color w:val="auto"/>
              </w:rPr>
            </w:pPr>
          </w:p>
        </w:tc>
        <w:tc>
          <w:tcPr>
            <w:tcW w:w="116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63"/>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tcPr>
          <w:p>
            <w:pPr>
              <w:spacing w:after="0"/>
              <w:rPr>
                <w:sz w:val="22"/>
                <w:szCs w:val="22"/>
                <w:color w:val="auto"/>
              </w:rPr>
            </w:pPr>
          </w:p>
        </w:tc>
        <w:tc>
          <w:tcPr>
            <w:tcW w:w="45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Business Combination Agreement, dated as of May 1, 2021,</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by and among Montes Archimedes Acquisition Corp.,</w:t>
            </w:r>
          </w:p>
        </w:tc>
        <w:tc>
          <w:tcPr>
            <w:tcW w:w="440" w:type="dxa"/>
            <w:vAlign w:val="bottom"/>
            <w:tcBorders>
              <w:top w:val="single" w:sz="8" w:color="0000EE"/>
            </w:tcBorders>
            <w:gridSpan w:val="5"/>
          </w:tcPr>
          <w:p>
            <w:pPr>
              <w:spacing w:after="0"/>
              <w:rPr>
                <w:sz w:val="17"/>
                <w:szCs w:val="17"/>
                <w:color w:val="auto"/>
              </w:rPr>
            </w:pPr>
          </w:p>
        </w:tc>
        <w:tc>
          <w:tcPr>
            <w:tcW w:w="16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5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Roivant Sciences Ltd. and Rhine Merger Sub, Inc.</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640" w:type="dxa"/>
            <w:vAlign w:val="bottom"/>
          </w:tcPr>
          <w:p>
            <w:pPr>
              <w:spacing w:after="0"/>
              <w:rPr>
                <w:sz w:val="24"/>
                <w:szCs w:val="24"/>
                <w:color w:val="auto"/>
              </w:rPr>
            </w:pPr>
          </w:p>
        </w:tc>
        <w:tc>
          <w:tcPr>
            <w:tcW w:w="4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75">
              <w:r>
                <w:rPr>
                  <w:rFonts w:ascii="Times New Roman" w:cs="Times New Roman" w:eastAsia="Times New Roman" w:hAnsi="Times New Roman"/>
                  <w:sz w:val="18"/>
                  <w:szCs w:val="18"/>
                  <w:color w:val="0000EE"/>
                  <w:w w:val="99"/>
                </w:rPr>
                <w:t>Agreement and Plan of Merger, dated as of February 2, 2021,</w:t>
              </w:r>
            </w:hyperlink>
          </w:p>
        </w:tc>
        <w:tc>
          <w:tcPr>
            <w:tcW w:w="60" w:type="dxa"/>
            <w:vAlign w:val="bottom"/>
            <w:gridSpan w:val="3"/>
          </w:tcPr>
          <w:p>
            <w:pPr>
              <w:spacing w:after="0"/>
              <w:rPr>
                <w:sz w:val="24"/>
                <w:szCs w:val="24"/>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S-4/A</w:t>
            </w: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333-256165</w:t>
            </w:r>
          </w:p>
        </w:tc>
        <w:tc>
          <w:tcPr>
            <w:tcW w:w="440" w:type="dxa"/>
            <w:vAlign w:val="bottom"/>
          </w:tcPr>
          <w:p>
            <w:pPr>
              <w:spacing w:after="0"/>
              <w:rPr>
                <w:sz w:val="24"/>
                <w:szCs w:val="24"/>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500" w:type="dxa"/>
            <w:vAlign w:val="bottom"/>
            <w:gridSpan w:val="17"/>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by and among Roivant Sciences Ltd., Silicon Insite, Inc.,</w:t>
              </w:r>
            </w:hyperlink>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75">
              <w:r>
                <w:rPr>
                  <w:rFonts w:ascii="Times New Roman" w:cs="Times New Roman" w:eastAsia="Times New Roman" w:hAnsi="Times New Roman"/>
                  <w:sz w:val="18"/>
                  <w:szCs w:val="18"/>
                  <w:color w:val="0000EE"/>
                  <w:w w:val="99"/>
                </w:rPr>
                <w:t>Silicon TX China, Silicon Therapeutics, LLC and Silicon</w:t>
              </w:r>
            </w:hyperlink>
          </w:p>
        </w:tc>
        <w:tc>
          <w:tcPr>
            <w:tcW w:w="36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1"/>
              </w:rPr>
            </w:pPr>
            <w:hyperlink r:id="rId275">
              <w:r>
                <w:rPr>
                  <w:rFonts w:ascii="Times New Roman" w:cs="Times New Roman" w:eastAsia="Times New Roman" w:hAnsi="Times New Roman"/>
                  <w:sz w:val="18"/>
                  <w:szCs w:val="18"/>
                  <w:color w:val="0000EE"/>
                  <w:w w:val="91"/>
                </w:rPr>
                <w:t>SWAT, Inc.</w:t>
              </w:r>
            </w:hyperlink>
          </w:p>
        </w:tc>
        <w:tc>
          <w:tcPr>
            <w:tcW w:w="368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tcPr>
          <w:p>
            <w:pPr>
              <w:spacing w:after="0"/>
              <w:rPr>
                <w:sz w:val="24"/>
                <w:szCs w:val="24"/>
                <w:color w:val="auto"/>
              </w:rPr>
            </w:pPr>
          </w:p>
        </w:tc>
        <w:tc>
          <w:tcPr>
            <w:tcW w:w="4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76">
              <w:r>
                <w:rPr>
                  <w:rFonts w:ascii="Times New Roman" w:cs="Times New Roman" w:eastAsia="Times New Roman" w:hAnsi="Times New Roman"/>
                  <w:sz w:val="18"/>
                  <w:szCs w:val="18"/>
                  <w:color w:val="0000EE"/>
                  <w:w w:val="99"/>
                </w:rPr>
                <w:t>Stock Purchase Agreement, dated as of November 6, 2020, by</w:t>
              </w:r>
            </w:hyperlink>
          </w:p>
        </w:tc>
        <w:tc>
          <w:tcPr>
            <w:tcW w:w="20" w:type="dxa"/>
            <w:vAlign w:val="bottom"/>
          </w:tcPr>
          <w:p>
            <w:pPr>
              <w:spacing w:after="0"/>
              <w:rPr>
                <w:sz w:val="24"/>
                <w:szCs w:val="24"/>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S-4/A</w:t>
            </w: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333-256165</w:t>
            </w:r>
          </w:p>
        </w:tc>
        <w:tc>
          <w:tcPr>
            <w:tcW w:w="440" w:type="dxa"/>
            <w:vAlign w:val="bottom"/>
          </w:tcPr>
          <w:p>
            <w:pPr>
              <w:spacing w:after="0"/>
              <w:rPr>
                <w:sz w:val="24"/>
                <w:szCs w:val="24"/>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76">
              <w:r>
                <w:rPr>
                  <w:rFonts w:ascii="Times New Roman" w:cs="Times New Roman" w:eastAsia="Times New Roman" w:hAnsi="Times New Roman"/>
                  <w:sz w:val="18"/>
                  <w:szCs w:val="18"/>
                  <w:color w:val="0000EE"/>
                  <w:w w:val="99"/>
                </w:rPr>
                <w:t>and among Oncopia Therapeutics, Inc., Pharmavant 5, Inc.,</w:t>
              </w:r>
            </w:hyperlink>
          </w:p>
        </w:tc>
        <w:tc>
          <w:tcPr>
            <w:tcW w:w="20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76">
              <w:r>
                <w:rPr>
                  <w:rFonts w:ascii="Times New Roman" w:cs="Times New Roman" w:eastAsia="Times New Roman" w:hAnsi="Times New Roman"/>
                  <w:sz w:val="18"/>
                  <w:szCs w:val="18"/>
                  <w:color w:val="0000EE"/>
                  <w:w w:val="99"/>
                </w:rPr>
                <w:t>certain selling securityholders and certain seller</w:t>
              </w:r>
            </w:hyperlink>
          </w:p>
        </w:tc>
        <w:tc>
          <w:tcPr>
            <w:tcW w:w="106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76">
              <w:r>
                <w:rPr>
                  <w:rFonts w:ascii="Times New Roman" w:cs="Times New Roman" w:eastAsia="Times New Roman" w:hAnsi="Times New Roman"/>
                  <w:sz w:val="18"/>
                  <w:szCs w:val="18"/>
                  <w:color w:val="0000EE"/>
                  <w:w w:val="98"/>
                </w:rPr>
                <w:t>representatives</w:t>
              </w:r>
            </w:hyperlink>
          </w:p>
        </w:tc>
        <w:tc>
          <w:tcPr>
            <w:tcW w:w="3420" w:type="dxa"/>
            <w:vAlign w:val="bottom"/>
            <w:gridSpan w:val="14"/>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Pr>
          <w:p>
            <w:pPr>
              <w:spacing w:after="0"/>
              <w:rPr>
                <w:sz w:val="24"/>
                <w:szCs w:val="24"/>
                <w:color w:val="auto"/>
              </w:rPr>
            </w:pPr>
          </w:p>
        </w:tc>
        <w:tc>
          <w:tcPr>
            <w:tcW w:w="4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Amendment No. 1 to the Stock Purchase Agreement, dated as</w:t>
              </w:r>
            </w:hyperlink>
          </w:p>
        </w:tc>
        <w:tc>
          <w:tcPr>
            <w:tcW w:w="40" w:type="dxa"/>
            <w:vAlign w:val="bottom"/>
            <w:gridSpan w:val="2"/>
          </w:tcPr>
          <w:p>
            <w:pPr>
              <w:spacing w:after="0"/>
              <w:rPr>
                <w:sz w:val="24"/>
                <w:szCs w:val="24"/>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S-4/A</w:t>
            </w: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333-256165</w:t>
            </w:r>
          </w:p>
        </w:tc>
        <w:tc>
          <w:tcPr>
            <w:tcW w:w="440" w:type="dxa"/>
            <w:vAlign w:val="bottom"/>
          </w:tcPr>
          <w:p>
            <w:pPr>
              <w:spacing w:after="0"/>
              <w:rPr>
                <w:sz w:val="24"/>
                <w:szCs w:val="24"/>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of November 17, 2020, by and among Oncopia Therapeutics,</w:t>
              </w:r>
            </w:hyperlink>
          </w:p>
        </w:tc>
        <w:tc>
          <w:tcPr>
            <w:tcW w:w="8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Inc., Pharmavant 5, Inc., certain selling securityholders and</w:t>
              </w:r>
            </w:hyperlink>
          </w:p>
        </w:tc>
        <w:tc>
          <w:tcPr>
            <w:tcW w:w="22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500" w:type="dxa"/>
            <w:vAlign w:val="bottom"/>
            <w:gridSpan w:val="17"/>
          </w:tcPr>
          <w:p>
            <w:pPr>
              <w:spacing w:after="0" w:line="196" w:lineRule="exact"/>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WRYP Stockholders Services, LLC</w:t>
              </w:r>
            </w:hyperlink>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64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2560" w:type="dxa"/>
            <w:vAlign w:val="bottom"/>
            <w:tcBorders>
              <w:top w:val="single" w:sz="8" w:color="0000EE"/>
            </w:tcBorders>
            <w:gridSpan w:val="3"/>
          </w:tcPr>
          <w:p>
            <w:pPr>
              <w:spacing w:after="0"/>
              <w:rPr>
                <w:sz w:val="24"/>
                <w:szCs w:val="24"/>
                <w:color w:val="auto"/>
              </w:rPr>
            </w:pPr>
          </w:p>
        </w:tc>
        <w:tc>
          <w:tcPr>
            <w:tcW w:w="1840" w:type="dxa"/>
            <w:vAlign w:val="bottom"/>
            <w:gridSpan w:val="9"/>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40" w:type="dxa"/>
            <w:vAlign w:val="bottom"/>
            <w:gridSpan w:val="19"/>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22"/>
                <w:szCs w:val="22"/>
                <w:color w:val="auto"/>
              </w:rPr>
            </w:pPr>
          </w:p>
        </w:tc>
        <w:tc>
          <w:tcPr>
            <w:tcW w:w="4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79">
              <w:r>
                <w:rPr>
                  <w:rFonts w:ascii="Times New Roman" w:cs="Times New Roman" w:eastAsia="Times New Roman" w:hAnsi="Times New Roman"/>
                  <w:sz w:val="18"/>
                  <w:szCs w:val="18"/>
                  <w:color w:val="0000EE"/>
                  <w:w w:val="99"/>
                </w:rPr>
                <w:t>Transaction Agreement, dated as of October 31, 2019, by</w:t>
              </w:r>
            </w:hyperlink>
          </w:p>
        </w:tc>
        <w:tc>
          <w:tcPr>
            <w:tcW w:w="2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79">
              <w:r>
                <w:rPr>
                  <w:rFonts w:ascii="Times New Roman" w:cs="Times New Roman" w:eastAsia="Times New Roman" w:hAnsi="Times New Roman"/>
                  <w:sz w:val="18"/>
                  <w:szCs w:val="18"/>
                  <w:color w:val="0000EE"/>
                  <w:w w:val="99"/>
                </w:rPr>
                <w:t>and among Sumitomo Dainippon Pharma Co., Ltd., Vant</w:t>
              </w:r>
            </w:hyperlink>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79">
              <w:r>
                <w:rPr>
                  <w:rFonts w:ascii="Times New Roman" w:cs="Times New Roman" w:eastAsia="Times New Roman" w:hAnsi="Times New Roman"/>
                  <w:sz w:val="18"/>
                  <w:szCs w:val="18"/>
                  <w:color w:val="0000EE"/>
                  <w:w w:val="99"/>
                </w:rPr>
                <w:t>Alliance Ltd., Roivant Sciences Ltd., Enzyvant Therapeutics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gridSpan w:val="23"/>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Ltd., Altavant Sciences Ltd. and Spirovant Sciences Ltd.</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24"/>
                <w:szCs w:val="24"/>
                <w:color w:val="auto"/>
              </w:rPr>
            </w:pPr>
          </w:p>
        </w:tc>
        <w:tc>
          <w:tcPr>
            <w:tcW w:w="4400" w:type="dxa"/>
            <w:vAlign w:val="bottom"/>
            <w:gridSpan w:val="23"/>
          </w:tcPr>
          <w:p>
            <w:pPr>
              <w:spacing w:after="0"/>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Asset Purchase Agreement, dated as of July 10, 2018, by</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80">
              <w:r>
                <w:rPr>
                  <w:rFonts w:ascii="Times New Roman" w:cs="Times New Roman" w:eastAsia="Times New Roman" w:hAnsi="Times New Roman"/>
                  <w:sz w:val="18"/>
                  <w:szCs w:val="18"/>
                  <w:color w:val="0000EE"/>
                  <w:w w:val="99"/>
                </w:rPr>
                <w:t>and among GlaxoSmithKline Intellectual Property</w:t>
              </w:r>
            </w:hyperlink>
          </w:p>
        </w:tc>
        <w:tc>
          <w:tcPr>
            <w:tcW w:w="460" w:type="dxa"/>
            <w:vAlign w:val="bottom"/>
            <w:tcBorders>
              <w:top w:val="single" w:sz="8" w:color="0000EE"/>
            </w:tcBorders>
            <w:gridSpan w:val="5"/>
          </w:tcPr>
          <w:p>
            <w:pPr>
              <w:spacing w:after="0"/>
              <w:rPr>
                <w:sz w:val="17"/>
                <w:szCs w:val="17"/>
                <w:color w:val="auto"/>
              </w:rPr>
            </w:pPr>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80">
              <w:r>
                <w:rPr>
                  <w:rFonts w:ascii="Times New Roman" w:cs="Times New Roman" w:eastAsia="Times New Roman" w:hAnsi="Times New Roman"/>
                  <w:sz w:val="18"/>
                  <w:szCs w:val="18"/>
                  <w:color w:val="0000EE"/>
                  <w:w w:val="99"/>
                </w:rPr>
                <w:t>Development Ltd., Glaxo Group Limited and Dermavant</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gridSpan w:val="23"/>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Sciences GmbH</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spacing w:after="0"/>
              <w:rPr>
                <w:sz w:val="24"/>
                <w:szCs w:val="24"/>
                <w:color w:val="auto"/>
              </w:rPr>
            </w:pPr>
          </w:p>
        </w:tc>
        <w:tc>
          <w:tcPr>
            <w:tcW w:w="4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81">
              <w:r>
                <w:rPr>
                  <w:rFonts w:ascii="Times New Roman" w:cs="Times New Roman" w:eastAsia="Times New Roman" w:hAnsi="Times New Roman"/>
                  <w:sz w:val="18"/>
                  <w:szCs w:val="18"/>
                  <w:color w:val="0000EE"/>
                  <w:w w:val="99"/>
                </w:rPr>
                <w:t>Asset Purchase Agreement, dated as of May 29, 2012, by</w:t>
              </w:r>
            </w:hyperlink>
          </w:p>
        </w:tc>
        <w:tc>
          <w:tcPr>
            <w:tcW w:w="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81">
              <w:r>
                <w:rPr>
                  <w:rFonts w:ascii="Times New Roman" w:cs="Times New Roman" w:eastAsia="Times New Roman" w:hAnsi="Times New Roman"/>
                  <w:sz w:val="18"/>
                  <w:szCs w:val="18"/>
                  <w:color w:val="0000EE"/>
                  <w:w w:val="99"/>
                </w:rPr>
                <w:t>and between Glaxo Group Limited and Welichem Biotech</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81">
              <w:r>
                <w:rPr>
                  <w:rFonts w:ascii="Times New Roman" w:cs="Times New Roman" w:eastAsia="Times New Roman" w:hAnsi="Times New Roman"/>
                  <w:sz w:val="18"/>
                  <w:szCs w:val="18"/>
                  <w:color w:val="0000EE"/>
                  <w:w w:val="94"/>
                </w:rPr>
                <w:t>Inc.</w:t>
              </w:r>
            </w:hyperlink>
          </w:p>
        </w:tc>
        <w:tc>
          <w:tcPr>
            <w:tcW w:w="41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24"/>
                <w:szCs w:val="24"/>
                <w:color w:val="auto"/>
              </w:rPr>
            </w:pPr>
          </w:p>
        </w:tc>
        <w:tc>
          <w:tcPr>
            <w:tcW w:w="43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First Amendment to the Asset Purchase Agreement, dated 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of August 31, 2012, by and between Glaxo Group Limited</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gridSpan w:val="23"/>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and Welichem Biotech, Inc.</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24"/>
                <w:szCs w:val="24"/>
                <w:color w:val="auto"/>
              </w:rPr>
            </w:pPr>
          </w:p>
        </w:tc>
        <w:tc>
          <w:tcPr>
            <w:tcW w:w="44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Amendment No. 1 to the Business Combination Agreement,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dated June 9, 2021, by and among Montes Archimedes</w:t>
            </w:r>
          </w:p>
        </w:tc>
        <w:tc>
          <w:tcPr>
            <w:tcW w:w="36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Acquisition Corp., Roivant Sciences Ltd. and Rhine Merger</w:t>
            </w: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Sub, Inc.</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39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Memorandum of Association of Roivant Sciences Ltd.</w:t>
              </w:r>
            </w:hyperlink>
          </w:p>
        </w:tc>
        <w:tc>
          <w:tcPr>
            <w:tcW w:w="4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4400" w:type="dxa"/>
            <w:vAlign w:val="bottom"/>
            <w:gridSpan w:val="23"/>
          </w:tcPr>
          <w:p>
            <w:pPr>
              <w:spacing w:after="0"/>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Amended and Restated Bye-laws of Roivant Sciences Ltd.</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42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Warrant Agreement between Continental Stock Transfer &amp;</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Trust Company and Montes Archimedes Acquisition Corp.</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4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Specimen Ordinary Share Certificate of Roivant Sciences</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286">
              <w:r>
                <w:rPr>
                  <w:rFonts w:ascii="Times New Roman" w:cs="Times New Roman" w:eastAsia="Times New Roman" w:hAnsi="Times New Roman"/>
                  <w:sz w:val="18"/>
                  <w:szCs w:val="18"/>
                  <w:color w:val="0000EE"/>
                  <w:w w:val="94"/>
                </w:rPr>
                <w:t>Ltd.</w:t>
              </w:r>
            </w:hyperlink>
          </w:p>
        </w:tc>
        <w:tc>
          <w:tcPr>
            <w:tcW w:w="41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4400" w:type="dxa"/>
            <w:vAlign w:val="bottom"/>
            <w:gridSpan w:val="23"/>
          </w:tcPr>
          <w:p>
            <w:pPr>
              <w:spacing w:after="0"/>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Specimen Warrant Certificate of Roivant Sciences Ltd.</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gridSpan w:val="8"/>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4400" w:type="dxa"/>
            <w:vAlign w:val="bottom"/>
            <w:gridSpan w:val="23"/>
          </w:tcPr>
          <w:p>
            <w:pPr>
              <w:spacing w:after="0"/>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Form of Warrant Assumption Agreement, by and between</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Montes Archimedes Acquisition Corp., Roivant Sciences</w:t>
              </w:r>
            </w:hyperlink>
          </w:p>
        </w:tc>
        <w:tc>
          <w:tcPr>
            <w:tcW w:w="40" w:type="dxa"/>
            <w:vAlign w:val="bottom"/>
            <w:tcBorders>
              <w:top w:val="single" w:sz="8" w:color="0000EE"/>
            </w:tcBorders>
            <w:gridSpan w:val="2"/>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285">
        <w:r>
          <w:rPr>
            <w:rFonts w:ascii="Times New Roman" w:cs="Times New Roman" w:eastAsia="Times New Roman" w:hAnsi="Times New Roman"/>
            <w:sz w:val="18"/>
            <w:szCs w:val="18"/>
            <w:u w:val="single" w:color="auto"/>
            <w:color w:val="0000EE"/>
          </w:rPr>
          <w:t>Ltd. and American Stock Transfer &amp; Trust Company, LLC</w:t>
        </w:r>
      </w:hyperlink>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2"/>
        </w:trPr>
        <w:tc>
          <w:tcPr>
            <w:tcW w:w="76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7"/>
              </w:rPr>
              <w:t>SC 13D/A</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7.04</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2019</w:t>
            </w:r>
          </w:p>
        </w:tc>
        <w:tc>
          <w:tcPr>
            <w:tcW w:w="0" w:type="dxa"/>
            <w:vAlign w:val="bottom"/>
          </w:tcPr>
          <w:p>
            <w:pPr>
              <w:spacing w:after="0"/>
              <w:rPr>
                <w:sz w:val="1"/>
                <w:szCs w:val="1"/>
                <w:color w:val="auto"/>
              </w:rPr>
            </w:pPr>
          </w:p>
        </w:tc>
      </w:tr>
      <w:tr>
        <w:trPr>
          <w:trHeight w:val="9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9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9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001-40782</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001-39597</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October 13, 2020</w:t>
            </w:r>
          </w:p>
        </w:tc>
        <w:tc>
          <w:tcPr>
            <w:tcW w:w="0" w:type="dxa"/>
            <w:vAlign w:val="bottom"/>
          </w:tcPr>
          <w:p>
            <w:pPr>
              <w:spacing w:after="0"/>
              <w:rPr>
                <w:sz w:val="1"/>
                <w:szCs w:val="1"/>
                <w:color w:val="auto"/>
              </w:rPr>
            </w:pPr>
          </w:p>
        </w:tc>
      </w:tr>
      <w:tr>
        <w:trPr>
          <w:trHeight w:val="54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0" w:type="dxa"/>
            <w:vAlign w:val="bottom"/>
          </w:tcPr>
          <w:p>
            <w:pPr>
              <w:spacing w:after="0"/>
              <w:rPr>
                <w:sz w:val="1"/>
                <w:szCs w:val="1"/>
                <w:color w:val="auto"/>
              </w:rPr>
            </w:pPr>
          </w:p>
        </w:tc>
      </w:tr>
      <w:tr>
        <w:trPr>
          <w:trHeight w:val="54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0" w:type="dxa"/>
            <w:vAlign w:val="bottom"/>
          </w:tcPr>
          <w:p>
            <w:pPr>
              <w:spacing w:after="0"/>
              <w:rPr>
                <w:sz w:val="1"/>
                <w:szCs w:val="1"/>
                <w:color w:val="auto"/>
              </w:rPr>
            </w:pPr>
          </w:p>
        </w:tc>
      </w:tr>
    </w:tbl>
    <w:p>
      <w:pPr>
        <w:sectPr>
          <w:pgSz w:w="11900" w:h="16838" w:orient="portrait"/>
          <w:cols w:equalWidth="0" w:num="2">
            <w:col w:w="5760" w:space="220"/>
            <w:col w:w="5160"/>
          </w:cols>
          <w:pgMar w:left="320" w:top="482"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gridSpan w:val="17"/>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2"/>
                <w:szCs w:val="22"/>
                <w:color w:val="auto"/>
              </w:rPr>
            </w:pPr>
          </w:p>
        </w:tc>
        <w:tc>
          <w:tcPr>
            <w:tcW w:w="4440" w:type="dxa"/>
            <w:vAlign w:val="bottom"/>
            <w:tcBorders>
              <w:top w:val="single" w:sz="8" w:color="auto"/>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Third Amended and Restated Registration Rights Agreement,</w:t>
            </w:r>
          </w:p>
        </w:tc>
        <w:tc>
          <w:tcPr>
            <w:tcW w:w="280" w:type="dxa"/>
            <w:vAlign w:val="bottom"/>
            <w:tcBorders>
              <w:top w:val="single" w:sz="8" w:color="auto"/>
            </w:tcBorders>
            <w:gridSpan w:val="7"/>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dated as of May 1, 2021, by and among Roivant Sciences Ltd.</w:t>
            </w: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and the parties thereto</w:t>
            </w:r>
          </w:p>
        </w:tc>
        <w:tc>
          <w:tcPr>
            <w:tcW w:w="31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Form of Subscription Agreement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4"/>
                <w:szCs w:val="24"/>
                <w:color w:val="auto"/>
              </w:rPr>
            </w:pPr>
          </w:p>
        </w:tc>
        <w:tc>
          <w:tcPr>
            <w:tcW w:w="47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Sponsor Support Agreement, dated as of May 1, 2021, by and</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among Roivant Sciences Ltd., Montes Archimedes Acquisition</w:t>
            </w: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Corp., Patient Square Capital LLC and certain shareholders of</w:t>
            </w: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Roivant Sciences Ltd.</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Form of Transaction Support Agreement, dated as of May 1,</w:t>
            </w:r>
          </w:p>
        </w:tc>
        <w:tc>
          <w:tcPr>
            <w:tcW w:w="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2021, by and among Roivant Sciences Ltd., Montes Archimedes</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Acquisition Corp. and certain shareholders of Roivant Sciences</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Ltd.</w:t>
            </w:r>
          </w:p>
        </w:tc>
        <w:tc>
          <w:tcPr>
            <w:tcW w:w="4260" w:type="dxa"/>
            <w:vAlign w:val="bottom"/>
            <w:tcBorders>
              <w:top w:val="single" w:sz="8" w:color="0000EE"/>
            </w:tcBorders>
            <w:gridSpan w:val="18"/>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24"/>
                <w:szCs w:val="24"/>
                <w:color w:val="auto"/>
              </w:rPr>
            </w:pPr>
          </w:p>
        </w:tc>
        <w:tc>
          <w:tcPr>
            <w:tcW w:w="45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89">
              <w:r>
                <w:rPr>
                  <w:rFonts w:ascii="Times New Roman" w:cs="Times New Roman" w:eastAsia="Times New Roman" w:hAnsi="Times New Roman"/>
                  <w:sz w:val="18"/>
                  <w:szCs w:val="18"/>
                  <w:color w:val="0000EE"/>
                  <w:w w:val="99"/>
                </w:rPr>
                <w:t>Investment Management Trust Agreement between Continental</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20" w:type="dxa"/>
            <w:vAlign w:val="bottom"/>
            <w:gridSpan w:val="23"/>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Stock Transfer &amp; Trust Company and Montes Archimedes</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Acquisition Corp.</w:t>
              </w:r>
            </w:hyperlink>
          </w:p>
        </w:tc>
        <w:tc>
          <w:tcPr>
            <w:tcW w:w="5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24"/>
                <w:szCs w:val="24"/>
                <w:color w:val="auto"/>
              </w:rPr>
            </w:pPr>
          </w:p>
        </w:tc>
        <w:tc>
          <w:tcPr>
            <w:tcW w:w="43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License Agreement, dated as of December 19, 2017, by and</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between HanAll Biopharma Co., Ltd. and Roivant Sciences</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20" w:type="dxa"/>
            <w:vAlign w:val="bottom"/>
            <w:gridSpan w:val="23"/>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GmbH</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4"/>
                <w:szCs w:val="24"/>
                <w:color w:val="auto"/>
              </w:rPr>
            </w:pPr>
          </w:p>
        </w:tc>
        <w:tc>
          <w:tcPr>
            <w:tcW w:w="4720" w:type="dxa"/>
            <w:vAlign w:val="bottom"/>
            <w:gridSpan w:val="23"/>
          </w:tcPr>
          <w:p>
            <w:pPr>
              <w:spacing w:after="0"/>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Collaboration and License Agreement, dated as of January 15,</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2020, by and between Dermavant Sciences GmbH and Japan</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Tobacco Inc.</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24"/>
                <w:szCs w:val="24"/>
                <w:color w:val="auto"/>
              </w:rPr>
            </w:pPr>
          </w:p>
        </w:tc>
        <w:tc>
          <w:tcPr>
            <w:tcW w:w="47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Clinical Manufacturing and Supply Agreement, dated August 20,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2018, by and between Dermavant Sciences GmbH and</w:t>
              </w:r>
            </w:hyperlink>
          </w:p>
        </w:tc>
        <w:tc>
          <w:tcPr>
            <w:tcW w:w="7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GlaxoSmithKline Trading Services Limited</w:t>
              </w:r>
            </w:hyperlink>
          </w:p>
        </w:tc>
        <w:tc>
          <w:tcPr>
            <w:tcW w:w="15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tcPr>
          <w:p>
            <w:pPr>
              <w:spacing w:after="0"/>
              <w:rPr>
                <w:sz w:val="24"/>
                <w:szCs w:val="24"/>
                <w:color w:val="auto"/>
              </w:rPr>
            </w:pPr>
          </w:p>
        </w:tc>
        <w:tc>
          <w:tcPr>
            <w:tcW w:w="4720" w:type="dxa"/>
            <w:vAlign w:val="bottom"/>
            <w:gridSpan w:val="23"/>
          </w:tcPr>
          <w:p>
            <w:pPr>
              <w:spacing w:after="0"/>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Commercial Manufacturing and Supply Agreement, dated</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40" w:type="dxa"/>
            <w:vAlign w:val="bottom"/>
            <w:gridSpan w:val="8"/>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93">
              <w:r>
                <w:rPr>
                  <w:rFonts w:ascii="Times New Roman" w:cs="Times New Roman" w:eastAsia="Times New Roman" w:hAnsi="Times New Roman"/>
                  <w:sz w:val="18"/>
                  <w:szCs w:val="18"/>
                  <w:color w:val="0000EE"/>
                  <w:w w:val="99"/>
                </w:rPr>
                <w:t>April 1, 2019, by and between Dermavant Sciences GmbH and</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20" w:type="dxa"/>
            <w:vAlign w:val="bottom"/>
            <w:gridSpan w:val="23"/>
          </w:tcPr>
          <w:p>
            <w:pPr>
              <w:spacing w:after="0" w:line="196"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GlaxoSmithKline Trading Services Limited</w:t>
              </w:r>
            </w:hyperlink>
          </w:p>
        </w:tc>
        <w:tc>
          <w:tcPr>
            <w:tcW w:w="0" w:type="dxa"/>
            <w:vAlign w:val="bottom"/>
          </w:tcPr>
          <w:p>
            <w:pPr>
              <w:spacing w:after="0"/>
              <w:rPr>
                <w:sz w:val="1"/>
                <w:szCs w:val="1"/>
                <w:color w:val="auto"/>
              </w:rPr>
            </w:pPr>
          </w:p>
        </w:tc>
      </w:tr>
      <w:tr>
        <w:trPr>
          <w:trHeight w:val="385"/>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tcBorders>
              <w:top w:val="single" w:sz="8" w:color="0000EE"/>
            </w:tcBorders>
            <w:gridSpan w:val="8"/>
          </w:tcPr>
          <w:p>
            <w:pPr>
              <w:spacing w:after="0"/>
              <w:rPr>
                <w:sz w:val="24"/>
                <w:szCs w:val="24"/>
                <w:color w:val="auto"/>
              </w:rPr>
            </w:pPr>
          </w:p>
        </w:tc>
        <w:tc>
          <w:tcPr>
            <w:tcW w:w="13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320" w:type="dxa"/>
            <w:vAlign w:val="bottom"/>
          </w:tcPr>
          <w:p>
            <w:pPr>
              <w:spacing w:after="0"/>
              <w:rPr>
                <w:sz w:val="15"/>
                <w:szCs w:val="15"/>
                <w:color w:val="auto"/>
              </w:rPr>
            </w:pPr>
          </w:p>
        </w:tc>
        <w:tc>
          <w:tcPr>
            <w:tcW w:w="17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2"/>
        </w:trPr>
        <w:tc>
          <w:tcPr>
            <w:tcW w:w="4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320" w:type="dxa"/>
            <w:vAlign w:val="bottom"/>
          </w:tcPr>
          <w:p>
            <w:pPr>
              <w:spacing w:after="0"/>
              <w:rPr>
                <w:sz w:val="12"/>
                <w:szCs w:val="12"/>
                <w:color w:val="auto"/>
              </w:rPr>
            </w:pPr>
          </w:p>
        </w:tc>
        <w:tc>
          <w:tcPr>
            <w:tcW w:w="108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320" w:type="dxa"/>
            <w:vAlign w:val="bottom"/>
          </w:tcPr>
          <w:p>
            <w:pPr>
              <w:spacing w:after="0"/>
              <w:rPr>
                <w:sz w:val="12"/>
                <w:szCs w:val="12"/>
                <w:color w:val="auto"/>
              </w:rPr>
            </w:pPr>
          </w:p>
        </w:tc>
        <w:tc>
          <w:tcPr>
            <w:tcW w:w="5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2"/>
                <w:szCs w:val="12"/>
                <w:color w:val="auto"/>
              </w:rPr>
            </w:pPr>
          </w:p>
        </w:tc>
        <w:tc>
          <w:tcPr>
            <w:tcW w:w="1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7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97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97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001-39597</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October 13, 2020</w:t>
            </w:r>
          </w:p>
        </w:tc>
        <w:tc>
          <w:tcPr>
            <w:tcW w:w="0" w:type="dxa"/>
            <w:vAlign w:val="bottom"/>
          </w:tcPr>
          <w:p>
            <w:pPr>
              <w:spacing w:after="0"/>
              <w:rPr>
                <w:sz w:val="1"/>
                <w:szCs w:val="1"/>
                <w:color w:val="auto"/>
              </w:rPr>
            </w:pPr>
          </w:p>
        </w:tc>
      </w:tr>
      <w:tr>
        <w:trPr>
          <w:trHeight w:val="7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001-38906</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December 20, 2019</w:t>
            </w:r>
          </w:p>
        </w:tc>
        <w:tc>
          <w:tcPr>
            <w:tcW w:w="0" w:type="dxa"/>
            <w:vAlign w:val="bottom"/>
          </w:tcPr>
          <w:p>
            <w:pPr>
              <w:spacing w:after="0"/>
              <w:rPr>
                <w:sz w:val="1"/>
                <w:szCs w:val="1"/>
                <w:color w:val="auto"/>
              </w:rPr>
            </w:pPr>
          </w:p>
        </w:tc>
      </w:tr>
      <w:tr>
        <w:trPr>
          <w:trHeight w:val="7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bl>
    <w:p>
      <w:pPr>
        <w:sectPr>
          <w:pgSz w:w="11900" w:h="16838" w:orient="portrait"/>
          <w:cols w:equalWidth="0" w:num="2">
            <w:col w:w="6000" w:space="320"/>
            <w:col w:w="4820"/>
          </w:cols>
          <w:pgMar w:left="320" w:top="482"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40" w:type="dxa"/>
            <w:vAlign w:val="bottom"/>
            <w:gridSpan w:val="18"/>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40" w:type="dxa"/>
            <w:vAlign w:val="bottom"/>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10.10#*</w:t>
            </w:r>
          </w:p>
        </w:tc>
        <w:tc>
          <w:tcPr>
            <w:tcW w:w="440" w:type="dxa"/>
            <w:vAlign w:val="bottom"/>
          </w:tcPr>
          <w:p>
            <w:pPr>
              <w:spacing w:after="0"/>
              <w:rPr>
                <w:sz w:val="22"/>
                <w:szCs w:val="22"/>
                <w:color w:val="auto"/>
              </w:rPr>
            </w:pPr>
          </w:p>
        </w:tc>
        <w:tc>
          <w:tcPr>
            <w:tcW w:w="4720" w:type="dxa"/>
            <w:vAlign w:val="bottom"/>
            <w:tcBorders>
              <w:top w:val="single" w:sz="8" w:color="auto"/>
            </w:tcBorders>
            <w:gridSpan w:val="22"/>
          </w:tcPr>
          <w:p>
            <w:pPr>
              <w:spacing w:after="0"/>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Funding Agreement, dated as of July 10, 2018, by and between</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95">
              <w:r>
                <w:rPr>
                  <w:rFonts w:ascii="Times New Roman" w:cs="Times New Roman" w:eastAsia="Times New Roman" w:hAnsi="Times New Roman"/>
                  <w:sz w:val="18"/>
                  <w:szCs w:val="18"/>
                  <w:color w:val="0000EE"/>
                  <w:w w:val="99"/>
                </w:rPr>
                <w:t>Dermavant Sciences GmbH and NovaQuest Co-Investment Fund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95">
              <w:r>
                <w:rPr>
                  <w:rFonts w:ascii="Times New Roman" w:cs="Times New Roman" w:eastAsia="Times New Roman" w:hAnsi="Times New Roman"/>
                  <w:sz w:val="18"/>
                  <w:szCs w:val="18"/>
                  <w:color w:val="0000EE"/>
                  <w:w w:val="94"/>
                </w:rPr>
                <w:t>VIII, L.P.</w:t>
              </w:r>
            </w:hyperlink>
          </w:p>
        </w:tc>
        <w:tc>
          <w:tcPr>
            <w:tcW w:w="40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10.11#*</w:t>
            </w:r>
          </w:p>
        </w:tc>
        <w:tc>
          <w:tcPr>
            <w:tcW w:w="440" w:type="dxa"/>
            <w:vAlign w:val="bottom"/>
          </w:tcPr>
          <w:p>
            <w:pPr>
              <w:spacing w:after="0"/>
              <w:rPr>
                <w:sz w:val="24"/>
                <w:szCs w:val="24"/>
                <w:color w:val="auto"/>
              </w:rPr>
            </w:pPr>
          </w:p>
        </w:tc>
        <w:tc>
          <w:tcPr>
            <w:tcW w:w="4720" w:type="dxa"/>
            <w:vAlign w:val="bottom"/>
            <w:gridSpan w:val="22"/>
          </w:tcPr>
          <w:p>
            <w:pPr>
              <w:spacing w:after="0"/>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First Amendment to Funding Agreement, dated as of October 11,</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2018, by and between Dermavant Sciences GmbH and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296">
              <w:r>
                <w:rPr>
                  <w:rFonts w:ascii="Times New Roman" w:cs="Times New Roman" w:eastAsia="Times New Roman" w:hAnsi="Times New Roman"/>
                  <w:sz w:val="18"/>
                  <w:szCs w:val="18"/>
                  <w:color w:val="0000EE"/>
                  <w:w w:val="98"/>
                </w:rPr>
                <w:t>NovaQuest Co-Investment Fund VIII, L.P.</w:t>
              </w:r>
            </w:hyperlink>
          </w:p>
        </w:tc>
        <w:tc>
          <w:tcPr>
            <w:tcW w:w="860" w:type="dxa"/>
            <w:vAlign w:val="bottom"/>
            <w:tcBorders>
              <w:top w:val="single" w:sz="8" w:color="0000EE"/>
            </w:tcBorders>
            <w:gridSpan w:val="5"/>
          </w:tcPr>
          <w:p>
            <w:pPr>
              <w:spacing w:after="0"/>
              <w:rPr>
                <w:sz w:val="17"/>
                <w:szCs w:val="17"/>
                <w:color w:val="auto"/>
              </w:rPr>
            </w:pPr>
          </w:p>
        </w:tc>
        <w:tc>
          <w:tcPr>
            <w:tcW w:w="8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10.12#*</w:t>
            </w:r>
          </w:p>
        </w:tc>
        <w:tc>
          <w:tcPr>
            <w:tcW w:w="440" w:type="dxa"/>
            <w:vAlign w:val="bottom"/>
          </w:tcPr>
          <w:p>
            <w:pPr>
              <w:spacing w:after="0"/>
              <w:rPr>
                <w:sz w:val="24"/>
                <w:szCs w:val="24"/>
                <w:color w:val="auto"/>
              </w:rPr>
            </w:pPr>
          </w:p>
        </w:tc>
        <w:tc>
          <w:tcPr>
            <w:tcW w:w="4720" w:type="dxa"/>
            <w:vAlign w:val="bottom"/>
            <w:gridSpan w:val="22"/>
          </w:tcPr>
          <w:p>
            <w:pPr>
              <w:spacing w:after="0"/>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Cross License Agreement, dated as of April 11, 2018, by and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97">
              <w:r>
                <w:rPr>
                  <w:rFonts w:ascii="Times New Roman" w:cs="Times New Roman" w:eastAsia="Times New Roman" w:hAnsi="Times New Roman"/>
                  <w:sz w:val="18"/>
                  <w:szCs w:val="18"/>
                  <w:color w:val="0000EE"/>
                  <w:w w:val="99"/>
                </w:rPr>
                <w:t>between Genevant Sciences Ltd. and Arbutus Biopharma</w:t>
              </w:r>
            </w:hyperlink>
          </w:p>
        </w:tc>
        <w:tc>
          <w:tcPr>
            <w:tcW w:w="260" w:type="dxa"/>
            <w:vAlign w:val="bottom"/>
            <w:tcBorders>
              <w:top w:val="single" w:sz="8" w:color="0000EE"/>
            </w:tcBorders>
            <w:gridSpan w:val="3"/>
          </w:tcPr>
          <w:p>
            <w:pPr>
              <w:spacing w:after="0"/>
              <w:rPr>
                <w:sz w:val="17"/>
                <w:szCs w:val="17"/>
                <w:color w:val="auto"/>
              </w:rPr>
            </w:pPr>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20" w:type="dxa"/>
            <w:vAlign w:val="bottom"/>
            <w:gridSpan w:val="22"/>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Corporation</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tcPr>
          <w:p>
            <w:pPr>
              <w:spacing w:after="0"/>
              <w:rPr>
                <w:sz w:val="24"/>
                <w:szCs w:val="24"/>
                <w:color w:val="auto"/>
              </w:rPr>
            </w:pPr>
          </w:p>
        </w:tc>
        <w:tc>
          <w:tcPr>
            <w:tcW w:w="42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First Amendment to Cross License Agreement, dated as of</w:t>
              </w:r>
            </w:hyperlink>
          </w:p>
        </w:tc>
        <w:tc>
          <w:tcPr>
            <w:tcW w:w="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June 27, 2018, by and among Genevant Sciences Ltd., Genevant</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Sciences GmbH and Arbutus Biopharma Corporation</w:t>
              </w:r>
            </w:hyperlink>
          </w:p>
        </w:tc>
        <w:tc>
          <w:tcPr>
            <w:tcW w:w="8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10.14#*</w:t>
            </w:r>
          </w:p>
        </w:tc>
        <w:tc>
          <w:tcPr>
            <w:tcW w:w="440" w:type="dxa"/>
            <w:vAlign w:val="bottom"/>
          </w:tcPr>
          <w:p>
            <w:pPr>
              <w:spacing w:after="0"/>
              <w:rPr>
                <w:sz w:val="24"/>
                <w:szCs w:val="24"/>
                <w:color w:val="auto"/>
              </w:rPr>
            </w:pPr>
          </w:p>
        </w:tc>
        <w:tc>
          <w:tcPr>
            <w:tcW w:w="4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Second Amendment to Cross License Agreement, dated as of</w:t>
              </w:r>
            </w:hyperlink>
          </w:p>
        </w:tc>
        <w:tc>
          <w:tcPr>
            <w:tcW w:w="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June 27, 2018, by and among Genevant Sciences Ltd., Genevant</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20" w:type="dxa"/>
            <w:vAlign w:val="bottom"/>
            <w:gridSpan w:val="22"/>
          </w:tcPr>
          <w:p>
            <w:pPr>
              <w:spacing w:after="0" w:line="196"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Sciences GmbH and Arbutus Biopharma Corporation</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10.15#*</w:t>
            </w:r>
          </w:p>
        </w:tc>
        <w:tc>
          <w:tcPr>
            <w:tcW w:w="440" w:type="dxa"/>
            <w:vAlign w:val="bottom"/>
          </w:tcPr>
          <w:p>
            <w:pPr>
              <w:spacing w:after="0"/>
              <w:rPr>
                <w:sz w:val="24"/>
                <w:szCs w:val="24"/>
                <w:color w:val="auto"/>
              </w:rPr>
            </w:pPr>
          </w:p>
        </w:tc>
        <w:tc>
          <w:tcPr>
            <w:tcW w:w="4720" w:type="dxa"/>
            <w:vAlign w:val="bottom"/>
            <w:gridSpan w:val="22"/>
          </w:tcPr>
          <w:p>
            <w:pPr>
              <w:spacing w:after="0"/>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Research Agreement, dated as of January 1, 2018, by and</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20" w:type="dxa"/>
            <w:vAlign w:val="bottom"/>
            <w:gridSpan w:val="22"/>
          </w:tcPr>
          <w:p>
            <w:pPr>
              <w:spacing w:after="0" w:line="196"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between Oncopia Therapeutics, LLC and the Regents of the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University of Michigan</w:t>
              </w:r>
            </w:hyperlink>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tcPr>
          <w:p>
            <w:pPr>
              <w:spacing w:after="0"/>
              <w:rPr>
                <w:sz w:val="24"/>
                <w:szCs w:val="24"/>
                <w:color w:val="auto"/>
              </w:rPr>
            </w:pPr>
          </w:p>
        </w:tc>
        <w:tc>
          <w:tcPr>
            <w:tcW w:w="45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301">
              <w:r>
                <w:rPr>
                  <w:rFonts w:ascii="Times New Roman" w:cs="Times New Roman" w:eastAsia="Times New Roman" w:hAnsi="Times New Roman"/>
                  <w:sz w:val="18"/>
                  <w:szCs w:val="18"/>
                  <w:color w:val="0000EE"/>
                  <w:w w:val="99"/>
                </w:rPr>
                <w:t>Fifth Amendment to the Sponsored Research Agreement, dated</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20" w:type="dxa"/>
            <w:vAlign w:val="bottom"/>
            <w:gridSpan w:val="22"/>
          </w:tcPr>
          <w:p>
            <w:pPr>
              <w:spacing w:after="0" w:line="196" w:lineRule="exact"/>
              <w:rPr>
                <w:rFonts w:ascii="Times New Roman" w:cs="Times New Roman" w:eastAsia="Times New Roman" w:hAnsi="Times New Roman"/>
                <w:sz w:val="18"/>
                <w:szCs w:val="18"/>
                <w:color w:val="0000EE"/>
                <w:w w:val="99"/>
              </w:rPr>
            </w:pPr>
            <w:hyperlink r:id="rId301">
              <w:r>
                <w:rPr>
                  <w:rFonts w:ascii="Times New Roman" w:cs="Times New Roman" w:eastAsia="Times New Roman" w:hAnsi="Times New Roman"/>
                  <w:sz w:val="18"/>
                  <w:szCs w:val="18"/>
                  <w:color w:val="0000EE"/>
                  <w:w w:val="99"/>
                </w:rPr>
                <w:t>as of November 19, 2020, by and between Oncopia Therapeutics,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01">
              <w:r>
                <w:rPr>
                  <w:rFonts w:ascii="Times New Roman" w:cs="Times New Roman" w:eastAsia="Times New Roman" w:hAnsi="Times New Roman"/>
                  <w:sz w:val="18"/>
                  <w:szCs w:val="18"/>
                  <w:color w:val="0000EE"/>
                  <w:w w:val="99"/>
                </w:rPr>
                <w:t>Inc. and the Regents of the University of Michigan</w:t>
              </w:r>
            </w:hyperlink>
          </w:p>
        </w:tc>
        <w:tc>
          <w:tcPr>
            <w:tcW w:w="104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10.17#*</w:t>
            </w:r>
          </w:p>
        </w:tc>
        <w:tc>
          <w:tcPr>
            <w:tcW w:w="440" w:type="dxa"/>
            <w:vAlign w:val="bottom"/>
          </w:tcPr>
          <w:p>
            <w:pPr>
              <w:spacing w:after="0"/>
              <w:rPr>
                <w:sz w:val="24"/>
                <w:szCs w:val="24"/>
                <w:color w:val="auto"/>
              </w:rPr>
            </w:pPr>
          </w:p>
        </w:tc>
        <w:tc>
          <w:tcPr>
            <w:tcW w:w="4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Amended and Restated Patent License Agreement, dated as of</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02">
              <w:r>
                <w:rPr>
                  <w:rFonts w:ascii="Times New Roman" w:cs="Times New Roman" w:eastAsia="Times New Roman" w:hAnsi="Times New Roman"/>
                  <w:sz w:val="18"/>
                  <w:szCs w:val="18"/>
                  <w:color w:val="0000EE"/>
                  <w:w w:val="99"/>
                </w:rPr>
                <w:t>November 16, 2020, by and between Oncopia Therapeutics, Inc.</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02">
              <w:r>
                <w:rPr>
                  <w:rFonts w:ascii="Times New Roman" w:cs="Times New Roman" w:eastAsia="Times New Roman" w:hAnsi="Times New Roman"/>
                  <w:sz w:val="18"/>
                  <w:szCs w:val="18"/>
                  <w:color w:val="0000EE"/>
                  <w:w w:val="99"/>
                </w:rPr>
                <w:t>and the Regents of the University of Michigan</w:t>
              </w:r>
            </w:hyperlink>
          </w:p>
        </w:tc>
        <w:tc>
          <w:tcPr>
            <w:tcW w:w="13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10.18#*</w:t>
            </w:r>
          </w:p>
        </w:tc>
        <w:tc>
          <w:tcPr>
            <w:tcW w:w="440" w:type="dxa"/>
            <w:vAlign w:val="bottom"/>
          </w:tcPr>
          <w:p>
            <w:pPr>
              <w:spacing w:after="0"/>
              <w:rPr>
                <w:sz w:val="24"/>
                <w:szCs w:val="24"/>
                <w:color w:val="auto"/>
              </w:rPr>
            </w:pPr>
          </w:p>
        </w:tc>
        <w:tc>
          <w:tcPr>
            <w:tcW w:w="4720" w:type="dxa"/>
            <w:vAlign w:val="bottom"/>
            <w:gridSpan w:val="22"/>
          </w:tcPr>
          <w:p>
            <w:pPr>
              <w:spacing w:after="0"/>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Investors’ Rights Agreement, dated as of January 11, 2021, by</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and among Pharmavant 5, Inc., Roivant Sciences Ltd. and SK</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303">
              <w:r>
                <w:rPr>
                  <w:rFonts w:ascii="Times New Roman" w:cs="Times New Roman" w:eastAsia="Times New Roman" w:hAnsi="Times New Roman"/>
                  <w:sz w:val="18"/>
                  <w:szCs w:val="18"/>
                  <w:color w:val="0000EE"/>
                  <w:w w:val="98"/>
                </w:rPr>
                <w:t>Holdings Co., Ltd.</w:t>
              </w:r>
            </w:hyperlink>
          </w:p>
        </w:tc>
        <w:tc>
          <w:tcPr>
            <w:tcW w:w="3100" w:type="dxa"/>
            <w:vAlign w:val="bottom"/>
            <w:tcBorders>
              <w:top w:val="single" w:sz="8" w:color="0000EE"/>
            </w:tcBorders>
            <w:gridSpan w:val="13"/>
          </w:tcPr>
          <w:p>
            <w:pPr>
              <w:spacing w:after="0"/>
              <w:rPr>
                <w:sz w:val="17"/>
                <w:szCs w:val="17"/>
                <w:color w:val="auto"/>
              </w:rPr>
            </w:pP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80" w:type="dxa"/>
            <w:vAlign w:val="bottom"/>
            <w:gridSpan w:val="14"/>
          </w:tcPr>
          <w:p>
            <w:pPr>
              <w:ind w:left="4060"/>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2"/>
        </w:trPr>
        <w:tc>
          <w:tcPr>
            <w:tcW w:w="5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32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320" w:type="dxa"/>
            <w:vAlign w:val="bottom"/>
          </w:tcPr>
          <w:p>
            <w:pPr>
              <w:spacing w:after="0"/>
              <w:rPr>
                <w:sz w:val="12"/>
                <w:szCs w:val="12"/>
                <w:color w:val="auto"/>
              </w:rPr>
            </w:pPr>
          </w:p>
        </w:tc>
        <w:tc>
          <w:tcPr>
            <w:tcW w:w="5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001-34949</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August 7, 2020</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001-34949</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August 7, 2020</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001-34949</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August 7, 2020</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bl>
    <w:p>
      <w:pPr>
        <w:sectPr>
          <w:pgSz w:w="11900" w:h="16838" w:orient="portrait"/>
          <w:cols w:equalWidth="0" w:num="2">
            <w:col w:w="6140" w:space="320"/>
            <w:col w:w="4680"/>
          </w:cols>
          <w:pgMar w:left="320" w:top="482"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19"/>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19"/>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10.19*</w:t>
            </w:r>
          </w:p>
        </w:tc>
        <w:tc>
          <w:tcPr>
            <w:tcW w:w="440" w:type="dxa"/>
            <w:vAlign w:val="bottom"/>
          </w:tcPr>
          <w:p>
            <w:pPr>
              <w:spacing w:after="0"/>
              <w:rPr>
                <w:sz w:val="22"/>
                <w:szCs w:val="22"/>
                <w:color w:val="auto"/>
              </w:rPr>
            </w:pPr>
          </w:p>
        </w:tc>
        <w:tc>
          <w:tcPr>
            <w:tcW w:w="22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305">
              <w:r>
                <w:rPr>
                  <w:rFonts w:ascii="Times New Roman" w:cs="Times New Roman" w:eastAsia="Times New Roman" w:hAnsi="Times New Roman"/>
                  <w:sz w:val="18"/>
                  <w:szCs w:val="18"/>
                  <w:color w:val="0000EE"/>
                  <w:w w:val="99"/>
                </w:rPr>
                <w:t>Form of Indemnity Agreement</w:t>
              </w:r>
            </w:hyperlink>
          </w:p>
        </w:tc>
        <w:tc>
          <w:tcPr>
            <w:tcW w:w="214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10.20*^</w:t>
            </w:r>
          </w:p>
        </w:tc>
        <w:tc>
          <w:tcPr>
            <w:tcW w:w="440" w:type="dxa"/>
            <w:vAlign w:val="bottom"/>
          </w:tcPr>
          <w:p>
            <w:pPr>
              <w:spacing w:after="0"/>
              <w:rPr>
                <w:sz w:val="24"/>
                <w:szCs w:val="24"/>
                <w:color w:val="auto"/>
              </w:rPr>
            </w:pPr>
          </w:p>
        </w:tc>
        <w:tc>
          <w:tcPr>
            <w:tcW w:w="42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306">
              <w:r>
                <w:rPr>
                  <w:rFonts w:ascii="Times New Roman" w:cs="Times New Roman" w:eastAsia="Times New Roman" w:hAnsi="Times New Roman"/>
                  <w:sz w:val="18"/>
                  <w:szCs w:val="18"/>
                  <w:color w:val="0000EE"/>
                  <w:w w:val="99"/>
                </w:rPr>
                <w:t>Roivant Sciences Ltd. Amended and Restated 2015 Equity</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306">
              <w:r>
                <w:rPr>
                  <w:rFonts w:ascii="Times New Roman" w:cs="Times New Roman" w:eastAsia="Times New Roman" w:hAnsi="Times New Roman"/>
                  <w:sz w:val="18"/>
                  <w:szCs w:val="18"/>
                  <w:color w:val="0000EE"/>
                  <w:w w:val="98"/>
                </w:rPr>
                <w:t>Incentive Plan</w:t>
              </w:r>
            </w:hyperlink>
          </w:p>
        </w:tc>
        <w:tc>
          <w:tcPr>
            <w:tcW w:w="33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10.21*^</w:t>
            </w:r>
          </w:p>
        </w:tc>
        <w:tc>
          <w:tcPr>
            <w:tcW w:w="440" w:type="dxa"/>
            <w:vAlign w:val="bottom"/>
          </w:tcPr>
          <w:p>
            <w:pPr>
              <w:spacing w:after="0"/>
              <w:rPr>
                <w:sz w:val="24"/>
                <w:szCs w:val="24"/>
                <w:color w:val="auto"/>
              </w:rPr>
            </w:pPr>
          </w:p>
        </w:tc>
        <w:tc>
          <w:tcPr>
            <w:tcW w:w="36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07">
              <w:r>
                <w:rPr>
                  <w:rFonts w:ascii="Times New Roman" w:cs="Times New Roman" w:eastAsia="Times New Roman" w:hAnsi="Times New Roman"/>
                  <w:sz w:val="18"/>
                  <w:szCs w:val="18"/>
                  <w:color w:val="0000EE"/>
                  <w:w w:val="99"/>
                </w:rPr>
                <w:t>Roivant Sciences Ltd. 2021 Equity Incentive Plan</w:t>
              </w:r>
            </w:hyperlink>
          </w:p>
        </w:tc>
        <w:tc>
          <w:tcPr>
            <w:tcW w:w="7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10.22*^</w:t>
            </w:r>
          </w:p>
        </w:tc>
        <w:tc>
          <w:tcPr>
            <w:tcW w:w="440" w:type="dxa"/>
            <w:vAlign w:val="bottom"/>
          </w:tcPr>
          <w:p>
            <w:pPr>
              <w:spacing w:after="0"/>
              <w:rPr>
                <w:sz w:val="24"/>
                <w:szCs w:val="24"/>
                <w:color w:val="auto"/>
              </w:rPr>
            </w:pPr>
          </w:p>
        </w:tc>
        <w:tc>
          <w:tcPr>
            <w:tcW w:w="41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Amended and Restated Employment Agreement between</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308">
              <w:r>
                <w:rPr>
                  <w:rFonts w:ascii="Times New Roman" w:cs="Times New Roman" w:eastAsia="Times New Roman" w:hAnsi="Times New Roman"/>
                  <w:sz w:val="18"/>
                  <w:szCs w:val="18"/>
                  <w:color w:val="0000EE"/>
                  <w:w w:val="98"/>
                </w:rPr>
                <w:t>Roivant Sciences, Inc. and Vivek Ramaswamy, dated as of</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60" w:type="dxa"/>
            <w:vAlign w:val="bottom"/>
            <w:gridSpan w:val="25"/>
          </w:tcPr>
          <w:p>
            <w:pPr>
              <w:spacing w:after="0" w:line="196" w:lineRule="exact"/>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May 14,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10.23*^</w:t>
            </w:r>
          </w:p>
        </w:tc>
        <w:tc>
          <w:tcPr>
            <w:tcW w:w="440" w:type="dxa"/>
            <w:vAlign w:val="bottom"/>
          </w:tcPr>
          <w:p>
            <w:pPr>
              <w:spacing w:after="0"/>
              <w:rPr>
                <w:sz w:val="24"/>
                <w:szCs w:val="24"/>
                <w:color w:val="auto"/>
              </w:rPr>
            </w:pPr>
          </w:p>
        </w:tc>
        <w:tc>
          <w:tcPr>
            <w:tcW w:w="38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09">
              <w:r>
                <w:rPr>
                  <w:rFonts w:ascii="Times New Roman" w:cs="Times New Roman" w:eastAsia="Times New Roman" w:hAnsi="Times New Roman"/>
                  <w:sz w:val="18"/>
                  <w:szCs w:val="18"/>
                  <w:color w:val="0000EE"/>
                  <w:w w:val="99"/>
                </w:rPr>
                <w:t>Executive Employment Agreement between Roivant</w:t>
              </w:r>
            </w:hyperlink>
          </w:p>
        </w:tc>
        <w:tc>
          <w:tcPr>
            <w:tcW w:w="5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09">
              <w:r>
                <w:rPr>
                  <w:rFonts w:ascii="Times New Roman" w:cs="Times New Roman" w:eastAsia="Times New Roman" w:hAnsi="Times New Roman"/>
                  <w:sz w:val="18"/>
                  <w:szCs w:val="18"/>
                  <w:color w:val="0000EE"/>
                  <w:w w:val="99"/>
                </w:rPr>
                <w:t>Sciences, Inc. and Matthew Gline, dated as of May 14,</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0" w:type="dxa"/>
            <w:vAlign w:val="bottom"/>
            <w:gridSpan w:val="3"/>
          </w:tcPr>
          <w:p>
            <w:pPr>
              <w:ind w:left="440"/>
              <w:spacing w:after="0" w:line="196" w:lineRule="exact"/>
              <w:rPr>
                <w:rFonts w:ascii="Times New Roman" w:cs="Times New Roman" w:eastAsia="Times New Roman" w:hAnsi="Times New Roman"/>
                <w:sz w:val="18"/>
                <w:szCs w:val="18"/>
                <w:color w:val="0000EE"/>
                <w:w w:val="94"/>
              </w:rPr>
            </w:pPr>
            <w:hyperlink r:id="rId309">
              <w:r>
                <w:rPr>
                  <w:rFonts w:ascii="Times New Roman" w:cs="Times New Roman" w:eastAsia="Times New Roman" w:hAnsi="Times New Roman"/>
                  <w:sz w:val="18"/>
                  <w:szCs w:val="18"/>
                  <w:color w:val="0000EE"/>
                  <w:w w:val="94"/>
                </w:rPr>
                <w:t>2021</w:t>
              </w:r>
            </w:hyperlink>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10.24*^</w:t>
            </w:r>
          </w:p>
        </w:tc>
        <w:tc>
          <w:tcPr>
            <w:tcW w:w="440" w:type="dxa"/>
            <w:vAlign w:val="bottom"/>
          </w:tcPr>
          <w:p>
            <w:pPr>
              <w:spacing w:after="0"/>
              <w:rPr>
                <w:sz w:val="24"/>
                <w:szCs w:val="24"/>
                <w:color w:val="auto"/>
              </w:rPr>
            </w:pPr>
          </w:p>
        </w:tc>
        <w:tc>
          <w:tcPr>
            <w:tcW w:w="38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10">
              <w:r>
                <w:rPr>
                  <w:rFonts w:ascii="Times New Roman" w:cs="Times New Roman" w:eastAsia="Times New Roman" w:hAnsi="Times New Roman"/>
                  <w:sz w:val="18"/>
                  <w:szCs w:val="18"/>
                  <w:color w:val="0000EE"/>
                  <w:w w:val="99"/>
                </w:rPr>
                <w:t>Executive Employment Agreement between Roivant</w:t>
              </w:r>
            </w:hyperlink>
          </w:p>
        </w:tc>
        <w:tc>
          <w:tcPr>
            <w:tcW w:w="5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60" w:type="dxa"/>
            <w:vAlign w:val="bottom"/>
            <w:gridSpan w:val="25"/>
          </w:tcPr>
          <w:p>
            <w:pPr>
              <w:spacing w:after="0" w:line="196" w:lineRule="exact"/>
              <w:rPr>
                <w:rFonts w:ascii="Times New Roman" w:cs="Times New Roman" w:eastAsia="Times New Roman" w:hAnsi="Times New Roman"/>
                <w:sz w:val="18"/>
                <w:szCs w:val="18"/>
                <w:color w:val="0000EE"/>
              </w:rPr>
            </w:pPr>
            <w:hyperlink r:id="rId310">
              <w:r>
                <w:rPr>
                  <w:rFonts w:ascii="Times New Roman" w:cs="Times New Roman" w:eastAsia="Times New Roman" w:hAnsi="Times New Roman"/>
                  <w:sz w:val="18"/>
                  <w:szCs w:val="18"/>
                  <w:color w:val="0000EE"/>
                </w:rPr>
                <w:t>Sciences, Inc. and Eric Venker, dated as of May 14, 2021</w:t>
              </w:r>
            </w:hyperlink>
          </w:p>
        </w:tc>
        <w:tc>
          <w:tcPr>
            <w:tcW w:w="0" w:type="dxa"/>
            <w:vAlign w:val="bottom"/>
          </w:tcPr>
          <w:p>
            <w:pPr>
              <w:spacing w:after="0"/>
              <w:rPr>
                <w:sz w:val="1"/>
                <w:szCs w:val="1"/>
                <w:color w:val="auto"/>
              </w:rPr>
            </w:pPr>
          </w:p>
        </w:tc>
      </w:tr>
      <w:tr>
        <w:trPr>
          <w:trHeight w:val="304"/>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10.25*^</w:t>
            </w:r>
          </w:p>
        </w:tc>
        <w:tc>
          <w:tcPr>
            <w:tcW w:w="440" w:type="dxa"/>
            <w:vAlign w:val="bottom"/>
          </w:tcPr>
          <w:p>
            <w:pPr>
              <w:spacing w:after="0"/>
              <w:rPr>
                <w:sz w:val="24"/>
                <w:szCs w:val="24"/>
                <w:color w:val="auto"/>
              </w:rPr>
            </w:pPr>
          </w:p>
        </w:tc>
        <w:tc>
          <w:tcPr>
            <w:tcW w:w="380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311">
              <w:r>
                <w:rPr>
                  <w:rFonts w:ascii="Times New Roman" w:cs="Times New Roman" w:eastAsia="Times New Roman" w:hAnsi="Times New Roman"/>
                  <w:sz w:val="18"/>
                  <w:szCs w:val="18"/>
                  <w:color w:val="0000EE"/>
                  <w:w w:val="99"/>
                </w:rPr>
                <w:t>Executive Employment Agreement between Roivant</w:t>
              </w:r>
            </w:hyperlink>
          </w:p>
        </w:tc>
        <w:tc>
          <w:tcPr>
            <w:tcW w:w="300" w:type="dxa"/>
            <w:vAlign w:val="bottom"/>
            <w:tcBorders>
              <w:top w:val="single" w:sz="8" w:color="0000EE"/>
            </w:tcBorders>
            <w:gridSpan w:val="5"/>
          </w:tcPr>
          <w:p>
            <w:pPr>
              <w:spacing w:after="0"/>
              <w:rPr>
                <w:sz w:val="24"/>
                <w:szCs w:val="24"/>
                <w:color w:val="auto"/>
              </w:rPr>
            </w:pPr>
          </w:p>
        </w:tc>
        <w:tc>
          <w:tcPr>
            <w:tcW w:w="2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11">
              <w:r>
                <w:rPr>
                  <w:rFonts w:ascii="Times New Roman" w:cs="Times New Roman" w:eastAsia="Times New Roman" w:hAnsi="Times New Roman"/>
                  <w:sz w:val="18"/>
                  <w:szCs w:val="18"/>
                  <w:color w:val="0000EE"/>
                  <w:w w:val="99"/>
                </w:rPr>
                <w:t>Sciences, Inc. and Benjamin Zimmer, dated as of May 14,</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0" w:type="dxa"/>
            <w:vAlign w:val="bottom"/>
            <w:gridSpan w:val="3"/>
          </w:tcPr>
          <w:p>
            <w:pPr>
              <w:ind w:left="440"/>
              <w:spacing w:after="0" w:line="196" w:lineRule="exact"/>
              <w:rPr>
                <w:rFonts w:ascii="Times New Roman" w:cs="Times New Roman" w:eastAsia="Times New Roman" w:hAnsi="Times New Roman"/>
                <w:sz w:val="18"/>
                <w:szCs w:val="18"/>
                <w:color w:val="0000EE"/>
                <w:w w:val="94"/>
              </w:rPr>
            </w:pPr>
            <w:hyperlink r:id="rId311">
              <w:r>
                <w:rPr>
                  <w:rFonts w:ascii="Times New Roman" w:cs="Times New Roman" w:eastAsia="Times New Roman" w:hAnsi="Times New Roman"/>
                  <w:sz w:val="18"/>
                  <w:szCs w:val="18"/>
                  <w:color w:val="0000EE"/>
                  <w:w w:val="94"/>
                </w:rPr>
                <w:t>2021</w:t>
              </w:r>
            </w:hyperlink>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10.26#*</w:t>
            </w:r>
          </w:p>
        </w:tc>
        <w:tc>
          <w:tcPr>
            <w:tcW w:w="440" w:type="dxa"/>
            <w:vAlign w:val="bottom"/>
          </w:tcPr>
          <w:p>
            <w:pPr>
              <w:spacing w:after="0"/>
              <w:rPr>
                <w:sz w:val="24"/>
                <w:szCs w:val="24"/>
                <w:color w:val="auto"/>
              </w:rPr>
            </w:pPr>
          </w:p>
        </w:tc>
        <w:tc>
          <w:tcPr>
            <w:tcW w:w="4360" w:type="dxa"/>
            <w:vAlign w:val="bottom"/>
            <w:gridSpan w:val="25"/>
          </w:tcPr>
          <w:p>
            <w:pPr>
              <w:spacing w:after="0"/>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Credit Agreement by and among Dermavant Sciences Ltd.,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12">
              <w:r>
                <w:rPr>
                  <w:rFonts w:ascii="Times New Roman" w:cs="Times New Roman" w:eastAsia="Times New Roman" w:hAnsi="Times New Roman"/>
                  <w:sz w:val="18"/>
                  <w:szCs w:val="18"/>
                  <w:color w:val="0000EE"/>
                  <w:w w:val="99"/>
                </w:rPr>
                <w:t>Dermavant Holdings Limited, Dermavant Sciences IRL</w:t>
              </w:r>
            </w:hyperlink>
          </w:p>
        </w:tc>
        <w:tc>
          <w:tcPr>
            <w:tcW w:w="240" w:type="dxa"/>
            <w:vAlign w:val="bottom"/>
            <w:tcBorders>
              <w:top w:val="single" w:sz="8" w:color="0000EE"/>
            </w:tcBorders>
            <w:gridSpan w:val="9"/>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312">
              <w:r>
                <w:rPr>
                  <w:rFonts w:ascii="Times New Roman" w:cs="Times New Roman" w:eastAsia="Times New Roman" w:hAnsi="Times New Roman"/>
                  <w:sz w:val="18"/>
                  <w:szCs w:val="18"/>
                  <w:color w:val="0000EE"/>
                  <w:w w:val="99"/>
                </w:rPr>
                <w:t>Limited, Dermavant Sciences GmbH, certain subsidiaries</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60" w:type="dxa"/>
            <w:vAlign w:val="bottom"/>
            <w:gridSpan w:val="25"/>
          </w:tcPr>
          <w:p>
            <w:pPr>
              <w:spacing w:after="0" w:line="196" w:lineRule="exact"/>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of Dermavant Sciences Ltd., XYQ Luxco S.A.R.L. and</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12">
              <w:r>
                <w:rPr>
                  <w:rFonts w:ascii="Times New Roman" w:cs="Times New Roman" w:eastAsia="Times New Roman" w:hAnsi="Times New Roman"/>
                  <w:sz w:val="18"/>
                  <w:szCs w:val="18"/>
                  <w:color w:val="0000EE"/>
                  <w:w w:val="99"/>
                </w:rPr>
                <w:t>U.S. Bank National Association, as collateral agent, dated</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312">
              <w:r>
                <w:rPr>
                  <w:rFonts w:ascii="Times New Roman" w:cs="Times New Roman" w:eastAsia="Times New Roman" w:hAnsi="Times New Roman"/>
                  <w:sz w:val="18"/>
                  <w:szCs w:val="18"/>
                  <w:color w:val="0000EE"/>
                  <w:w w:val="98"/>
                </w:rPr>
                <w:t>as of May 14, 2021</w:t>
              </w:r>
            </w:hyperlink>
          </w:p>
        </w:tc>
        <w:tc>
          <w:tcPr>
            <w:tcW w:w="29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10.27#*</w:t>
            </w:r>
          </w:p>
        </w:tc>
        <w:tc>
          <w:tcPr>
            <w:tcW w:w="440" w:type="dxa"/>
            <w:vAlign w:val="bottom"/>
          </w:tcPr>
          <w:p>
            <w:pPr>
              <w:spacing w:after="0"/>
              <w:rPr>
                <w:sz w:val="24"/>
                <w:szCs w:val="24"/>
                <w:color w:val="auto"/>
              </w:rPr>
            </w:pPr>
          </w:p>
        </w:tc>
        <w:tc>
          <w:tcPr>
            <w:tcW w:w="4360" w:type="dxa"/>
            <w:vAlign w:val="bottom"/>
            <w:gridSpan w:val="25"/>
          </w:tcPr>
          <w:p>
            <w:pPr>
              <w:spacing w:after="0"/>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Revenue Interest Purchase and Sale Agreement by and</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gridSpan w:val="7"/>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60" w:type="dxa"/>
            <w:vAlign w:val="bottom"/>
            <w:gridSpan w:val="25"/>
          </w:tcPr>
          <w:p>
            <w:pPr>
              <w:spacing w:after="0" w:line="196" w:lineRule="exact"/>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among Dermavant Sciences GmbH, certain purchasers and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313">
              <w:r>
                <w:rPr>
                  <w:rFonts w:ascii="Times New Roman" w:cs="Times New Roman" w:eastAsia="Times New Roman" w:hAnsi="Times New Roman"/>
                  <w:sz w:val="18"/>
                  <w:szCs w:val="18"/>
                  <w:color w:val="0000EE"/>
                  <w:w w:val="99"/>
                </w:rPr>
                <w:t>U.S. Bank National Association as collateral agent, dated</w:t>
              </w:r>
            </w:hyperlink>
          </w:p>
        </w:tc>
        <w:tc>
          <w:tcPr>
            <w:tcW w:w="100" w:type="dxa"/>
            <w:vAlign w:val="bottom"/>
            <w:tcBorders>
              <w:top w:val="single" w:sz="8" w:color="0000EE"/>
            </w:tcBorders>
            <w:gridSpan w:val="5"/>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313">
              <w:r>
                <w:rPr>
                  <w:rFonts w:ascii="Times New Roman" w:cs="Times New Roman" w:eastAsia="Times New Roman" w:hAnsi="Times New Roman"/>
                  <w:sz w:val="18"/>
                  <w:szCs w:val="18"/>
                  <w:color w:val="0000EE"/>
                  <w:w w:val="98"/>
                </w:rPr>
                <w:t>as of May 14, 2021</w:t>
              </w:r>
            </w:hyperlink>
          </w:p>
        </w:tc>
        <w:tc>
          <w:tcPr>
            <w:tcW w:w="29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10.28+</w:t>
            </w:r>
          </w:p>
        </w:tc>
        <w:tc>
          <w:tcPr>
            <w:tcW w:w="440" w:type="dxa"/>
            <w:vAlign w:val="bottom"/>
          </w:tcPr>
          <w:p>
            <w:pPr>
              <w:spacing w:after="0"/>
              <w:rPr>
                <w:sz w:val="24"/>
                <w:szCs w:val="24"/>
                <w:color w:val="auto"/>
              </w:rPr>
            </w:pPr>
          </w:p>
        </w:tc>
        <w:tc>
          <w:tcPr>
            <w:tcW w:w="41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Amendment No. 1 to the Support Agreement, dated as of</w:t>
            </w:r>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June 9, 2021, by and among Roivant Sciences Ltd., Montes</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gridSpan w:val="7"/>
            <w:shd w:val="clear" w:color="auto" w:fill="0000EE"/>
          </w:tcPr>
          <w:p>
            <w:pPr>
              <w:spacing w:after="0" w:line="20" w:lineRule="exact"/>
              <w:rPr>
                <w:sz w:val="1"/>
                <w:szCs w:val="1"/>
                <w:color w:val="auto"/>
              </w:rPr>
            </w:pPr>
          </w:p>
        </w:tc>
        <w:tc>
          <w:tcPr>
            <w:tcW w:w="700" w:type="dxa"/>
            <w:vAlign w:val="bottom"/>
            <w:gridSpan w:val="1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Archimedes Acquisition Corp., Patient Square Capital LLC</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and certain shareholders of Roivant Sciences Ltd.</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4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3560" w:type="dxa"/>
            <w:vAlign w:val="bottom"/>
            <w:tcBorders>
              <w:top w:val="single" w:sz="8" w:color="0000EE"/>
            </w:tcBorders>
            <w:gridSpan w:val="6"/>
          </w:tcPr>
          <w:p>
            <w:pPr>
              <w:spacing w:after="0"/>
              <w:rPr>
                <w:sz w:val="24"/>
                <w:szCs w:val="24"/>
                <w:color w:val="auto"/>
              </w:rPr>
            </w:pPr>
          </w:p>
        </w:tc>
        <w:tc>
          <w:tcPr>
            <w:tcW w:w="780" w:type="dxa"/>
            <w:vAlign w:val="bottom"/>
            <w:gridSpan w:val="18"/>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2"/>
        </w:trPr>
        <w:tc>
          <w:tcPr>
            <w:tcW w:w="5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440" w:type="dxa"/>
            <w:vAlign w:val="bottom"/>
          </w:tcPr>
          <w:p>
            <w:pPr>
              <w:spacing w:after="0"/>
              <w:rPr>
                <w:sz w:val="12"/>
                <w:szCs w:val="12"/>
                <w:color w:val="auto"/>
              </w:rPr>
            </w:pPr>
          </w:p>
        </w:tc>
        <w:tc>
          <w:tcPr>
            <w:tcW w:w="11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10.24</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10.25</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S-8</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333-260173</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October 8, 2021</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10.27</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10.28</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10.29</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10.30</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10.31</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960" w:val="left"/>
          <w:tab w:leader="none" w:pos="2500" w:val="left"/>
          <w:tab w:leader="none" w:pos="3500" w:val="left"/>
        </w:tabs>
        <w:rPr>
          <w:sz w:val="20"/>
          <w:szCs w:val="20"/>
          <w:color w:val="auto"/>
        </w:rPr>
      </w:pPr>
      <w:r>
        <w:rPr>
          <w:rFonts w:ascii="Times New Roman" w:cs="Times New Roman" w:eastAsia="Times New Roman" w:hAnsi="Times New Roman"/>
          <w:sz w:val="18"/>
          <w:szCs w:val="18"/>
          <w:color w:val="auto"/>
        </w:rPr>
        <w:t>S-4/A</w:t>
      </w:r>
      <w:r>
        <w:rPr>
          <w:sz w:val="20"/>
          <w:szCs w:val="20"/>
          <w:color w:val="auto"/>
        </w:rPr>
        <w:tab/>
      </w:r>
      <w:r>
        <w:rPr>
          <w:rFonts w:ascii="Times New Roman" w:cs="Times New Roman" w:eastAsia="Times New Roman" w:hAnsi="Times New Roman"/>
          <w:sz w:val="18"/>
          <w:szCs w:val="18"/>
          <w:color w:val="auto"/>
        </w:rPr>
        <w:t>333-256165</w:t>
      </w:r>
      <w:r>
        <w:rPr>
          <w:sz w:val="20"/>
          <w:szCs w:val="20"/>
          <w:color w:val="auto"/>
        </w:rPr>
        <w:tab/>
      </w: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7"/>
          <w:szCs w:val="17"/>
          <w:color w:val="auto"/>
        </w:rPr>
        <w:t>July 1,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960" w:val="left"/>
          <w:tab w:leader="none" w:pos="2500" w:val="left"/>
          <w:tab w:leader="none" w:pos="3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ectPr>
          <w:pgSz w:w="11900" w:h="16838" w:orient="portrait"/>
          <w:cols w:equalWidth="0" w:num="2">
            <w:col w:w="5760" w:space="360"/>
            <w:col w:w="5020"/>
          </w:cols>
          <w:pgMar w:left="320" w:top="482"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20" w:type="dxa"/>
            <w:vAlign w:val="bottom"/>
            <w:gridSpan w:val="2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20" w:type="dxa"/>
            <w:vAlign w:val="bottom"/>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10.29*</w:t>
            </w:r>
          </w:p>
        </w:tc>
        <w:tc>
          <w:tcPr>
            <w:tcW w:w="340" w:type="dxa"/>
            <w:vAlign w:val="bottom"/>
          </w:tcPr>
          <w:p>
            <w:pPr>
              <w:spacing w:after="0"/>
              <w:rPr>
                <w:sz w:val="22"/>
                <w:szCs w:val="22"/>
                <w:color w:val="auto"/>
              </w:rPr>
            </w:pPr>
          </w:p>
        </w:tc>
        <w:tc>
          <w:tcPr>
            <w:tcW w:w="4120" w:type="dxa"/>
            <w:vAlign w:val="bottom"/>
            <w:tcBorders>
              <w:top w:val="single" w:sz="8" w:color="auto"/>
              <w:bottom w:val="single" w:sz="8" w:color="0000EE"/>
            </w:tcBorders>
            <w:gridSpan w:val="18"/>
          </w:tcPr>
          <w:p>
            <w:pPr>
              <w:spacing w:after="0"/>
              <w:rPr>
                <w:rFonts w:ascii="Times New Roman" w:cs="Times New Roman" w:eastAsia="Times New Roman" w:hAnsi="Times New Roman"/>
                <w:sz w:val="18"/>
                <w:szCs w:val="18"/>
                <w:color w:val="0000EE"/>
                <w:w w:val="99"/>
              </w:rPr>
            </w:pPr>
            <w:hyperlink r:id="rId315">
              <w:r>
                <w:rPr>
                  <w:rFonts w:ascii="Times New Roman" w:cs="Times New Roman" w:eastAsia="Times New Roman" w:hAnsi="Times New Roman"/>
                  <w:sz w:val="18"/>
                  <w:szCs w:val="18"/>
                  <w:color w:val="0000EE"/>
                  <w:w w:val="99"/>
                </w:rPr>
                <w:t>Amendment No. 2 to the Support Agreement, dated as of</w:t>
              </w:r>
            </w:hyperlink>
          </w:p>
        </w:tc>
        <w:tc>
          <w:tcPr>
            <w:tcW w:w="280" w:type="dxa"/>
            <w:vAlign w:val="bottom"/>
            <w:tcBorders>
              <w:top w:val="single" w:sz="8" w:color="auto"/>
            </w:tcBorders>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315">
              <w:r>
                <w:rPr>
                  <w:rFonts w:ascii="Times New Roman" w:cs="Times New Roman" w:eastAsia="Times New Roman" w:hAnsi="Times New Roman"/>
                  <w:sz w:val="18"/>
                  <w:szCs w:val="18"/>
                  <w:color w:val="0000EE"/>
                  <w:w w:val="99"/>
                </w:rPr>
                <w:t>September 30, 2021, by and among Roivant Sciences Ltd.,</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315">
              <w:r>
                <w:rPr>
                  <w:rFonts w:ascii="Times New Roman" w:cs="Times New Roman" w:eastAsia="Times New Roman" w:hAnsi="Times New Roman"/>
                  <w:sz w:val="18"/>
                  <w:szCs w:val="18"/>
                  <w:color w:val="0000EE"/>
                  <w:w w:val="99"/>
                </w:rPr>
                <w:t>Montes Archimedes Acquisition Corp., Patient Square</w:t>
              </w:r>
            </w:hyperlink>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315">
              <w:r>
                <w:rPr>
                  <w:rFonts w:ascii="Times New Roman" w:cs="Times New Roman" w:eastAsia="Times New Roman" w:hAnsi="Times New Roman"/>
                  <w:sz w:val="18"/>
                  <w:szCs w:val="18"/>
                  <w:color w:val="0000EE"/>
                  <w:w w:val="99"/>
                </w:rPr>
                <w:t>Capital LLC and certain shareholders of Roivant Sciences</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0" w:type="dxa"/>
            <w:vAlign w:val="bottom"/>
            <w:gridSpan w:val="27"/>
          </w:tcPr>
          <w:p>
            <w:pPr>
              <w:spacing w:after="0" w:line="196"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Ltd.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10.30*^</w:t>
            </w:r>
          </w:p>
        </w:tc>
        <w:tc>
          <w:tcPr>
            <w:tcW w:w="340" w:type="dxa"/>
            <w:vAlign w:val="bottom"/>
          </w:tcPr>
          <w:p>
            <w:pPr>
              <w:spacing w:after="0"/>
              <w:rPr>
                <w:sz w:val="24"/>
                <w:szCs w:val="24"/>
                <w:color w:val="auto"/>
              </w:rPr>
            </w:pPr>
          </w:p>
        </w:tc>
        <w:tc>
          <w:tcPr>
            <w:tcW w:w="4400" w:type="dxa"/>
            <w:vAlign w:val="bottom"/>
            <w:gridSpan w:val="27"/>
          </w:tcPr>
          <w:p>
            <w:pPr>
              <w:spacing w:after="0"/>
              <w:rPr>
                <w:rFonts w:ascii="Times New Roman" w:cs="Times New Roman" w:eastAsia="Times New Roman" w:hAnsi="Times New Roman"/>
                <w:sz w:val="18"/>
                <w:szCs w:val="18"/>
                <w:color w:val="0000EE"/>
              </w:rPr>
            </w:pPr>
            <w:hyperlink r:id="rId316">
              <w:r>
                <w:rPr>
                  <w:rFonts w:ascii="Times New Roman" w:cs="Times New Roman" w:eastAsia="Times New Roman" w:hAnsi="Times New Roman"/>
                  <w:sz w:val="18"/>
                  <w:szCs w:val="18"/>
                  <w:color w:val="0000EE"/>
                </w:rPr>
                <w:t>Roivant Sciences Ltd. Employee Stock Purchase Plan</w:t>
              </w:r>
            </w:hyperlink>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10.31#†*</w:t>
            </w:r>
          </w:p>
        </w:tc>
        <w:tc>
          <w:tcPr>
            <w:tcW w:w="42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17">
              <w:r>
                <w:rPr>
                  <w:rFonts w:ascii="Times New Roman" w:cs="Times New Roman" w:eastAsia="Times New Roman" w:hAnsi="Times New Roman"/>
                  <w:sz w:val="18"/>
                  <w:szCs w:val="18"/>
                  <w:color w:val="0000EE"/>
                  <w:w w:val="99"/>
                </w:rPr>
                <w:t>Agreement and General Release Between Roivant Sciences</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17">
              <w:r>
                <w:rPr>
                  <w:rFonts w:ascii="Times New Roman" w:cs="Times New Roman" w:eastAsia="Times New Roman" w:hAnsi="Times New Roman"/>
                  <w:sz w:val="18"/>
                  <w:szCs w:val="18"/>
                  <w:color w:val="0000EE"/>
                  <w:w w:val="99"/>
                </w:rPr>
                <w:t>Ltd., Roivant Sciences, Inc. and Benjamin Zimmer</w:t>
              </w:r>
            </w:hyperlink>
          </w:p>
        </w:tc>
        <w:tc>
          <w:tcPr>
            <w:tcW w:w="7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10.32#*</w:t>
            </w:r>
          </w:p>
        </w:tc>
        <w:tc>
          <w:tcPr>
            <w:tcW w:w="340" w:type="dxa"/>
            <w:vAlign w:val="bottom"/>
          </w:tcPr>
          <w:p>
            <w:pPr>
              <w:spacing w:after="0"/>
              <w:rPr>
                <w:sz w:val="24"/>
                <w:szCs w:val="24"/>
                <w:color w:val="auto"/>
              </w:rPr>
            </w:pPr>
          </w:p>
        </w:tc>
        <w:tc>
          <w:tcPr>
            <w:tcW w:w="39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18">
              <w:r>
                <w:rPr>
                  <w:rFonts w:ascii="Times New Roman" w:cs="Times New Roman" w:eastAsia="Times New Roman" w:hAnsi="Times New Roman"/>
                  <w:sz w:val="18"/>
                  <w:szCs w:val="18"/>
                  <w:color w:val="0000EE"/>
                  <w:w w:val="99"/>
                </w:rPr>
                <w:t>Third Amendment to Cross License Agreement, dated</w:t>
              </w:r>
            </w:hyperlink>
          </w:p>
        </w:tc>
        <w:tc>
          <w:tcPr>
            <w:tcW w:w="5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0" w:type="dxa"/>
            <w:vAlign w:val="bottom"/>
            <w:gridSpan w:val="27"/>
          </w:tcPr>
          <w:p>
            <w:pPr>
              <w:spacing w:after="0" w:line="196" w:lineRule="exact"/>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December 9, 2021, by and between Genevant Sciences</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18">
              <w:r>
                <w:rPr>
                  <w:rFonts w:ascii="Times New Roman" w:cs="Times New Roman" w:eastAsia="Times New Roman" w:hAnsi="Times New Roman"/>
                  <w:sz w:val="18"/>
                  <w:szCs w:val="18"/>
                  <w:color w:val="0000EE"/>
                  <w:w w:val="99"/>
                </w:rPr>
                <w:t>GmbH and Arbutus Biopharma Corporation</w:t>
              </w:r>
            </w:hyperlink>
          </w:p>
        </w:tc>
        <w:tc>
          <w:tcPr>
            <w:tcW w:w="760" w:type="dxa"/>
            <w:vAlign w:val="bottom"/>
            <w:tcBorders>
              <w:top w:val="single" w:sz="8" w:color="0000EE"/>
            </w:tcBorders>
            <w:gridSpan w:val="8"/>
          </w:tcPr>
          <w:p>
            <w:pPr>
              <w:spacing w:after="0"/>
              <w:rPr>
                <w:sz w:val="17"/>
                <w:szCs w:val="17"/>
                <w:color w:val="auto"/>
              </w:rPr>
            </w:pPr>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10.33*</w:t>
            </w:r>
          </w:p>
        </w:tc>
        <w:tc>
          <w:tcPr>
            <w:tcW w:w="340" w:type="dxa"/>
            <w:vAlign w:val="bottom"/>
          </w:tcPr>
          <w:p>
            <w:pPr>
              <w:spacing w:after="0"/>
              <w:rPr>
                <w:sz w:val="24"/>
                <w:szCs w:val="24"/>
                <w:color w:val="auto"/>
              </w:rPr>
            </w:pPr>
          </w:p>
        </w:tc>
        <w:tc>
          <w:tcPr>
            <w:tcW w:w="43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8"/>
              </w:rPr>
            </w:pPr>
            <w:hyperlink r:id="rId319">
              <w:r>
                <w:rPr>
                  <w:rFonts w:ascii="Times New Roman" w:cs="Times New Roman" w:eastAsia="Times New Roman" w:hAnsi="Times New Roman"/>
                  <w:sz w:val="18"/>
                  <w:szCs w:val="18"/>
                  <w:color w:val="0000EE"/>
                  <w:w w:val="98"/>
                </w:rPr>
                <w:t>Bonus Award Letter from Roivant Sciences Inc. to Benjamin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319">
              <w:r>
                <w:rPr>
                  <w:rFonts w:ascii="Times New Roman" w:cs="Times New Roman" w:eastAsia="Times New Roman" w:hAnsi="Times New Roman"/>
                  <w:sz w:val="18"/>
                  <w:szCs w:val="18"/>
                  <w:color w:val="0000EE"/>
                  <w:w w:val="98"/>
                </w:rPr>
                <w:t>Zimmer, dated as of December 21, 2021</w:t>
              </w:r>
            </w:hyperlink>
          </w:p>
        </w:tc>
        <w:tc>
          <w:tcPr>
            <w:tcW w:w="15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10.34#†*</w:t>
            </w:r>
          </w:p>
        </w:tc>
        <w:tc>
          <w:tcPr>
            <w:tcW w:w="41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20">
              <w:r>
                <w:rPr>
                  <w:rFonts w:ascii="Times New Roman" w:cs="Times New Roman" w:eastAsia="Times New Roman" w:hAnsi="Times New Roman"/>
                  <w:sz w:val="18"/>
                  <w:szCs w:val="18"/>
                  <w:color w:val="0000EE"/>
                  <w:w w:val="99"/>
                </w:rPr>
                <w:t>Exclusive License Agreement, dated as of November 24,</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320">
              <w:r>
                <w:rPr>
                  <w:rFonts w:ascii="Times New Roman" w:cs="Times New Roman" w:eastAsia="Times New Roman" w:hAnsi="Times New Roman"/>
                  <w:sz w:val="18"/>
                  <w:szCs w:val="18"/>
                  <w:color w:val="0000EE"/>
                  <w:w w:val="99"/>
                </w:rPr>
                <w:t>2021, by and between Eisai Co. Ltd and Pharmavant 7</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0" w:type="dxa"/>
            <w:vAlign w:val="bottom"/>
            <w:gridSpan w:val="27"/>
          </w:tcPr>
          <w:p>
            <w:pPr>
              <w:spacing w:after="0" w:line="196"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GmbH</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10.35#*</w:t>
            </w:r>
          </w:p>
        </w:tc>
        <w:tc>
          <w:tcPr>
            <w:tcW w:w="340" w:type="dxa"/>
            <w:vAlign w:val="bottom"/>
          </w:tcPr>
          <w:p>
            <w:pPr>
              <w:spacing w:after="0"/>
              <w:rPr>
                <w:sz w:val="24"/>
                <w:szCs w:val="24"/>
                <w:color w:val="auto"/>
              </w:rPr>
            </w:pPr>
          </w:p>
        </w:tc>
        <w:tc>
          <w:tcPr>
            <w:tcW w:w="36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21">
              <w:r>
                <w:rPr>
                  <w:rFonts w:ascii="Times New Roman" w:cs="Times New Roman" w:eastAsia="Times New Roman" w:hAnsi="Times New Roman"/>
                  <w:sz w:val="18"/>
                  <w:szCs w:val="18"/>
                  <w:color w:val="0000EE"/>
                  <w:w w:val="99"/>
                </w:rPr>
                <w:t>Common Shares Purchase Agreement, dated as of</w:t>
              </w:r>
            </w:hyperlink>
          </w:p>
        </w:tc>
        <w:tc>
          <w:tcPr>
            <w:tcW w:w="8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0" w:type="dxa"/>
            <w:vAlign w:val="bottom"/>
            <w:gridSpan w:val="27"/>
          </w:tcPr>
          <w:p>
            <w:pPr>
              <w:spacing w:after="0" w:line="196" w:lineRule="exact"/>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February 14, 2022, by and between Roivant Sciences Ltd.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21">
              <w:r>
                <w:rPr>
                  <w:rFonts w:ascii="Times New Roman" w:cs="Times New Roman" w:eastAsia="Times New Roman" w:hAnsi="Times New Roman"/>
                  <w:sz w:val="18"/>
                  <w:szCs w:val="18"/>
                  <w:color w:val="0000EE"/>
                  <w:w w:val="99"/>
                </w:rPr>
                <w:t>and CF Principal Investments LLC</w:t>
              </w:r>
            </w:hyperlink>
          </w:p>
        </w:tc>
        <w:tc>
          <w:tcPr>
            <w:tcW w:w="1640" w:type="dxa"/>
            <w:vAlign w:val="bottom"/>
            <w:tcBorders>
              <w:top w:val="single" w:sz="8" w:color="0000EE"/>
            </w:tcBorders>
            <w:gridSpan w:val="15"/>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10.36#†</w:t>
            </w:r>
          </w:p>
        </w:tc>
        <w:tc>
          <w:tcPr>
            <w:tcW w:w="43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Investor Rights Agreement, dated as of September 13, 2021,</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by and among Priovant Holdings, Inc., Roivant Sciences</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Ltd. and Pfizer Inc.</w:t>
            </w:r>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10.37#†</w:t>
            </w:r>
          </w:p>
        </w:tc>
        <w:tc>
          <w:tcPr>
            <w:tcW w:w="4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License and Collaboration Agreement, dated as of</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13, 2021, by and between Pfizer Inc. and</w:t>
            </w:r>
          </w:p>
        </w:tc>
        <w:tc>
          <w:tcPr>
            <w:tcW w:w="6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Priovant, Inc.</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920" w:type="dxa"/>
            <w:vAlign w:val="bottom"/>
            <w:gridSpan w:val="11"/>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10.38#</w:t>
            </w:r>
          </w:p>
        </w:tc>
        <w:tc>
          <w:tcPr>
            <w:tcW w:w="340" w:type="dxa"/>
            <w:vAlign w:val="bottom"/>
          </w:tcPr>
          <w:p>
            <w:pPr>
              <w:spacing w:after="0"/>
              <w:rPr>
                <w:sz w:val="24"/>
                <w:szCs w:val="24"/>
                <w:color w:val="auto"/>
              </w:rPr>
            </w:pPr>
          </w:p>
        </w:tc>
        <w:tc>
          <w:tcPr>
            <w:tcW w:w="4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Amendment No. 1 to License and Collaboration Agreement,</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dated as of June 10, 2022, by and between Pfizer Inc. and</w:t>
            </w:r>
          </w:p>
        </w:tc>
        <w:tc>
          <w:tcPr>
            <w:tcW w:w="20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Priovant, Inc.</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18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24"/>
                <w:szCs w:val="24"/>
                <w:color w:val="auto"/>
              </w:rPr>
            </w:pPr>
          </w:p>
        </w:tc>
        <w:tc>
          <w:tcPr>
            <w:tcW w:w="3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List of Subsidiaries of Roivant Sciences Ltd.</w:t>
            </w:r>
          </w:p>
        </w:tc>
        <w:tc>
          <w:tcPr>
            <w:tcW w:w="11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gridSpan w:val="24"/>
          </w:tcPr>
          <w:p>
            <w:pPr>
              <w:ind w:left="4060"/>
              <w:spacing w:after="0"/>
              <w:rPr>
                <w:sz w:val="20"/>
                <w:szCs w:val="20"/>
                <w:color w:val="auto"/>
              </w:rPr>
            </w:pPr>
            <w:r>
              <w:rPr>
                <w:rFonts w:ascii="Times New Roman" w:cs="Times New Roman" w:eastAsia="Times New Roman" w:hAnsi="Times New Roman"/>
                <w:sz w:val="18"/>
                <w:szCs w:val="18"/>
                <w:color w:val="auto"/>
                <w:w w:val="96"/>
              </w:rPr>
              <w:t>234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320" w:type="dxa"/>
            <w:vAlign w:val="bottom"/>
          </w:tcPr>
          <w:p>
            <w:pPr>
              <w:spacing w:after="0"/>
              <w:rPr>
                <w:sz w:val="15"/>
                <w:szCs w:val="15"/>
                <w:color w:val="auto"/>
              </w:rPr>
            </w:pPr>
          </w:p>
        </w:tc>
        <w:tc>
          <w:tcPr>
            <w:tcW w:w="18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2"/>
        </w:trPr>
        <w:tc>
          <w:tcPr>
            <w:tcW w:w="4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340" w:type="dxa"/>
            <w:vAlign w:val="bottom"/>
          </w:tcPr>
          <w:p>
            <w:pPr>
              <w:spacing w:after="0"/>
              <w:rPr>
                <w:sz w:val="12"/>
                <w:szCs w:val="12"/>
                <w:color w:val="auto"/>
              </w:rPr>
            </w:pPr>
          </w:p>
        </w:tc>
        <w:tc>
          <w:tcPr>
            <w:tcW w:w="11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3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2"/>
                <w:szCs w:val="12"/>
                <w:color w:val="auto"/>
              </w:rPr>
            </w:pPr>
          </w:p>
        </w:tc>
        <w:tc>
          <w:tcPr>
            <w:tcW w:w="1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001-40782</w:t>
            </w:r>
          </w:p>
        </w:tc>
        <w:tc>
          <w:tcPr>
            <w:tcW w:w="9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S-8</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333-260173</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99.2</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October 8, 2021</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001-40782</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November 15, 2021</w:t>
            </w:r>
          </w:p>
        </w:tc>
      </w:tr>
      <w:tr>
        <w:trPr>
          <w:trHeight w:val="54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333-261853</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10.37</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22, 2021</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333-261853</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10.38</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22, 2021</w:t>
            </w:r>
          </w:p>
        </w:tc>
      </w:tr>
      <w:tr>
        <w:trPr>
          <w:trHeight w:val="54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001-40782</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14, 2022</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001-40782</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14, 2022</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herewith</w:t>
            </w:r>
          </w:p>
        </w:tc>
      </w:tr>
    </w:tbl>
    <w:p>
      <w:pPr>
        <w:sectPr>
          <w:pgSz w:w="11900" w:h="16838" w:orient="portrait"/>
          <w:cols w:equalWidth="0" w:num="2">
            <w:col w:w="5820" w:space="320"/>
            <w:col w:w="5000"/>
          </w:cols>
          <w:pgMar w:left="320" w:top="482"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160" w:type="dxa"/>
            <w:vAlign w:val="bottom"/>
            <w:gridSpan w:val="10"/>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980" w:type="dxa"/>
            <w:vAlign w:val="bottom"/>
          </w:tcPr>
          <w:p>
            <w:pPr>
              <w:spacing w:after="0"/>
              <w:rPr>
                <w:sz w:val="22"/>
                <w:szCs w:val="22"/>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Public Accounting Firm of Roivant Sciences Ltd.</w:t>
            </w:r>
          </w:p>
        </w:tc>
        <w:tc>
          <w:tcPr>
            <w:tcW w:w="480" w:type="dxa"/>
            <w:vAlign w:val="bottom"/>
            <w:tcBorders>
              <w:top w:val="single" w:sz="8" w:color="0000EE"/>
            </w:tcBorders>
          </w:tcPr>
          <w:p>
            <w:pPr>
              <w:spacing w:after="0"/>
              <w:rPr>
                <w:sz w:val="17"/>
                <w:szCs w:val="17"/>
                <w:color w:val="auto"/>
              </w:rPr>
            </w:pPr>
          </w:p>
        </w:tc>
        <w:tc>
          <w:tcPr>
            <w:tcW w:w="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24.1</w:t>
            </w:r>
          </w:p>
        </w:tc>
        <w:tc>
          <w:tcPr>
            <w:tcW w:w="980" w:type="dxa"/>
            <w:vAlign w:val="bottom"/>
          </w:tcPr>
          <w:p>
            <w:pPr>
              <w:spacing w:after="0"/>
              <w:rPr>
                <w:sz w:val="24"/>
                <w:szCs w:val="24"/>
                <w:color w:val="auto"/>
              </w:rPr>
            </w:pPr>
          </w:p>
        </w:tc>
        <w:tc>
          <w:tcPr>
            <w:tcW w:w="3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10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980" w:type="dxa"/>
            <w:vAlign w:val="bottom"/>
          </w:tcPr>
          <w:p>
            <w:pPr>
              <w:spacing w:after="0"/>
              <w:rPr>
                <w:sz w:val="24"/>
                <w:szCs w:val="24"/>
                <w:color w:val="auto"/>
              </w:rPr>
            </w:pPr>
          </w:p>
        </w:tc>
        <w:tc>
          <w:tcPr>
            <w:tcW w:w="44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13a-14(a) and 15d-14(a) under the Securities Exchange Act of</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w:t>
            </w:r>
          </w:p>
        </w:tc>
        <w:tc>
          <w:tcPr>
            <w:tcW w:w="2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980" w:type="dxa"/>
            <w:vAlign w:val="bottom"/>
          </w:tcPr>
          <w:p>
            <w:pPr>
              <w:spacing w:after="0"/>
              <w:rPr>
                <w:sz w:val="24"/>
                <w:szCs w:val="24"/>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84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13a-14(a) and 15d-14(a) under the Securities Exchange Act of</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w:t>
            </w:r>
          </w:p>
        </w:tc>
        <w:tc>
          <w:tcPr>
            <w:tcW w:w="2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980" w:type="dxa"/>
            <w:vAlign w:val="bottom"/>
          </w:tcPr>
          <w:p>
            <w:pPr>
              <w:spacing w:after="0"/>
              <w:rPr>
                <w:sz w:val="24"/>
                <w:szCs w:val="24"/>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84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the Sarbanes-Oxley Act of 2002.</w:t>
            </w:r>
          </w:p>
        </w:tc>
        <w:tc>
          <w:tcPr>
            <w:tcW w:w="2020" w:type="dxa"/>
            <w:vAlign w:val="bottom"/>
            <w:tcBorders>
              <w:top w:val="single" w:sz="8" w:color="0000EE"/>
            </w:tcBorders>
            <w:gridSpan w:val="6"/>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980" w:type="dxa"/>
            <w:vAlign w:val="bottom"/>
          </w:tcPr>
          <w:p>
            <w:pPr>
              <w:spacing w:after="0"/>
              <w:rPr>
                <w:sz w:val="24"/>
                <w:szCs w:val="24"/>
                <w:color w:val="auto"/>
              </w:rPr>
            </w:pPr>
          </w:p>
        </w:tc>
        <w:tc>
          <w:tcPr>
            <w:tcW w:w="42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w:t>
            </w:r>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the Sarbanes-Oxley Act of 2002.</w:t>
            </w:r>
          </w:p>
        </w:tc>
        <w:tc>
          <w:tcPr>
            <w:tcW w:w="2020" w:type="dxa"/>
            <w:vAlign w:val="bottom"/>
            <w:tcBorders>
              <w:top w:val="single" w:sz="8" w:color="0000EE"/>
            </w:tcBorders>
            <w:gridSpan w:val="6"/>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0" w:type="dxa"/>
            <w:vAlign w:val="bottom"/>
          </w:tcPr>
          <w:p>
            <w:pPr>
              <w:spacing w:after="0"/>
              <w:rPr>
                <w:sz w:val="24"/>
                <w:szCs w:val="24"/>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54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9"/>
              </w:rPr>
              <w:t>101.SCH</w:t>
            </w:r>
          </w:p>
        </w:tc>
        <w:tc>
          <w:tcPr>
            <w:tcW w:w="980" w:type="dxa"/>
            <w:vAlign w:val="bottom"/>
          </w:tcPr>
          <w:p>
            <w:pPr>
              <w:spacing w:after="0"/>
              <w:rPr>
                <w:sz w:val="24"/>
                <w:szCs w:val="24"/>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52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101.CAL</w:t>
            </w:r>
          </w:p>
        </w:tc>
        <w:tc>
          <w:tcPr>
            <w:tcW w:w="980" w:type="dxa"/>
            <w:vAlign w:val="bottom"/>
          </w:tcPr>
          <w:p>
            <w:pPr>
              <w:spacing w:after="0"/>
              <w:rPr>
                <w:sz w:val="24"/>
                <w:szCs w:val="24"/>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0" w:type="dxa"/>
            <w:vAlign w:val="bottom"/>
          </w:tcPr>
          <w:p>
            <w:pPr>
              <w:spacing w:after="0"/>
              <w:rPr>
                <w:sz w:val="24"/>
                <w:szCs w:val="24"/>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101.LAB</w:t>
            </w:r>
          </w:p>
        </w:tc>
        <w:tc>
          <w:tcPr>
            <w:tcW w:w="980" w:type="dxa"/>
            <w:vAlign w:val="bottom"/>
          </w:tcPr>
          <w:p>
            <w:pPr>
              <w:spacing w:after="0"/>
              <w:rPr>
                <w:sz w:val="24"/>
                <w:szCs w:val="24"/>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Inline XBRL Taxonomy Extension Label Linkbase Document</w:t>
            </w:r>
          </w:p>
        </w:tc>
        <w:tc>
          <w:tcPr>
            <w:tcW w:w="0" w:type="dxa"/>
            <w:vAlign w:val="bottom"/>
          </w:tcPr>
          <w:p>
            <w:pPr>
              <w:spacing w:after="0"/>
              <w:rPr>
                <w:sz w:val="1"/>
                <w:szCs w:val="1"/>
                <w:color w:val="auto"/>
              </w:rPr>
            </w:pPr>
          </w:p>
        </w:tc>
      </w:tr>
      <w:tr>
        <w:trPr>
          <w:trHeight w:val="52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0" w:type="dxa"/>
            <w:vAlign w:val="bottom"/>
          </w:tcPr>
          <w:p>
            <w:pPr>
              <w:spacing w:after="0"/>
              <w:rPr>
                <w:sz w:val="24"/>
                <w:szCs w:val="24"/>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4"/>
                <w:szCs w:val="24"/>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5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0" w:type="dxa"/>
            <w:vAlign w:val="bottom"/>
          </w:tcPr>
          <w:p>
            <w:pPr>
              <w:spacing w:after="0"/>
              <w:rPr>
                <w:sz w:val="1"/>
                <w:szCs w:val="1"/>
                <w:color w:val="auto"/>
              </w:rPr>
            </w:pPr>
          </w:p>
        </w:tc>
      </w:tr>
      <w:tr>
        <w:trPr>
          <w:trHeight w:val="364"/>
        </w:trPr>
        <w:tc>
          <w:tcPr>
            <w:tcW w:w="680" w:type="dxa"/>
            <w:vAlign w:val="bottom"/>
          </w:tcPr>
          <w:p>
            <w:pPr>
              <w:spacing w:after="0"/>
              <w:rPr>
                <w:sz w:val="24"/>
                <w:szCs w:val="24"/>
                <w:color w:val="auto"/>
              </w:rPr>
            </w:pPr>
          </w:p>
        </w:tc>
        <w:tc>
          <w:tcPr>
            <w:tcW w:w="50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46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17"/>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780" w:type="dxa"/>
            <w:vAlign w:val="bottom"/>
          </w:tcPr>
          <w:p>
            <w:pPr>
              <w:spacing w:after="0"/>
              <w:rPr>
                <w:sz w:val="10"/>
                <w:szCs w:val="10"/>
                <w:color w:val="auto"/>
              </w:rPr>
            </w:pPr>
          </w:p>
        </w:tc>
        <w:tc>
          <w:tcPr>
            <w:tcW w:w="10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7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 w:type="dxa"/>
            <w:vAlign w:val="bottom"/>
            <w:tcBorders>
              <w:bottom w:val="single" w:sz="8" w:color="auto"/>
            </w:tcBorders>
            <w:vMerge w:val="continue"/>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No.</w:t>
            </w:r>
          </w:p>
        </w:tc>
        <w:tc>
          <w:tcPr>
            <w:tcW w:w="76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8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73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73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52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52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bl>
    <w:p>
      <w:pPr>
        <w:sectPr>
          <w:pgSz w:w="11900" w:h="16838" w:orient="portrait"/>
          <w:cols w:equalWidth="0" w:num="2">
            <w:col w:w="6340" w:space="720"/>
            <w:col w:w="4080"/>
          </w:cols>
          <w:pgMar w:left="320" w:top="482"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60" w:hanging="424"/>
        <w:spacing w:after="0" w:line="261"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they are both (i) not material and (ii) would likely cause competitive harm to Roivant Sciences Ltd. if publicly disclosed.</w:t>
      </w:r>
    </w:p>
    <w:p>
      <w:pPr>
        <w:ind w:left="54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was previously filed with the Company’s Form S-4 (File No. 333-256165). For administrative convenience, the Company has re-filed this exhibit with this Form 10-K.</w:t>
      </w:r>
    </w:p>
    <w:p>
      <w:pPr>
        <w:spacing w:after="0" w:line="1" w:lineRule="exact"/>
        <w:rPr>
          <w:sz w:val="20"/>
          <w:szCs w:val="20"/>
          <w:color w:val="auto"/>
        </w:rPr>
      </w:pPr>
    </w:p>
    <w:p>
      <w:pPr>
        <w:ind w:left="540" w:right="460" w:hanging="424"/>
        <w:spacing w:after="0" w:line="250" w:lineRule="auto"/>
        <w:tabs>
          <w:tab w:leader="none" w:pos="540" w:val="left"/>
        </w:tabs>
        <w:numPr>
          <w:ilvl w:val="0"/>
          <w:numId w:val="1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1"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sz w:val="20"/>
          <w:szCs w:val="20"/>
          <w:color w:val="auto"/>
        </w:rPr>
      </w:pPr>
    </w:p>
    <w:p>
      <w:pPr>
        <w:ind w:left="540" w:right="60" w:hanging="424"/>
        <w:spacing w:after="0" w:line="250"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Annual Report on Form 10-K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 w:lineRule="exact"/>
        <w:rPr>
          <w:sz w:val="20"/>
          <w:szCs w:val="20"/>
          <w:color w:val="auto"/>
        </w:rPr>
      </w:pPr>
    </w:p>
    <w:p>
      <w:pPr>
        <w:jc w:val="center"/>
        <w:ind w:left="5480" w:right="800" w:hanging="5364"/>
        <w:spacing w:after="0" w:line="433" w:lineRule="auto"/>
        <w:tabs>
          <w:tab w:leader="none" w:pos="53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to this Form 10-K pursuant to Item 15(b). 236</w:t>
      </w:r>
    </w:p>
    <w:p>
      <w:pPr>
        <w:sectPr>
          <w:pgSz w:w="11900" w:h="16838" w:orient="portrait"/>
          <w:cols w:equalWidth="0" w:num="1">
            <w:col w:w="11080"/>
          </w:cols>
          <w:pgMar w:left="320" w:top="482" w:right="4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4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Roivant Sciences Ltd.</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June 28, 2022</w:t>
            </w:r>
          </w:p>
        </w:tc>
        <w:tc>
          <w:tcPr>
            <w:tcW w:w="74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Matt Maisak</w:t>
            </w:r>
          </w:p>
        </w:tc>
      </w:tr>
      <w:tr>
        <w:trPr>
          <w:trHeight w:val="191"/>
        </w:trPr>
        <w:tc>
          <w:tcPr>
            <w:tcW w:w="3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Matt Maisak</w:t>
            </w:r>
          </w:p>
        </w:tc>
      </w:tr>
      <w:tr>
        <w:trPr>
          <w:trHeight w:val="234"/>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Richard Pulik, Jo Chen and Matt Maisak, as their true and lawful attorney-in-fact and agent, with full power of substitution and resubstitution, for such person and in his or her name, place and stead, in any and all capacities, to sign any and all amendments to the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could do in person, hereby ratifying and confirming all that said attorney-in-fact and agent, or his substitutes, may lawfully do or cause to be done by virtue hereof.</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620" w:type="dxa"/>
            <w:vAlign w:val="bottom"/>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Matthew Gline</w:t>
            </w: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Matthew Gline</w:t>
            </w:r>
          </w:p>
        </w:tc>
        <w:tc>
          <w:tcPr>
            <w:tcW w:w="41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Richard Pulik</w:t>
            </w: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Pulik</w:t>
            </w: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Rakhi Kumar</w:t>
            </w: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Rakhi Kumar</w:t>
            </w:r>
          </w:p>
        </w:tc>
        <w:tc>
          <w:tcPr>
            <w:tcW w:w="41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Vivek Ramaswamy</w:t>
            </w: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Vivek Ramaswamy</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Andrew Lo</w:t>
            </w: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Lo</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Keith Manchester</w:t>
            </w: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Keith Manchester</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Ilan Oren</w:t>
            </w: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Ilan Oren</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60"/>
        </w:trPr>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620" w:type="dxa"/>
            <w:vAlign w:val="bottom"/>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Daniel Gold</w:t>
            </w:r>
          </w:p>
        </w:tc>
        <w:tc>
          <w:tcPr>
            <w:tcW w:w="36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Daniel Gold</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Masayo Tada</w:t>
            </w:r>
          </w:p>
        </w:tc>
        <w:tc>
          <w:tcPr>
            <w:tcW w:w="36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Masayo Tada</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Patrick Machado</w:t>
            </w:r>
          </w:p>
        </w:tc>
        <w:tc>
          <w:tcPr>
            <w:tcW w:w="36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Patrick Machado</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James C. Momtazee</w:t>
            </w:r>
          </w:p>
        </w:tc>
        <w:tc>
          <w:tcPr>
            <w:tcW w:w="36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C. Momtazee</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60"/>
        </w:trPr>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139"/>
          </w:cols>
          <w:pgMar w:left="320" w:top="482" w:right="1440"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MONTES ARCHIMEDES ACQUISITION CORP.,</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RHINE MERGER SUB,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DATED AS OF MAY 1, 2021</w:t>
      </w:r>
    </w:p>
    <w:p>
      <w:pPr>
        <w:sectPr>
          <w:pgSz w:w="11900" w:h="16838" w:orient="portrait"/>
          <w:cols w:equalWidth="0" w:num="1">
            <w:col w:w="10020"/>
          </w:cols>
          <w:pgMar w:left="1440" w:top="117" w:right="4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7940" w:type="dxa"/>
            <w:vAlign w:val="bottom"/>
            <w:gridSpan w:val="3"/>
          </w:tcPr>
          <w:p>
            <w:pPr>
              <w:ind w:left="3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72"/>
        </w:trPr>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448"/>
        </w:trPr>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1 CERTAIN DEFINITIONS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9"/>
        </w:trPr>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2 MERGER</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Closing Transactions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Closing of the Transactions Contemplated by this Agreement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Fractional Shares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Transfer Agent Matters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Withholding</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9"/>
        </w:trPr>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3 REPRESENTATIONS AND WARRANTIES RELATING TO THE GROUP COMPANIES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Capitalization of the Group Companies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Authority</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Financial Statements; Undisclosed Liabilities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Consents and Requisite Governmental Approvals; No Violations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Permits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Material Contracts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Absence of Changes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Merger Sub Activities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Employee Plans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Environmental Matters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Labor Matters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3.17</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3.18</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Brokers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3.19</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Real and Personal Property</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3.20</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3.21</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3.22</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3.23</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Information Supplied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3.24</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Regulatory Compliance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3.25</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Investment Company Act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3.26</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SEC Filings and Matters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3.27</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 Other Representations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3.28</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EXCLUSIVITY OF REPRESENTATIONS AND WARRANTIES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9"/>
        </w:trPr>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4 REPRESENTATIONS AND WARRANTIES RELATING TO MAAC</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57" w:right="4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Consents and Requisite Governmental Approvals; No Violations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Supplied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Capitalization of MAAC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Filings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 Account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4.9</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MAAC Material Adverse Effect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Contracts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4.11</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4.12</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4.13</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4.14</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MAAC’s Business Activities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4.15</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Internal Controls; Listing; Financial Statements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4.16</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4.17</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4.18</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4.19</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4.20</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PIPE Financing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4.21</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Investigation; No Other Representations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4.22</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EXCLUSIVITY OF REPRESENTATIONS AND WARRANTIES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19"/>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5 COVENANTS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Conduct of Business of the Group Companies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Efforts to Consummate; Transaction Litigation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 and Access to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Announcements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Exclusive Dealing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Preparation of Registration Statement / Proxy Statement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MAAC Shareholder Approval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 Sub Shareholder Approval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Conduct of Business of MAAC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Nasdaq Listing; MAAC Public Filings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 Account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Shareholder Approval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MAAC Indemnification; Directors’ and Officers’ Insurance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Indemnification; Directors’ and Officers’ Insurance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5.16</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Post-Closing Directors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5.17</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PCAOB Financials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5.18</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Post-Closing Incentive Equity Plan; Company Post-Closing Employee Stock 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5.19</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Pre-Closing Steps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5.20</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Related Party Transactions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5.21</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Conduct of Business of Merger Sub</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5.22</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Certain Events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5.23</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PIPE Subscription Agreements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34"/>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6 CONDITIONS TO CONSUMMATION OF THE TRANSACTIONS CONTEMPLATED BY THIS AGREEMENT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the Obligations of the Parties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Conditions to the Obligations of MAAC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Conditions to the Obligations of the Company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7 TERMINATION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Termination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19"/>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8 MISCELLANEOUS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Non-Survival</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 Assignment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 and Expenses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8.7</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Interpretation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8.8</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 and Schedules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8.9</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Parties in Interest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8.11</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 Electronic Signatures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8.12</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Knowledge of Company; Knowledge of MAAC</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8.13</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Recourse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8.14</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 Waiver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8.15</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Jury Trial</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8.16</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8.17</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Remedies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8.18</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 Account Waiver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32"/>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ANNEXES AND EXHIBITS</w:t>
            </w:r>
          </w:p>
        </w:tc>
        <w:tc>
          <w:tcPr>
            <w:tcW w:w="2640" w:type="dxa"/>
            <w:vAlign w:val="bottom"/>
          </w:tcPr>
          <w:p>
            <w:pPr>
              <w:spacing w:after="0"/>
              <w:rPr>
                <w:sz w:val="24"/>
                <w:szCs w:val="24"/>
                <w:color w:val="auto"/>
              </w:rPr>
            </w:pP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PIPE Investors</w:t>
            </w:r>
          </w:p>
        </w:tc>
        <w:tc>
          <w:tcPr>
            <w:tcW w:w="2640" w:type="dxa"/>
            <w:vAlign w:val="bottom"/>
          </w:tcPr>
          <w:p>
            <w:pPr>
              <w:spacing w:after="0"/>
              <w:rPr>
                <w:sz w:val="24"/>
                <w:szCs w:val="24"/>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 of PIPE Subscription Agreement</w:t>
            </w:r>
          </w:p>
        </w:tc>
        <w:tc>
          <w:tcPr>
            <w:tcW w:w="2640" w:type="dxa"/>
            <w:vAlign w:val="bottom"/>
          </w:tcPr>
          <w:p>
            <w:pPr>
              <w:spacing w:after="0"/>
              <w:rPr>
                <w:sz w:val="24"/>
                <w:szCs w:val="24"/>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 of Transaction Support Agreement</w:t>
            </w:r>
          </w:p>
        </w:tc>
        <w:tc>
          <w:tcPr>
            <w:tcW w:w="264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 of Registration Rights Agreement</w:t>
            </w:r>
          </w:p>
        </w:tc>
        <w:tc>
          <w:tcPr>
            <w:tcW w:w="264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 of Lock-Up Agreement</w:t>
            </w:r>
          </w:p>
        </w:tc>
        <w:tc>
          <w:tcPr>
            <w:tcW w:w="264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 of Company Post-Closing Bye-laws</w:t>
            </w:r>
          </w:p>
        </w:tc>
        <w:tc>
          <w:tcPr>
            <w:tcW w:w="264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Company Shareholder Written Consent</w:t>
            </w:r>
          </w:p>
        </w:tc>
        <w:tc>
          <w:tcPr>
            <w:tcW w:w="264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 of Roivant Sciences Ltd. 2021 Equity Incentive Plan</w:t>
            </w:r>
          </w:p>
        </w:tc>
        <w:tc>
          <w:tcPr>
            <w:tcW w:w="264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Company Post-Closing Employee Stock Purchase Plan Term Sheet</w:t>
            </w:r>
          </w:p>
        </w:tc>
        <w:tc>
          <w:tcPr>
            <w:tcW w:w="2640" w:type="dxa"/>
            <w:vAlign w:val="bottom"/>
          </w:tcPr>
          <w:p>
            <w:pPr>
              <w:spacing w:after="0"/>
              <w:rPr>
                <w:sz w:val="20"/>
                <w:szCs w:val="20"/>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COMBINATION AGREEMENT</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BUSINESS COMBINATION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1, 2021, is made by and among Montes Archimedes Acquisition Corp., a Delaware corporation (“</w:t>
      </w:r>
      <w:r>
        <w:rPr>
          <w:rFonts w:ascii="Times New Roman" w:cs="Times New Roman" w:eastAsia="Times New Roman" w:hAnsi="Times New Roman"/>
          <w:sz w:val="18"/>
          <w:szCs w:val="18"/>
          <w:u w:val="single" w:color="auto"/>
          <w:color w:val="auto"/>
        </w:rPr>
        <w:t>MAAC</w:t>
      </w:r>
      <w:r>
        <w:rPr>
          <w:rFonts w:ascii="Times New Roman" w:cs="Times New Roman" w:eastAsia="Times New Roman" w:hAnsi="Times New Roman"/>
          <w:sz w:val="18"/>
          <w:szCs w:val="18"/>
          <w:color w:val="auto"/>
        </w:rPr>
        <w:t>”), Roivant Sciences Ltd., a Bermuda exempted limited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Rhine Merger Sub, Inc., a Delaware corporation and a direct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MAAC, the Company and Merger Sub shall be referred to herein from time to time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Capitalized terms used but not otherwise defined herein have the meanings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WHEREAS, (a) MAAC is a blank check company incorporated as a Delaware corporation on July 6, 2020 for the purpose of effecting a merger, capital stock exchange, asset acquisition, stock purchase, reorganization or similar business combination with one or more businesses, and (b) Merger Sub is, as of the date of this Agreement, a direct wholly owned Subsidiary of the Company formed for purposes of consummating the transactions contemplated by this Agreement and the applicable Ancillary Documents;</w:t>
      </w:r>
    </w:p>
    <w:p>
      <w:pPr>
        <w:spacing w:after="0" w:line="18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Governing Documents of MAAC, MAAC is required to provide an opportunity for the holders of MAAC Class A Shares to have their outstanding MAAC Class A Shares redeemed on the terms and subject to the conditions set forth therein in connection with obtaining the MAAC Shareholder Approval;</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as of the date of this Agreement, Patient Square Capital LLC, a Delaware limited liability company (the “</w:t>
      </w:r>
      <w:r>
        <w:rPr>
          <w:rFonts w:ascii="Times New Roman" w:cs="Times New Roman" w:eastAsia="Times New Roman" w:hAnsi="Times New Roman"/>
          <w:sz w:val="18"/>
          <w:szCs w:val="18"/>
          <w:u w:val="single" w:color="auto"/>
          <w:color w:val="auto"/>
        </w:rPr>
        <w:t>MAAC Sponsor</w:t>
      </w:r>
      <w:r>
        <w:rPr>
          <w:rFonts w:ascii="Times New Roman" w:cs="Times New Roman" w:eastAsia="Times New Roman" w:hAnsi="Times New Roman"/>
          <w:sz w:val="18"/>
          <w:szCs w:val="18"/>
          <w:color w:val="auto"/>
        </w:rPr>
        <w:t>”), owns 10,167,956 MAAC Class B Shares and 10,214,365 MAAC Warrants;</w:t>
      </w:r>
    </w:p>
    <w:p>
      <w:pPr>
        <w:spacing w:after="0" w:line="162"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WHEREAS, concurrently with the execution of this Agreement, the MAAC Sponsor, MAAC and the Company are entering into the sponsor support agreement (the “</w:t>
      </w:r>
      <w:r>
        <w:rPr>
          <w:rFonts w:ascii="Times New Roman" w:cs="Times New Roman" w:eastAsia="Times New Roman" w:hAnsi="Times New Roman"/>
          <w:sz w:val="17"/>
          <w:szCs w:val="17"/>
          <w:u w:val="single" w:color="auto"/>
          <w:color w:val="auto"/>
        </w:rPr>
        <w:t>Sponsor Support Agreement</w:t>
      </w:r>
      <w:r>
        <w:rPr>
          <w:rFonts w:ascii="Times New Roman" w:cs="Times New Roman" w:eastAsia="Times New Roman" w:hAnsi="Times New Roman"/>
          <w:sz w:val="17"/>
          <w:szCs w:val="17"/>
          <w:color w:val="auto"/>
        </w:rPr>
        <w:t>”), pursuant to which (i) the MAAC Sponsor has agreed to, among other things, (a) vote in favor of this Agreement and the transactions contemplated hereby (including the Merger), (b) subject to, and conditioned upon the occurrence of and effective as of immediately prior to, the Effective Time, waive any adjustment to the conversion ratio set forth in the Governing Documents of MAAC or any other anti-dilution or similar protection, in each case, with respect to the MAAC Class B Shares (whether resulting from the transactions contemplated by the PIPE Subscription Agreements or otherwise), and (c) subject to, and conditioned upon the occurrence of and effective as of immediately after, the Effective Time, subject a number Company Post-Closing Common Shares determined pursuant to the Sponsor Support Agreement to vesting requirements that are tied to the share price of the Company Post-Closing Common Shares following the Effective Time, in each case, on the terms and subject to the conditions set forth in the Sponsor Support Agreement and (ii) the MAAC Sponsor will, subject to, and conditioned upon the occurrence of and effective as of, the Effective Time, be granted certain registration rights with respect to its Company Post-Closing Common Shares;</w:t>
      </w:r>
    </w:p>
    <w:p>
      <w:pPr>
        <w:spacing w:after="0" w:line="17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WHEREAS, prior to the Closing Date or on the Closing Date prior to the Effective Time and prior to the consummation of the matters described in the following recital, the Company Non-Voting Common Shares shall be converted and redesignated into Company Voting Common Shares, in accordance with the Company Bye-Laws, on a one-for-one basis (the “</w:t>
      </w:r>
      <w:r>
        <w:rPr>
          <w:rFonts w:ascii="Times New Roman" w:cs="Times New Roman" w:eastAsia="Times New Roman" w:hAnsi="Times New Roman"/>
          <w:sz w:val="18"/>
          <w:szCs w:val="18"/>
          <w:u w:val="single" w:color="auto"/>
          <w:color w:val="auto"/>
        </w:rPr>
        <w:t>Non-Voting Share Conversion</w:t>
      </w:r>
      <w:r>
        <w:rPr>
          <w:rFonts w:ascii="Times New Roman" w:cs="Times New Roman" w:eastAsia="Times New Roman" w:hAnsi="Times New Roman"/>
          <w:sz w:val="18"/>
          <w:szCs w:val="18"/>
          <w:color w:val="auto"/>
        </w:rPr>
        <w:t>”), subject to the expiration or termination of any applicable waiting period under the HSR Act with respect to the Non-Voting Share Conversion;</w:t>
      </w:r>
    </w:p>
    <w:p>
      <w:pPr>
        <w:sectPr>
          <w:pgSz w:w="11900" w:h="16838" w:orient="portrait"/>
          <w:cols w:equalWidth="0" w:num="1">
            <w:col w:w="11000"/>
          </w:cols>
          <w:pgMar w:left="440" w:top="266" w:right="459" w:bottom="1440" w:gutter="0" w:footer="0" w:header="0"/>
        </w:sectPr>
      </w:pPr>
    </w:p>
    <w:bookmarkStart w:id="249" w:name="page250"/>
    <w:bookmarkEnd w:id="249"/>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on the Closing Date prior to the Effective Time, the Company shall (a) cause each Company Pre-Closing Common Share to be divided into a number of Company Post-Closing Common Shares equal to the Exchange Ratio and (b) amend and restate the Company Bye-Laws, in each case, on the terms and subject to the terms and conditions set forth in this Agreement;</w:t>
      </w:r>
    </w:p>
    <w:p>
      <w:pPr>
        <w:spacing w:after="0" w:line="176"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each of the investors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xml:space="preserve">”) is entering into a subscription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PIPE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pursuant to which, among other things, each PIPE Investor has agreed to subscribe for and purchase on the Closing Date immediately prior to the Effective Time, and MAAC has agreed to issue and sell to each such PIPE Investor on the Closing Date immediately prior to the Effective Time, the number of MAAC Class A Shares set forth in the applicable PIPE Subscription Agreement in exchange for the purchase price set forth therein (the equity financing under all PIPE Subscription Agreements, collectively, the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in each case, on the terms and subject to the conditions set forth in the applicable PIPE Subscription Agreement;</w:t>
      </w:r>
    </w:p>
    <w:p>
      <w:pPr>
        <w:spacing w:after="0" w:line="189"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WHEREAS, on the Closing Date, promptly following the Company Pre-Closing Steps and at the Effective Time, Merger Sub will merge with and into MAAC, with MAAC continuing as the surviving corporation in the merger and, after giving effect to such merger, (a) MAAC will be a wholly owned Subsidiary of the Company, (b) each MAAC Class A Share and each MAAC Class B Share not held by the MAAC Sponsor or its Affiliates, in each case, issued and outstanding as of immediately prior to the Effective Time (including, for the avoidance of doubt, each MAAC Class A Share issued to the PIPE Investors pursuant to the PIPE Subscription Agreements (but excluding, for the avoidance of doubt, (i) any MAAC Class A Shares and MAAC Class B Shares held by MAAC as treasury stock or by the MAAC Sponsor or its Affiliates and (ii) any MAAC Class A Shares redeemed in a MAAC Shareholder Redemption)), will be automatically converted as of the Effective Time into one Company Post-Closing Common Share, and</w:t>
      </w:r>
    </w:p>
    <w:p>
      <w:pPr>
        <w:spacing w:after="0" w:line="3" w:lineRule="exact"/>
        <w:rPr>
          <w:sz w:val="20"/>
          <w:szCs w:val="20"/>
          <w:color w:val="auto"/>
        </w:rPr>
      </w:pPr>
    </w:p>
    <w:p>
      <w:pPr>
        <w:ind w:left="4" w:hanging="4"/>
        <w:spacing w:after="0" w:line="255" w:lineRule="auto"/>
        <w:tabs>
          <w:tab w:leader="none" w:pos="24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MAAC Class B Share held by the MAAC Sponsor and its Affiliates issued and outstanding as of immediately prior to the Effective Time will be automatically converted as of the Effective Time into the number of Company Post-Closing Common Shares equal to the Sponsor Exchange Ratio, in each case, on the terms and subject to the conditions set forth in this Agreement and the applicable Ancillary Documents;</w:t>
      </w:r>
    </w:p>
    <w:p>
      <w:pPr>
        <w:spacing w:after="0" w:line="186" w:lineRule="exact"/>
        <w:rPr>
          <w:sz w:val="20"/>
          <w:szCs w:val="20"/>
          <w:color w:val="auto"/>
        </w:rPr>
      </w:pPr>
    </w:p>
    <w:p>
      <w:pPr>
        <w:ind w:left="4"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the Significant Company Shareholders will duly execute and deliver to MAAC and the Company a transaction support agreement,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Transaction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pursuant to which, in the case of each such Transaction Support Agreement, each such Significant Company Shareholder will agree to, among other things, (i) be bound by and subject to certain covenants and agreements related to, or in furtherance of, the transactions contemplated by this Agreement and the Ancillary Documents, including the Company Pre-Closing Steps and (ii) take, or cause to be taken, any actions necessary or advisable to cause certain existing Company agreements to be terminated effective as of the Closing;</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50" w:name="page251"/>
    <w:bookmarkEnd w:id="250"/>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WHEREAS, concurrently with the execution of this Agreement, the Significant Company Shareholders are entering into the Third Amended and Restated Registration Rights Agreement,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among other things, certain Company Shareholders will, subject to, and conditioned upon and effective as of, the Effective Time, be granted certain registration rights with respect to their respective Company Post-Closing Common Shares, in each case, on the terms and subject to the conditions set forth therein;</w:t>
      </w:r>
    </w:p>
    <w:p>
      <w:pPr>
        <w:spacing w:after="0" w:line="183"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each of the Company, certain Company Shareholders and the MAAC Sponsor are entering into a lock-up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pursuant to which, among other things, subject to, and conditioned upon and effective as of, the Effective Time, such Company Shareholders and the MAAC Sponsor will agree not to effect any sale or distribution of all or a portion of, as applicable, the Equity Securities of the Company held by any of them during the applicable lock-up periods described therein;</w:t>
      </w:r>
    </w:p>
    <w:p>
      <w:pPr>
        <w:spacing w:after="0" w:line="183"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MAAC (the “</w:t>
      </w:r>
      <w:r>
        <w:rPr>
          <w:rFonts w:ascii="Times New Roman" w:cs="Times New Roman" w:eastAsia="Times New Roman" w:hAnsi="Times New Roman"/>
          <w:sz w:val="18"/>
          <w:szCs w:val="18"/>
          <w:u w:val="single" w:color="auto"/>
          <w:color w:val="auto"/>
        </w:rPr>
        <w:t>MAAC Board</w:t>
      </w:r>
      <w:r>
        <w:rPr>
          <w:rFonts w:ascii="Times New Roman" w:cs="Times New Roman" w:eastAsia="Times New Roman" w:hAnsi="Times New Roman"/>
          <w:sz w:val="18"/>
          <w:szCs w:val="18"/>
          <w:color w:val="auto"/>
        </w:rPr>
        <w:t>”) has (a) determined that it is in the best interests of MAAC and its stockholders, and declared it advisable, to enter into this Agreement and the Ancillary Documents to which MAAC is or will be a party and to consummate the transactions contemplated hereby and thereby (including the Merger), (b) approved this Agreement, the Ancillary Documents to which MAAC is or will be a party and the consummation of the transactions contemplated hereby and thereby (including the Merger) and (c) recommended, among other things, approval and adoption of this Agreement, the Ancillary Documents to which MAAC is or will be a party and the consummation of the transactions contemplated by hereby or thereby (including the Merger) by the holders of MAAC Shares entitled to vote thereon;</w:t>
      </w:r>
    </w:p>
    <w:p>
      <w:pPr>
        <w:spacing w:after="0" w:line="187"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Merger Sub has approved this Agreement, the Ancillary Documents to which Merger Sub is or will be a party and the transactions contemplated hereby and thereby (including the Merger);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the Company, as the sole stockholder of Merger Sub, will as promptly as reasonably practicable (and in any event within one</w:t>
      </w:r>
    </w:p>
    <w:p>
      <w:pPr>
        <w:spacing w:after="0" w:line="27" w:lineRule="exact"/>
        <w:rPr>
          <w:sz w:val="20"/>
          <w:szCs w:val="20"/>
          <w:color w:val="auto"/>
        </w:rPr>
      </w:pPr>
    </w:p>
    <w:p>
      <w:pPr>
        <w:ind w:left="4" w:right="80" w:hanging="4"/>
        <w:spacing w:after="0" w:line="260" w:lineRule="auto"/>
        <w:tabs>
          <w:tab w:leader="none" w:pos="2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following the date of this Agreement, approve and adopt this Agreement, the Ancillary Documents to which Merger Sub is or will be a party and the transactions contemplated hereby and thereby (including the Merger);</w:t>
      </w:r>
    </w:p>
    <w:p>
      <w:pPr>
        <w:spacing w:after="0" w:line="181"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WHEREAS, concurrently with the execution hereof, the Company is delivering to MAAC the Company Shareholder Written Consent duly executed by the Significant Company Shareholders;</w:t>
      </w:r>
    </w:p>
    <w:p>
      <w:pPr>
        <w:spacing w:after="0" w:line="162"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(a) unanimously approved this Agreement, the Ancillary Documents to which the Company is or will be a party and the consummation of the transactions contemplated hereby and thereby (including the Company Pre-Closing Steps and the Merger), (b) recommended, among other things, the entry into this Agreement and the Ancillary Documents to which the Company is or will be a party and the consummation of the transactions contemplated hereby and thereby (including the Company Pre-Closing Steps and the Merger) to the holders of the Company Pre-Closing Common Shares entitled to vote thereon for their approval and (c) given reasonable advance written notice of the Company Pre-Closing Steps and the Merger in accordance with the Company Bye-Laws to the Company Shareholders (including the “Lot Large Shareholders” (as defined therein)); and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51" w:name="page252"/>
    <w:bookmarkEnd w:id="251"/>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WHEREAS, each of the Parties intends for U.S. federal income tax purposes that (a) this Agreement constitutes a “plan of reorganization” within the meaning of Section 368 of the Code and Treasury Regulations promulgated thereunder, (b) the Merger qualifies as a “reorganization” within the meaning of Section 368(a) of the Code and (c) the exchange of MAAC Class A Shares or MAAC Class B Shares for Company Post-Closing Common Shares pursuant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other than with respect to any Pre-Closing MAAC Shareholders who are U.S. persons and who will be “five-percent transferee shareholders” within the meaning of Treasury Regulations Section 1.367(a)-3(c)(5)(ii) but who do not enter into gain recognition agreements within the meaning of Treasury Regulations Sections 1.367(a)-3(c)(1)(iii)(B) and 1.367(a)-8, qualifies for an exception to Section 367(a)(1) of the Code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MAAC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CVAR Award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RSU Award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other Person who directly or indirectly, through one or more intermediaries, controls,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Public Group Company shall be deemed to be an Affiliate of any Private Group Company for purposes hereof.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and the terms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have meanings correlative thereto.</w:t>
      </w:r>
    </w:p>
    <w:p>
      <w:pPr>
        <w:spacing w:after="0" w:line="183"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Trust Account Proceeds</w:t>
      </w:r>
      <w:r>
        <w:rPr>
          <w:rFonts w:ascii="Times New Roman" w:cs="Times New Roman" w:eastAsia="Times New Roman" w:hAnsi="Times New Roman"/>
          <w:sz w:val="18"/>
          <w:szCs w:val="18"/>
          <w:color w:val="auto"/>
        </w:rPr>
        <w:t>” means the aggregate cash proceeds that are or would be (assuming that the Closing occurs) released to MAAC (or any designees thereof) from the Trust Account on the Closing Date in connection with the transactions contemplated hereby (for the avoidance of doubt, (i) after giving effect to the MAAC Shareholder Redemption and (ii) excluding the proceeds of the PIPE Financing).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252" w:name="page253"/>
    <w:bookmarkEnd w:id="2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means the Registration Rights Agreement, the Lock-Up Agreement, the Sponsor Support Agreement, the PIPE Subscription Agreements, the Transaction Support Agreements, the Certificate of Merger and each other agreement, document, instrument and/or certificate contemplated by this Agreement executed or to be executed in connection with the transactions contemplated hereby (including those entered into in connection with the Company Pre-Closing Steps).</w:t>
      </w:r>
    </w:p>
    <w:p>
      <w:pPr>
        <w:spacing w:after="0" w:line="18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collectively, (a) the U.S. Foreign Corrupt Practices Act of 1977, (b) the UK Bribery Act 2010 and (c) any other applicable anti-bribery or anti-corruption Laws or Orders related to combatting bribery, corruption and money laundering.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 day, other than a Saturday or Sunday, on which commercial banks in Hamilton, Bermuda, London, England, New York, New York and San Francisco, California are open for the general transaction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banks shall be deemed to be generally open for the general transaction of business in the event of a “shelter in place” or similar closure of physical branch locations at the direction of any governmental authority if such banks’ electronic funds transfer system (including for wire transfers) are open for use by customers on such day.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CBA</w:t>
      </w:r>
      <w:r>
        <w:rPr>
          <w:rFonts w:ascii="Times New Roman" w:cs="Times New Roman" w:eastAsia="Times New Roman" w:hAnsi="Times New Roman"/>
          <w:sz w:val="18"/>
          <w:szCs w:val="18"/>
          <w:color w:val="auto"/>
        </w:rPr>
        <w:t>” means any collective bargaining agreement or other Contract with any labor union, labor organization, or works council.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Part 6 of Subtitle B of Title I of ERISA, Section 4980B of the Code and any similar state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means the Bermuda Companies Act, 1981.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introductory paragraph to this Agreement.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53" w:name="page254"/>
    <w:bookmarkEnd w:id="253"/>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any transaction or series of related transactions under which any Person(s), directly or indirectly, acquires or otherwise purchases the Company or all or substantially all of the assets, Equity Securities or businesses of the Company and its controlled Affiliates on a consolidated basis (whether by merger, consolidation, recapitalization, purchase or issuance of Equity Securities, purchase of assets, tender offer or otherwise). Notwithstanding the foregoing or anything to the contrary herein, (i) none of this Agreement, the Ancillary Documents or the transactions contemplated hereby or thereby shall constitute a Company Acquisition Proposal and (ii) the Company’s or one of its Affiliates’ acquisition of Equity Securities of a Public Group Company that are not already owned by the Company or any issuance of Equity Securities of the Company in connection therewith shall not constitute a Company Acquisition Proposal.</w:t>
      </w:r>
    </w:p>
    <w:p>
      <w:pPr>
        <w:spacing w:after="0" w:line="189" w:lineRule="exact"/>
        <w:rPr>
          <w:sz w:val="20"/>
          <w:szCs w:val="20"/>
          <w:color w:val="auto"/>
        </w:rPr>
      </w:pPr>
    </w:p>
    <w:p>
      <w:pPr>
        <w:ind w:right="9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Additional Capitalization Representations</w:t>
      </w:r>
      <w:r>
        <w:rPr>
          <w:rFonts w:ascii="Times New Roman" w:cs="Times New Roman" w:eastAsia="Times New Roman" w:hAnsi="Times New Roman"/>
          <w:sz w:val="18"/>
          <w:szCs w:val="18"/>
          <w:color w:val="auto"/>
        </w:rPr>
        <w:t xml:space="preserve">” means the representations and warranties set forth in the first two sentences of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(Capitalization of the Group Companies).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Bye-Laws</w:t>
      </w:r>
      <w:r>
        <w:rPr>
          <w:rFonts w:ascii="Times New Roman" w:cs="Times New Roman" w:eastAsia="Times New Roman" w:hAnsi="Times New Roman"/>
          <w:sz w:val="18"/>
          <w:szCs w:val="18"/>
          <w:color w:val="auto"/>
        </w:rPr>
        <w:t>” means the eighth amended and restated bye-laws of the Company, adopted on June 17, 2020.</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Shares</w:t>
      </w:r>
      <w:r>
        <w:rPr>
          <w:rFonts w:ascii="Times New Roman" w:cs="Times New Roman" w:eastAsia="Times New Roman" w:hAnsi="Times New Roman"/>
          <w:sz w:val="18"/>
          <w:szCs w:val="18"/>
          <w:color w:val="auto"/>
        </w:rPr>
        <w:t xml:space="preserve">” means (a) prior to the consummation of the Company Pre-Closing Steps, the Company Pre-Closing Common Shares, and (b) from and after the consummation of the Company Pre-Closing Steps, means the Company Post-Closing Common Shares. Any reference to the Company Common Shares in this Agreement or any Ancillary Document shall be deemed to refer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definition, as the context so requires.</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CVAR Award</w:t>
      </w:r>
      <w:r>
        <w:rPr>
          <w:rFonts w:ascii="Times New Roman" w:cs="Times New Roman" w:eastAsia="Times New Roman" w:hAnsi="Times New Roman"/>
          <w:sz w:val="18"/>
          <w:szCs w:val="18"/>
          <w:color w:val="auto"/>
        </w:rPr>
        <w:t>” means, as of any determination time, each capped value appreciation right with respect to Company Common Shares that is outstanding and granted under a Company Equity Plan.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Designee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Schedules</w:t>
      </w:r>
      <w:r>
        <w:rPr>
          <w:rFonts w:ascii="Times New Roman" w:cs="Times New Roman" w:eastAsia="Times New Roman" w:hAnsi="Times New Roman"/>
          <w:sz w:val="18"/>
          <w:szCs w:val="18"/>
          <w:color w:val="auto"/>
        </w:rPr>
        <w:t>” means the disclosure schedules to this Agreement delivered to MAAC by the Company on the date of this Agreement.</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as of any determination time, each Company Option, each Company RSU Award, each Company Restricted Common Share, each Company CVAR Award and each other award to any current or former director, manager, officer, employee, individual independent contractor or other service provider of any Group Company of rights of any kind to receive any Equity Security of the Company under any Company Equity Plan or otherwise that is outstanding as of such time of determination.</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each of (a) the Roivant Sciences Ltd. Amended and Restated 2015 Equity Incentive Plan, (b) the Roivant Sciences Ltd. Amended and Restated 2015 Restricted Stock Unit Plan and (c) each other plan that provides for the award to any current or former director, manager, officer, employee, individual independent contractor or other service provider of any Group Company of rights of any kind to receive Equity Securities of the Company or benefits measured in whole or in part by reference to Equity Securities of the Company.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54" w:name="page255"/>
    <w:bookmarkEnd w:id="254"/>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Equityholders</w:t>
      </w:r>
      <w:r>
        <w:rPr>
          <w:rFonts w:ascii="Times New Roman" w:cs="Times New Roman" w:eastAsia="Times New Roman" w:hAnsi="Times New Roman"/>
          <w:sz w:val="18"/>
          <w:szCs w:val="18"/>
          <w:color w:val="auto"/>
        </w:rPr>
        <w:t>” means, collectively, the Company Shareholders and the holders of Company Equity Awards as of any determination time prior to the Effective Time.</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Expenses</w:t>
      </w:r>
      <w:r>
        <w:rPr>
          <w:rFonts w:ascii="Times New Roman" w:cs="Times New Roman" w:eastAsia="Times New Roman" w:hAnsi="Times New Roman"/>
          <w:sz w:val="18"/>
          <w:szCs w:val="18"/>
          <w:color w:val="auto"/>
        </w:rPr>
        <w:t>” means, as of any determination time and without duplication, the aggregate amount of fees, expenses, costs, disbursements, commissions or other amounts incurred by or on behalf of, and that are due and payable by (and not otherwise expressly allocated to MAAC pursuant to the terms of this Agreement or any Ancillary Document) any Group Company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placement agents, investment bankers, consultants, or other agents or service providers of any Group Company, (b) any other fees, expenses, commissions or other amounts that are expressly allocated to any Group Company pursuant to this Agreement or any Ancillary Document and (c) fifty percent (50%) of the expenses incurred in connection with the filing of the Registration Statement / Proxy Statement with the SEC and the printing and mailing of the Registration Statement / Proxy Statement to holders of MAAC Shares. Notwithstanding the foregoing or anything to the contrary herein, Company Expenses shall not include any MAAC Expenses or any fees, expenses, commissions or other amounts that are expressly contemplated to be allocated to and paid by MAAC pursuant to this Agreement or any Ancillary Document.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(Capitalization of the Group Companies),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(No Company Material Adverse Effect) and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(Brokers).</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all computer systems, Software and hardware, communication systems, servers, network equipment and related documentation, in each case, owned, licensed or leased by a Private Group Company.</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Licensed Intellectual Property</w:t>
      </w:r>
      <w:r>
        <w:rPr>
          <w:rFonts w:ascii="Times New Roman" w:cs="Times New Roman" w:eastAsia="Times New Roman" w:hAnsi="Times New Roman"/>
          <w:sz w:val="18"/>
          <w:szCs w:val="18"/>
          <w:color w:val="auto"/>
        </w:rPr>
        <w:t>” means Intellectual Property Rights owned by any Person (other than a Group Company) that are licensed to any Group Company.</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change, event, development, effect or occurrence that, individually or in the aggregate with any other change, event, development, effect or occurrence, has had or would reasonably be expected to have a material adverse effect on (a) the business, results of operations, assets or financial condition of the Group Companies, taken as a whole, or (b) the ability of the Company or Merger Sub to consummate the transactions contemplated by this Agreement to occur on the Closing Date (including the Company Pre-Closing Steps and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none of the following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255" w:name="page256"/>
    <w:bookmarkEnd w:id="255"/>
    <w:p>
      <w:pPr>
        <w:ind w:left="4" w:right="10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taken into account in determining whether a Company Material Adverse Effect has occurred or is reasonably likely to occur: any adverse change, event, development,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w:t>
      </w:r>
    </w:p>
    <w:p>
      <w:pPr>
        <w:spacing w:after="0" w:line="2" w:lineRule="exact"/>
        <w:rPr>
          <w:sz w:val="20"/>
          <w:szCs w:val="20"/>
          <w:color w:val="auto"/>
        </w:rPr>
      </w:pPr>
    </w:p>
    <w:p>
      <w:pPr>
        <w:ind w:left="4" w:right="20" w:hanging="4"/>
        <w:spacing w:after="0" w:line="250" w:lineRule="auto"/>
        <w:tabs>
          <w:tab w:leader="none" w:pos="30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any applicable Laws, (v) any change, event, development,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any Group Company with employees, customers, investors, contractors, lenders, suppliers, vendors, partners, licensors, licensees, payors or other third parties related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shall not apply to the representations and warranties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to the extent it relates to such representations and warranties), (vii) any failure by any Group Company to meet, or changes to, any internal or published budgets, projections, forecasts, estimates or predictions (although the underlying facts and circumstances resulting in such failure may be taken into account to the extent not otherwise excluded from this definition), (viii)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or (ix) any regulatory, preclinical, clinical, pricing or reimbursement changes, effects, developments or occurrences arising after the date hereof and relating to or affecting any Company Product (including (A) any suspension, rejection, refusal of, request to refile or any delay in obtaining or making any regulatory application or filing relating to any Company Product, (B) any negative regulatory actions, requests, recommendations or decisions of any Governmental Entity relating to any Company Product or the manufacture thereof, or any other regulatory or preclinical or clinical development relating to any Company Product,</w:t>
      </w:r>
    </w:p>
    <w:p>
      <w:pPr>
        <w:spacing w:after="0" w:line="5"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preclinical or clinical studies, trials, tests, results or adverse events, or announcements of any of the foregoing, with respect to any Company Product, (D) any delay, hold or termination of any preclinical or clinical study, trial or test or any delay, hold or termination of any planned application for investigational new drug application or application for marketing approval with respect to any Company Product, (E) any preclinical or clinical studies, trials, tests, results or adverse events, or announcements of any of the foregoing, with respect to any product or product candidate competitive with or related to any Company Product, (F) FDA approval (or other preclinical or clinical or regulatory developments), market entry or threatened market entry of any product or product candidate competitive with or related to any Company Product or (G) any recommendations, statements, decisions or other pronouncements made, published or proposed by professional medical organizations, payors, Governmental Entities or representatives of the foregoing, or any panel or advisory body</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256" w:name="page257"/>
    <w:bookmarkEnd w:id="25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empowered or appointed thereby, relating to any Company Product or any products or product candidates of any competitors of the Company), in each case, as applicable and solely to the extent not resulting from or arising out of any fraud or intentional and material violation of any applicable Public Health Law or Order by any Group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any change, event, development, effect or occurrence resulting from a matter described in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may be taken into account in determining whether a Company Material Adverse Effect has occurred or is reasonably likely to occur to the extent such change, event, development, effect or occurrence has or has had a disproportionate adverse effect on the Group Companies, taken as a whole, relative to other participants operating in the industries or markets in which the Group Companies operate and (B) in no event shall (x) any change, event, development, effect or occurrence to the extent relating to MAAC, (y) any MAAC Shareholder Redemption, in and of itself, or (z) any failure, in and of itself, by a PIPE Investor to fulfill its obligations under a PIPE Subscription Agreement constitute a Company Material Adverse Effect.</w:t>
      </w:r>
    </w:p>
    <w:p>
      <w:pPr>
        <w:spacing w:after="0" w:line="188" w:lineRule="exact"/>
        <w:rPr>
          <w:sz w:val="20"/>
          <w:szCs w:val="20"/>
          <w:color w:val="auto"/>
        </w:rPr>
      </w:pPr>
    </w:p>
    <w:p>
      <w:pPr>
        <w:ind w:right="2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Non-Party Affiliates</w:t>
      </w:r>
      <w:r>
        <w:rPr>
          <w:rFonts w:ascii="Times New Roman" w:cs="Times New Roman" w:eastAsia="Times New Roman" w:hAnsi="Times New Roman"/>
          <w:sz w:val="17"/>
          <w:szCs w:val="17"/>
          <w:color w:val="auto"/>
        </w:rPr>
        <w:t>” means, collectively, each Company Related Party and each former, current or future Affiliate, Representative, equityholder, successor, heir or permitted assign of any Company Related Party (other than, for the avoidance of doubt, the Company).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Non-Voting Common Shares</w:t>
      </w:r>
      <w:r>
        <w:rPr>
          <w:rFonts w:ascii="Times New Roman" w:cs="Times New Roman" w:eastAsia="Times New Roman" w:hAnsi="Times New Roman"/>
          <w:sz w:val="18"/>
          <w:szCs w:val="18"/>
          <w:color w:val="auto"/>
        </w:rPr>
        <w:t>” means non-voting common shares, par value $0.0000001 per share, of the Company.</w:t>
      </w:r>
    </w:p>
    <w:p>
      <w:pPr>
        <w:spacing w:after="0" w:line="225"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as of any determination time, each option to purchase Company Common Shares (including, for the avoidance of doubt, each option subject to any performance-based or liquidity-based vesting conditions) that is outstanding and unexercised and granted under a Company Equity Plan.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Rights that are owned by any of the Group Companies.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Post-Closing Bye-Laws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Post-Closing Common Shares</w:t>
      </w:r>
      <w:r>
        <w:rPr>
          <w:rFonts w:ascii="Times New Roman" w:cs="Times New Roman" w:eastAsia="Times New Roman" w:hAnsi="Times New Roman"/>
          <w:sz w:val="18"/>
          <w:szCs w:val="18"/>
          <w:color w:val="auto"/>
        </w:rPr>
        <w:t xml:space="preserve">” means common shares of the Company, with a par value equal to the par value of the Company Pre-Closing Common Shares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Exchange Ratio.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Post-Closing Employee Stock Purchase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Post-Closing Incentive Equity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Pre-Closing Common Shares</w:t>
      </w:r>
      <w:r>
        <w:rPr>
          <w:rFonts w:ascii="Times New Roman" w:cs="Times New Roman" w:eastAsia="Times New Roman" w:hAnsi="Times New Roman"/>
          <w:sz w:val="18"/>
          <w:szCs w:val="18"/>
          <w:color w:val="auto"/>
        </w:rPr>
        <w:t>” means, collectively, the Company Non-Voting Common Shares and the Company Voting Common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Pre-Closing Steps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means each product candidate, product or platform that is being or has been researched, tested, developed, manufactured, distributed, sold, promoted, advertised or marketed by or on behalf of the Group Companies.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257" w:name="page258"/>
    <w:bookmarkEnd w:id="2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means all Registered Intellectual Property owned or purported to be owned by any Group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Common Shares</w:t>
      </w:r>
      <w:r>
        <w:rPr>
          <w:rFonts w:ascii="Times New Roman" w:cs="Times New Roman" w:eastAsia="Times New Roman" w:hAnsi="Times New Roman"/>
          <w:sz w:val="18"/>
          <w:szCs w:val="18"/>
          <w:color w:val="auto"/>
        </w:rPr>
        <w:t>” means restricted Company Common Shares outstanding and granted under a Company Equity Plan or otherwise.</w:t>
      </w:r>
    </w:p>
    <w:p>
      <w:pPr>
        <w:spacing w:after="0" w:line="162"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as of any determination time, each restricted stock unit award with respect to Company Common Shares outstanding and granted under a Company Equity Plan.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means, collectively, the holders of Company Common Shares as of any determination time prior to the Effective Time.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 Agreements</w:t>
      </w:r>
      <w:r>
        <w:rPr>
          <w:rFonts w:ascii="Times New Roman" w:cs="Times New Roman" w:eastAsia="Times New Roman" w:hAnsi="Times New Roman"/>
          <w:sz w:val="18"/>
          <w:szCs w:val="18"/>
          <w:color w:val="auto"/>
        </w:rPr>
        <w:t>” means, collectively, (a) the Sixth Amended and Restated Shareholders Agreement, dated June 17, 2020, by and among the Company and the Company Shareholders party thereto, (b) the Second Amended and Restated Registration Rights Agreement, dated September 6, 2017, by and among the Company and the Company Shareholders party thereto, and (c) the Agreement Regarding 2018 Equity Raise, dated as of September 26, 2018, by and among the Company and the Company Shareholders party thereto.</w:t>
      </w:r>
    </w:p>
    <w:p>
      <w:pPr>
        <w:spacing w:after="0" w:line="18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Voting Common Shares</w:t>
      </w:r>
      <w:r>
        <w:rPr>
          <w:rFonts w:ascii="Times New Roman" w:cs="Times New Roman" w:eastAsia="Times New Roman" w:hAnsi="Times New Roman"/>
          <w:sz w:val="18"/>
          <w:szCs w:val="18"/>
          <w:color w:val="auto"/>
        </w:rPr>
        <w:t>” means common shares, par value $0.0000001 per share, of the Company (including, for the avoidance of doubt, the Company Restricted Common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Nondisclosure Agreement, dated October 26, 2020, between Roivant Sciences, Inc. and MAAC.</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notice, authorization, qualification, registration, filing, notification, waiver, order, consent, grant, clearance, permission or approval to be obtained from, filed with or delivered to, a Governmental Entity or other Person.</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agreement, contract, license, lease, obligation, undertaking or other commitment or arrangement that is legally binding upon a Person or any of his, her or its properties or assets.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has the meaning set forth in the definition of Intellectual Property Rights.</w:t>
      </w:r>
    </w:p>
    <w:p>
      <w:pPr>
        <w:spacing w:after="0" w:line="225" w:lineRule="exact"/>
        <w:rPr>
          <w:sz w:val="20"/>
          <w:szCs w:val="20"/>
          <w:color w:val="auto"/>
        </w:rPr>
      </w:pPr>
    </w:p>
    <w:p>
      <w:pPr>
        <w:jc w:val="center"/>
        <w:ind w:left="780" w:right="10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thereof or related or associated epidemics, pandemics or disease outbreaks. 10</w:t>
      </w:r>
    </w:p>
    <w:p>
      <w:pPr>
        <w:sectPr>
          <w:pgSz w:w="11900" w:h="16838" w:orient="portrait"/>
          <w:cols w:equalWidth="0" w:num="1">
            <w:col w:w="10940"/>
          </w:cols>
          <w:pgMar w:left="440" w:top="270" w:right="519" w:bottom="1440" w:gutter="0" w:footer="0" w:header="0"/>
        </w:sectPr>
      </w:pPr>
    </w:p>
    <w:bookmarkStart w:id="258" w:name="page259"/>
    <w:bookmarkEnd w:id="2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Datavant</w:t>
      </w:r>
      <w:r>
        <w:rPr>
          <w:rFonts w:ascii="Times New Roman" w:cs="Times New Roman" w:eastAsia="Times New Roman" w:hAnsi="Times New Roman"/>
          <w:sz w:val="18"/>
          <w:szCs w:val="18"/>
          <w:color w:val="auto"/>
        </w:rPr>
        <w:t>” has the meaning set forth in the definition of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Individuals</w:t>
      </w:r>
      <w:r>
        <w:rPr>
          <w:rFonts w:ascii="Times New Roman" w:cs="Times New Roman" w:eastAsia="Times New Roman" w:hAnsi="Times New Roman"/>
          <w:sz w:val="18"/>
          <w:szCs w:val="18"/>
          <w:color w:val="auto"/>
        </w:rPr>
        <w:t xml:space="preserve">” means the individuals listed 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Company Disclosure Schedules.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Subscription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each “</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(as such term is defined in Section 3(3) of ERISA, whether or not subject to ERISA), each equity or equity-based, deferred compensation, severance, retention, bonus, incentive, retirement, retiree or post-employment welfare, vacation, and other benefit or compensatory plan, program, policy or Contract that any Private Group Company maintains, sponsors or contributes to, or under or with respect to which any Private Group Company has any Liability, other than (i) any plan, program, policy or Contract sponsored, maintained or entered into by a Public Group Company or (ii) any plan sponsored or maintained by a Governmental Entity.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and Orders concerning pollution, protection of the environment, or human health or safety.</w:t>
      </w:r>
    </w:p>
    <w:p>
      <w:pPr>
        <w:spacing w:after="0" w:line="225" w:lineRule="exact"/>
        <w:rPr>
          <w:sz w:val="20"/>
          <w:szCs w:val="20"/>
          <w:color w:val="auto"/>
        </w:rPr>
      </w:pPr>
    </w:p>
    <w:p>
      <w:pPr>
        <w:ind w:right="5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right="6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Ex-Im Laws</w:t>
      </w:r>
      <w:r>
        <w:rPr>
          <w:rFonts w:ascii="Times New Roman" w:cs="Times New Roman" w:eastAsia="Times New Roman" w:hAnsi="Times New Roman"/>
          <w:sz w:val="17"/>
          <w:szCs w:val="17"/>
          <w:color w:val="auto"/>
        </w:rPr>
        <w:t>” means all applicable Laws and Orders relating to export, re-export, transfer and import controls, including the U.S. Export Administration Regulations, the International Traffic in Arms Regulations, and Laws administered by the U.S. Customs and Border Protection.</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means 2.9262.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means the Exchange Act, the Securities Act and the other U.S. federal securities laws and the rules and regulations of the SEC promulgated thereunder or otherwise.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and Domestic Approval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59" w:name="page260"/>
    <w:bookmarkEnd w:id="259"/>
    <w:p>
      <w:pPr>
        <w:ind w:left="4" w:right="8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Benefit Plan</w:t>
      </w:r>
      <w:r>
        <w:rPr>
          <w:rFonts w:ascii="Times New Roman" w:cs="Times New Roman" w:eastAsia="Times New Roman" w:hAnsi="Times New Roman"/>
          <w:sz w:val="18"/>
          <w:szCs w:val="18"/>
          <w:color w:val="auto"/>
        </w:rPr>
        <w:t>” means each Employee Benefit Plan maintained by any of the Private Group Companies for its current or former employees, officers, directors or other individual service providers located outside of the United States.</w:t>
      </w:r>
    </w:p>
    <w:p>
      <w:pPr>
        <w:spacing w:after="0" w:line="16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an act or omission by a Party, and requires: (a) a false or incorrect representation or warranty expressly made by such Party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it to enter into this Agreement, (d) another Party, in justifiable or reasonable reliance upon such false or incorrect representation or warranty expressly set forth in this Agreement, entering into this Agreement, and (e) another Party suffering damage by reason of such reliance. For the avoidance of doubt, “Fraud” does not include any equitable fraud, promissory fraud, unfair dealings fraud or any torts (including a claim for fraud or alleged fraud) based on negligence or recklessness.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means the legal document(s) by which any Person (other than an individual) establishes its legal existence or which govern its internal affairs. For example, the “Governing Documents” of a U.S. corporation are its certificate or articles of incorporation and by-laws, the “Governing Documents” of a U.S. limited partnership are its limited partnership agreement and certificate of limited partnership, the “Governing Documents” of a U.S. limited liability company are its operating or limited liability company agreement and certificate of formation and the “Governing Documents” of a Bermuda exempted company are its certificate of incorporation, memorandum of association and bye-laws.</w:t>
      </w:r>
    </w:p>
    <w:p>
      <w:pPr>
        <w:spacing w:after="0" w:line="183" w:lineRule="exact"/>
        <w:rPr>
          <w:sz w:val="20"/>
          <w:szCs w:val="20"/>
          <w:color w:val="auto"/>
        </w:rPr>
      </w:pPr>
    </w:p>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w:t>
      </w:r>
    </w:p>
    <w:p>
      <w:pPr>
        <w:spacing w:after="0" w:line="1" w:lineRule="exact"/>
        <w:rPr>
          <w:sz w:val="20"/>
          <w:szCs w:val="20"/>
          <w:color w:val="auto"/>
        </w:rPr>
      </w:pPr>
    </w:p>
    <w:p>
      <w:pPr>
        <w:ind w:left="4" w:right="420" w:hanging="4"/>
        <w:spacing w:after="0" w:line="260" w:lineRule="auto"/>
        <w:tabs>
          <w:tab w:leader="none" w:pos="24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body exercising or entitled to exercise any administrative, executive, judicial, legislative, police, regulatory, or taxing authority or power of any nature, including any arbitrator or arbitral tribunal (public or private).</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collectively, the Company and each of its Subsidiaries.</w:t>
      </w:r>
    </w:p>
    <w:p>
      <w:pPr>
        <w:spacing w:after="0" w:line="225"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hazardous, toxic, explosive or radioactive material, substance or waste that is regulated by, or may give rise to standards of conduct or Liability pursuant to, any Environmental Law, including any petroleum products or byproducts, asbestos, lead, polychlorinated biphenyls, per- and poly-fluoroalkyl substances, or radon.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and the rules and regulations promulgated thereunder.</w:t>
      </w:r>
    </w:p>
    <w:p>
      <w:pPr>
        <w:spacing w:after="0" w:line="225" w:lineRule="exact"/>
        <w:rPr>
          <w:sz w:val="20"/>
          <w:szCs w:val="20"/>
          <w:color w:val="auto"/>
        </w:rPr>
      </w:pPr>
    </w:p>
    <w:p>
      <w:pPr>
        <w:jc w:val="center"/>
        <w:ind w:right="356"/>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 Company Option intended to be an “incentive stock option” (as defined in Section 422 of the Code). 12</w:t>
      </w:r>
    </w:p>
    <w:p>
      <w:pPr>
        <w:sectPr>
          <w:pgSz w:w="11900" w:h="16838" w:orient="portrait"/>
          <w:cols w:equalWidth="0" w:num="1">
            <w:col w:w="10984"/>
          </w:cols>
          <w:pgMar w:left="436" w:top="270" w:right="479" w:bottom="1440" w:gutter="0" w:footer="0" w:header="0"/>
        </w:sectPr>
      </w:pPr>
    </w:p>
    <w:bookmarkStart w:id="260" w:name="page261"/>
    <w:bookmarkEnd w:id="2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intellectual property rights created or arising under the Laws of the United States or any other jurisdiction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under any international convention, including all (a) patents and patent applications, industrial designs and design patent rights,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continuations, divisionals, continuations-in-part and provisional applications and statutory invention registrations, and any patents issuing on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and any reissues, reexaminations, substitutes, supplementary protection certificates, extensions of any of the foregoing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trademarks, service marks, trade names, service names, brand names, trade dress rights, logos, Internet domain names, corporate names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source or business identifiers, together with the goodwill associated with any of the foregoing, and all applications, registrations, extensions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renewals of any of the foregoing (collectively, “</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(c) copyrights and works of authorship, database and design rights, mask work rights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moral rights, whether or not registered or published, and all registrations, applications, renewals, extensions and reversions of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(d) trade secrets, know-how and confidential proprietary information, including inventions and formulae, whether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patentable or not; (e) intellectual property rights in or to Software; and (f) any other intellectual property or proprietary rights protectable or arising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any Law anywhere in the world.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foreign, national or supranational statute, law (including common law), act, statute, ordinance, treaty, rule, code, Order, regulation or other legally binding directive or guidance issued, promulgated or enforced by a Governmental Entity having jurisdiction over a given matter.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has the meaning set forth in the definition of “Real Property Leases.”</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and all debts, liabilities and obligations, whether accrued or fixed, absolute or contingent, known or unknown, matured or unmatured or determined or determinable, including those arising under any Law (including any Environmental Law), Proceeding or Order and those arising under any Contract, agreement, arrangement, commitment or undertaking. Notwithstanding the foregoing or anything to the contrary herein, Liability shall not include any Company Expenses or MAAC Expenses.</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w:t>
      </w:r>
      <w:r>
        <w:rPr>
          <w:rFonts w:ascii="Times New Roman" w:cs="Times New Roman" w:eastAsia="Times New Roman" w:hAnsi="Times New Roman"/>
          <w:sz w:val="18"/>
          <w:szCs w:val="18"/>
          <w:color w:val="auto"/>
        </w:rPr>
        <w:t>” has the meaning set forth in the introductory paragraph to this Agreement.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61" w:name="page262"/>
    <w:bookmarkEnd w:id="261"/>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MAAC Acquisition Proposal</w:t>
      </w:r>
      <w:r>
        <w:rPr>
          <w:rFonts w:ascii="Times New Roman" w:cs="Times New Roman" w:eastAsia="Times New Roman" w:hAnsi="Times New Roman"/>
          <w:sz w:val="18"/>
          <w:szCs w:val="18"/>
          <w:color w:val="auto"/>
        </w:rPr>
        <w:t>” means any transaction or series of related transactions constituting a “Business Combination” (as defined in MAAC’s Governing Documents). Notwithstanding the foregoing or anything to the contrary herein, none of this Agreement, the Ancillary Documents or the transactions contemplated hereby or thereby shall constitute a MAAC Acquisition Proposal.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Board</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Class A Shares</w:t>
      </w:r>
      <w:r>
        <w:rPr>
          <w:rFonts w:ascii="Times New Roman" w:cs="Times New Roman" w:eastAsia="Times New Roman" w:hAnsi="Times New Roman"/>
          <w:sz w:val="18"/>
          <w:szCs w:val="18"/>
          <w:color w:val="auto"/>
        </w:rPr>
        <w:t>” means shares of Class A common stock, par value $0.0001 per share, of MAAC.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Class B Shares</w:t>
      </w:r>
      <w:r>
        <w:rPr>
          <w:rFonts w:ascii="Times New Roman" w:cs="Times New Roman" w:eastAsia="Times New Roman" w:hAnsi="Times New Roman"/>
          <w:sz w:val="18"/>
          <w:szCs w:val="18"/>
          <w:color w:val="auto"/>
        </w:rPr>
        <w:t>” means shares of Class B common stock, par value $0.0001 per share, of MAAC.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Designee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Disclosure Schedules</w:t>
      </w:r>
      <w:r>
        <w:rPr>
          <w:rFonts w:ascii="Times New Roman" w:cs="Times New Roman" w:eastAsia="Times New Roman" w:hAnsi="Times New Roman"/>
          <w:sz w:val="18"/>
          <w:szCs w:val="18"/>
          <w:color w:val="auto"/>
        </w:rPr>
        <w:t>” means the disclosure schedules to this Agreement delivered to the Company by MAAC on the date of this Agreement.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Expenses</w:t>
      </w:r>
      <w:r>
        <w:rPr>
          <w:rFonts w:ascii="Times New Roman" w:cs="Times New Roman" w:eastAsia="Times New Roman" w:hAnsi="Times New Roman"/>
          <w:sz w:val="18"/>
          <w:szCs w:val="18"/>
          <w:color w:val="auto"/>
        </w:rPr>
        <w:t>” means, as of any determination time and without duplication, the aggregate amount of fees, expenses, costs, disbursements, commissions or other amounts incurred by or on behalf of, and that are due and payable by (and not otherwise expressly allocated to the Company or any Company Equityholder pursuant to the terms of this Agreement or any Ancillary Document) MAAC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placement agents, investment bankers, consultants, or other agents or service providers of MAAC (including with respect to the PIPE Financing), (b) any other fees, expenses, commissions or other amounts that are expressly allocated to MAAC pursuant to this Agreement or any Ancillary Document and (c) fifty percent (50%) of the expenses incurred in connection with the filing of the Registration Statement / Proxy Statement with the SEC and the printing and mailing of the Registration Statement / Proxy Statement to holders of MAAC Shares. Notwithstanding the foregoing or anything to the contrary herein, MAAC Expenses shall not include any Company Expenses or any fees, expenses, commissions or other amounts that are expressly contemplated to be allocated to and paid by the Company, Merger Sub or any Company Equityholder pursuant to this Agreement or any Ancillary Document.</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Financial Statements</w:t>
      </w:r>
      <w:r>
        <w:rPr>
          <w:rFonts w:ascii="Times New Roman" w:cs="Times New Roman" w:eastAsia="Times New Roman" w:hAnsi="Times New Roman"/>
          <w:sz w:val="18"/>
          <w:szCs w:val="18"/>
          <w:color w:val="auto"/>
        </w:rPr>
        <w:t>” means all of the financial statements of MAAC included in the MAAC SEC Reports.</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(Capitalization of MAAC),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(Trust Account) and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(No MAAC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62" w:name="page263"/>
    <w:bookmarkEnd w:id="262"/>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MAAC Material Adverse Effect</w:t>
      </w:r>
      <w:r>
        <w:rPr>
          <w:rFonts w:ascii="Times New Roman" w:cs="Times New Roman" w:eastAsia="Times New Roman" w:hAnsi="Times New Roman"/>
          <w:sz w:val="18"/>
          <w:szCs w:val="18"/>
          <w:color w:val="auto"/>
        </w:rPr>
        <w:t xml:space="preserve">” means any change, event, development, effect or occurrence that, individually or in the aggregate with any other change, event, development, effect or occurrence, has had or would reasonably be expected to have a material adverse effect on (a) the business, results of operations, assets or financial condition of MAAC, taken as a whole, or (b) the ability of MAAC to consummate the transactions contemplated by this Agreement to occur on the Closing Date (including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none of the following shall be taken into account in determining whether a MAAC Material Adverse Effect has occurred or is reasonably likely to occur: any adverse change, event, development,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development, effect or occurrence that is generally applicable to the industries or markets in which MAAC operates, (vi) the execution or public announcement of this Agreement or the pendency or consummation of the transactions contemplated by this Agreement, including the impact thereof on the relationships, contractual or otherwise, of MAAC with investors, contractors, lenders, suppliers, vendors, partners, licensors, licensees, payors or other third parties related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shall not apply to the representations and warranties set forth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to the extent it relates to such representations and warranties), (vii) any failure by MAAC to meet, or changes to, any internal or published budgets, projections, forecasts, estimates or predictions (although the underlying facts and circumstances resulting in such failure may be taken into account to the extent not otherwise excluded from this definition), (viii)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or (ix) any change, event, development, effect or occurrence that is generally applicable to “SPACs”;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any change, event, development, effect or occurrence resulting from a matter described in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(ix)</w:t>
      </w:r>
      <w:r>
        <w:rPr>
          <w:rFonts w:ascii="Times New Roman" w:cs="Times New Roman" w:eastAsia="Times New Roman" w:hAnsi="Times New Roman"/>
          <w:sz w:val="18"/>
          <w:szCs w:val="18"/>
          <w:color w:val="auto"/>
        </w:rPr>
        <w:t xml:space="preserve"> may be taken into account in determining whether a MAAC Material Adverse Effect has occurred or is reasonably likely to occur to the extent such change, event, development, effect or occurrence has or has had a disproportionate adverse effect on MAAC relative to other “SPACs,” and (B) in no event shall (x) any change, event, development, effect or occurrence to the extent relating to any of the Group Companies, (y) any MAAC Shareholder Redemption, in and of itself, or (z) any failure, in and of itself, by a PIPE Investor to fulfill its obligations under a PIPE Subscription Agreement constitute a MAAC Material Adverse Effect.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63" w:name="page264"/>
    <w:bookmarkEnd w:id="263"/>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MAAC Non-Party Affiliates</w:t>
      </w:r>
      <w:r>
        <w:rPr>
          <w:rFonts w:ascii="Times New Roman" w:cs="Times New Roman" w:eastAsia="Times New Roman" w:hAnsi="Times New Roman"/>
          <w:sz w:val="18"/>
          <w:szCs w:val="18"/>
          <w:color w:val="auto"/>
        </w:rPr>
        <w:t>” means, collectively, MAAC, the MAAC Sponsor and each of their respective former, current or future Affiliates and Representatives and any former, current or future equityholders, successors, heirs or permitted assigns of any of the foregoing.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Related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Related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Shareholder Approval</w:t>
      </w:r>
      <w:r>
        <w:rPr>
          <w:rFonts w:ascii="Times New Roman" w:cs="Times New Roman" w:eastAsia="Times New Roman" w:hAnsi="Times New Roman"/>
          <w:sz w:val="18"/>
          <w:szCs w:val="18"/>
          <w:color w:val="auto"/>
        </w:rPr>
        <w:t>” means, collectively, the Required MAAC Shareholder Approval and the Other MAAC Shareholder Approval.</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Shareholder Redemption</w:t>
      </w:r>
      <w:r>
        <w:rPr>
          <w:rFonts w:ascii="Times New Roman" w:cs="Times New Roman" w:eastAsia="Times New Roman" w:hAnsi="Times New Roman"/>
          <w:sz w:val="18"/>
          <w:szCs w:val="18"/>
          <w:color w:val="auto"/>
        </w:rPr>
        <w:t>” means the right of the holders of MAAC Class A Shares to redeem all or a portion of their MAAC Class A Shares (in connection with the transactions contemplated by this Agreement or otherwise) as set forth in Governing Documents of MAAC, which shall be effected solely out of the Trust Account.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Shareholders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Shares</w:t>
      </w:r>
      <w:r>
        <w:rPr>
          <w:rFonts w:ascii="Times New Roman" w:cs="Times New Roman" w:eastAsia="Times New Roman" w:hAnsi="Times New Roman"/>
          <w:sz w:val="18"/>
          <w:szCs w:val="18"/>
          <w:color w:val="auto"/>
        </w:rPr>
        <w:t>” means, collectively, the MAAC Class A Shares and the MAAC Class B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Sponsor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Sponsor Consent</w:t>
      </w:r>
      <w:r>
        <w:rPr>
          <w:rFonts w:ascii="Times New Roman" w:cs="Times New Roman" w:eastAsia="Times New Roman" w:hAnsi="Times New Roman"/>
          <w:sz w:val="18"/>
          <w:szCs w:val="18"/>
          <w:color w:val="auto"/>
        </w:rPr>
        <w:t>” means that certain letter agreement, dated as of the date hereof, by and between MAAC and the MAAC Sponsor, pursuant to which the MAAC Sponsor consented to the entry by MAAC into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Sponsor Specified Provisions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Warrant Agreement</w:t>
      </w:r>
      <w:r>
        <w:rPr>
          <w:rFonts w:ascii="Times New Roman" w:cs="Times New Roman" w:eastAsia="Times New Roman" w:hAnsi="Times New Roman"/>
          <w:sz w:val="18"/>
          <w:szCs w:val="18"/>
          <w:color w:val="auto"/>
        </w:rPr>
        <w:t>” means the Warrant Agreement, dated as of October 6, 2020, by and between MAAC and the Continental Stock Transfer &amp; Trust Company.</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Warrants</w:t>
      </w:r>
      <w:r>
        <w:rPr>
          <w:rFonts w:ascii="Times New Roman" w:cs="Times New Roman" w:eastAsia="Times New Roman" w:hAnsi="Times New Roman"/>
          <w:sz w:val="18"/>
          <w:szCs w:val="18"/>
          <w:color w:val="auto"/>
        </w:rPr>
        <w:t>” means each warrant (or fraction of a warrant) to purchase one MAAC Class A Share at an exercise price of $11.50 per share, subject to adjustment in accordance with the MAAC Warrant Agreement (including, for the avoidance of doubt, each such warrant held by the MAAC Sponsor).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has the meaning set forth in the definition of Intellectual Property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introductory paragraph to this Agreement.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60"/>
          </w:cols>
          <w:pgMar w:left="440" w:top="270" w:right="599" w:bottom="1440" w:gutter="0" w:footer="0" w:header="0"/>
        </w:sectPr>
      </w:pPr>
    </w:p>
    <w:bookmarkStart w:id="264" w:name="page265"/>
    <w:bookmarkEnd w:id="26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Merger Sub Shareholder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Shareholder Approval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has the meaning set forth in Section (3)37 or Section 4001(a)(3) of ERISA.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Non-Voting Share Conversion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outstanding writ, order, judgment, injunction, decision, determination, award, ruling, subpoena, verdict or decree entered, issued or rendered by any Governmental Entity.</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MAAC Shareholder Approval</w:t>
      </w:r>
      <w:r>
        <w:rPr>
          <w:rFonts w:ascii="Times New Roman" w:cs="Times New Roman" w:eastAsia="Times New Roman" w:hAnsi="Times New Roman"/>
          <w:sz w:val="18"/>
          <w:szCs w:val="18"/>
          <w:color w:val="auto"/>
        </w:rPr>
        <w:t>” means the approval of each Other Transaction Proposal by the affirmative vote of the holders of the requisite number of MAAC Shares entitled to vote thereon, whether in person or by proxy at the MAAC Shareholders Meeting (or any adjournment or postponement thereof), in accordance with the Governing Documents of MAAC and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Transaction Proposal</w:t>
      </w:r>
      <w:r>
        <w:rPr>
          <w:rFonts w:ascii="Times New Roman" w:cs="Times New Roman" w:eastAsia="Times New Roman" w:hAnsi="Times New Roman"/>
          <w:sz w:val="18"/>
          <w:szCs w:val="18"/>
          <w:color w:val="auto"/>
        </w:rPr>
        <w:t>” means each Transaction Proposal, other than the Required Transaction Proposals.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set forth in the definition of Intellectual Property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Oversight Board.</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any approvals, authorizations, clearances, consents, exemptions, licenses, qualifications, registrations, permits or certificates of a Governmental Entity.</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mechanic’s, materialmen’s, carriers’, repairers’ and other similar statutory Liens arising or incurred in the ordinary course of business for amounts that are not yet due and payable or are being contested in good faith by appropriate proceedings and for which sufficient reserves have been established in accordance with GAAP; (b) Liens for Taxes, assessments or other governmental charges not yet due and payable as of the Closing Date or which are being contested in good faith by appropriate proceedings and for which sufficient reserves have been established in accordance with GAAP;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current use or</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265" w:name="page266"/>
    <w:bookmarkEnd w:id="265"/>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(f) grants by any Group Company of non-exclusive rights in Intellectual Property Rights in the ordinary course of business; (g) Liens arising under the Governing Documents of the Group Companies or the Company Shareholders Agreements; (h) Liens in favor of any Group Company and (i) other Liens that do not materially and adversely affect the value, use or operation of the asset subject thereto.</w:t>
      </w:r>
    </w:p>
    <w:p>
      <w:pPr>
        <w:spacing w:after="0" w:line="189"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joint stock company, unincorporated organization or association, trust, joint venture or other similar entity (including a Governmental Entity), whether or not a legal entity.</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that (a) can, alone or when combined with other information, identify a natural person, or (b) is otherwise considered “personally identifiable information,” “personal information,” or “personal data” as those terms are defined under applicable Laws relating to data privacy or data protection.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Subscription Agreements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MAAC Shareholders</w:t>
      </w:r>
      <w:r>
        <w:rPr>
          <w:rFonts w:ascii="Times New Roman" w:cs="Times New Roman" w:eastAsia="Times New Roman" w:hAnsi="Times New Roman"/>
          <w:sz w:val="18"/>
          <w:szCs w:val="18"/>
          <w:color w:val="auto"/>
        </w:rPr>
        <w:t>” means the holders of MAAC Shares as of any determination time prior to the Effective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Data Security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Security Requirements</w:t>
      </w:r>
      <w:r>
        <w:rPr>
          <w:rFonts w:ascii="Times New Roman" w:cs="Times New Roman" w:eastAsia="Times New Roman" w:hAnsi="Times New Roman"/>
          <w:sz w:val="18"/>
          <w:szCs w:val="18"/>
          <w:color w:val="auto"/>
        </w:rPr>
        <w:t>” means any of the following to the extent relating to the collection, processing, use, protection, security, transfer, distribution, or disposition of Personal Data or otherwise relating to data-related notifications: (a) all applicable Laws; (b) each Private Group Company’s own external-facing privacy policies; (c) any other industry standard to which any Private Group Company is bound; and (d) applicable provisions of Contracts to which any Private Group Company is a party.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Group Companies</w:t>
      </w:r>
      <w:r>
        <w:rPr>
          <w:rFonts w:ascii="Times New Roman" w:cs="Times New Roman" w:eastAsia="Times New Roman" w:hAnsi="Times New Roman"/>
          <w:sz w:val="18"/>
          <w:szCs w:val="18"/>
          <w:color w:val="auto"/>
        </w:rPr>
        <w:t>” means, collectively, the Company and its Subsidiaries, other than the Public Group Companies.</w:t>
      </w:r>
    </w:p>
    <w:p>
      <w:pPr>
        <w:spacing w:after="0" w:line="223"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means any lawsuit, litigation, action, audit, examination or investigation, claim, complaint (including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charge, subpoena, civil investigative demand, inquiry, proceeding, suit or arbitration (in each case, whether civil, criminal or administrative and whether public or private) pending by or before or otherwise involving or on behalf of any Governmental Entity.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66" w:name="page267"/>
    <w:bookmarkEnd w:id="266"/>
    <w:p>
      <w:pPr>
        <w:ind w:left="4" w:right="4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Process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Processing</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Processes</w:t>
      </w:r>
      <w:r>
        <w:rPr>
          <w:rFonts w:ascii="Times New Roman" w:cs="Times New Roman" w:eastAsia="Times New Roman" w:hAnsi="Times New Roman"/>
          <w:sz w:val="17"/>
          <w:szCs w:val="17"/>
          <w:color w:val="auto"/>
        </w:rPr>
        <w:t>”) means the collection, use, storage, processing, recording, distribution, transfer, import, export, protection (including security measures), disposal or disclosure or other activity regarding data (whether electronically or in any other form or medium).</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Group Companies</w:t>
      </w:r>
      <w:r>
        <w:rPr>
          <w:rFonts w:ascii="Times New Roman" w:cs="Times New Roman" w:eastAsia="Times New Roman" w:hAnsi="Times New Roman"/>
          <w:sz w:val="18"/>
          <w:szCs w:val="18"/>
          <w:color w:val="auto"/>
        </w:rPr>
        <w:t>” means, collectively, each Subsidiary of the Company whose common stock (or similar Equity Securities) is listed on a U.S. national securities exchange and each of their respective Subsidiaries.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Group Company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Public Health Laws</w:t>
      </w:r>
      <w:r>
        <w:rPr>
          <w:rFonts w:ascii="Times New Roman" w:cs="Times New Roman" w:eastAsia="Times New Roman" w:hAnsi="Times New Roman"/>
          <w:sz w:val="17"/>
          <w:szCs w:val="17"/>
          <w:color w:val="auto"/>
        </w:rPr>
        <w:t xml:space="preserve">” means all applicable Laws relating to the research, development, pre-clinical testing, clinical testing, manufacture, production, analysis, distribution, importation, exportation, use, handling, quality, sale or promotion of any drug, biological product or medical device (including any ingredient or component of the foregoing products), including (a) the Federal Food, Drug, and Cosmetic Act (21 U.S.C. § 301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4" w:hanging="4"/>
        <w:spacing w:after="0" w:line="251" w:lineRule="auto"/>
        <w:tabs>
          <w:tab w:leader="none" w:pos="25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Health Service Act (42 U.S.C. § 201 et seq.), and the regulations administered, issued, or promulgated by FDA thereunder, (c) the Medicare statute (Title XVIII of the Social Security Act), the Medicaid statute (Title XIX of the Social Security Act), and any other foreign, federal, and state Laws relating to governmental healthcare programs, (d) foreign, federal, and state criminal or civil healthcare Laws related to fraud and abuse, false claims and anti-kickback Laws (including the federal Anti-Kickback Statute (42 U.S.C. §1320a- 7(b)), the civil False Claims Act (31 U.S.C. §§ 3729 et seq.), the criminal False Claims Law (42 U.S.C. §1320a-7b(a)), criminal Laws relating to healthcare fraud and abuse, including 18 U.S.C. §§ 286, 287 and 1001, Physician Payment Sunshine Act (42 U.S.C. § 1320a-7h), the exclusion laws (42 U.S.C. § 1320a-7), and the civil monetary penalties law (42 U.S.C. § 1320a-7a)), (e) the Patient Protection and Affordable Care Act of 2010, as amended by the Health Care and Education Reconciliation Act of 2010, (f) the Health Insurance Portability and Accountability Act of 1996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(42 U.S.C. §1320d et seq.), as amended by the Health Information and Technology for Economic and Clinical Health Act of 2009, and any comparable foreign and state Laws related to privacy, data protection and information security, and (g) each similar applicable federal, state or foreign Law.</w:t>
      </w:r>
    </w:p>
    <w:p>
      <w:pPr>
        <w:spacing w:after="0" w:line="19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Software</w:t>
      </w:r>
      <w:r>
        <w:rPr>
          <w:rFonts w:ascii="Times New Roman" w:cs="Times New Roman" w:eastAsia="Times New Roman" w:hAnsi="Times New Roman"/>
          <w:sz w:val="18"/>
          <w:szCs w:val="18"/>
          <w:color w:val="auto"/>
        </w:rPr>
        <w:t>” means any Software that contains, includes or incorporates any Software that is distributed as free software, open source software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Linux) or similar licensing or distribution models, including under any terms or conditions that impose any requirement that any Software using, linked with, incorporating, distributed with or derived from such Public Software (a) be made available or distributed in source code form, (b) be licensed for purposes of making derivative works, or (c) be redistributable at no, or a nominal, charge.</w:t>
      </w:r>
    </w:p>
    <w:p>
      <w:pPr>
        <w:spacing w:after="0" w:line="180"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means all leases, sub-leases, licenses, concessions or other agreements, in each case, pursuant to which any Private Group Company leases, sub-leases or otherwise occupies any real property leased, subleased, licensed, or similarly used or occupied by any of the Private Group Companies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67" w:name="page268"/>
    <w:bookmarkEnd w:id="267"/>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all issued Patents, pending Patent applications, registered Marks, pending applications for registration of Marks, registered Copyrights, pending applications for registration of Copyrights and Internet domain name registrations.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 / Proxy Statement</w:t>
      </w:r>
      <w:r>
        <w:rPr>
          <w:rFonts w:ascii="Times New Roman" w:cs="Times New Roman" w:eastAsia="Times New Roman" w:hAnsi="Times New Roman"/>
          <w:sz w:val="18"/>
          <w:szCs w:val="18"/>
          <w:color w:val="auto"/>
        </w:rPr>
        <w:t>” means a registration statement of the Company on Form S-4 relating to the transactions contemplated by this Agreement and the Ancillary Documents and containing a prospectus of the Company to be used as a proxy statement of MAAC.</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Affiliates and its and such Affiliates’ respective directors, officers, employees, accountants, consultants, advisors, attorneys, agents and other representatives.</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MAAC Shareholder Approval</w:t>
      </w:r>
      <w:r>
        <w:rPr>
          <w:rFonts w:ascii="Times New Roman" w:cs="Times New Roman" w:eastAsia="Times New Roman" w:hAnsi="Times New Roman"/>
          <w:sz w:val="18"/>
          <w:szCs w:val="18"/>
          <w:color w:val="auto"/>
        </w:rPr>
        <w:t>” means the approval of each Required Transaction Proposal by the affirmative vote of the holders of the requisite number of MAAC Shares entitled to vote thereon, whether in person or by proxy at the MAAC Shareholders Meeting (or any adjournment or postponement thereof), in accordance with the Governing Documents of MAAC and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Transaction Proposals</w:t>
      </w:r>
      <w:r>
        <w:rPr>
          <w:rFonts w:ascii="Times New Roman" w:cs="Times New Roman" w:eastAsia="Times New Roman" w:hAnsi="Times New Roman"/>
          <w:sz w:val="18"/>
          <w:szCs w:val="18"/>
          <w:color w:val="auto"/>
        </w:rPr>
        <w:t>” means, collectively, the Business Combination Proposal and the Nasdaq Proposal.</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Person (a) named on any Sanctions- or Ex-Im Laws-related list of designated or blocked Persons maintained by a Governmental Entity, (b) located, organized or resident in a country or territory which is itself the subject of or target of any comprehensive Sanctions (at the time of this Agreement, the Crimea region of Ukraine, Cuba, Iran, North Korea, and Syria), or (c) an entity owned, directly or indirectly, or controlled by one or more of the foregoing.</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Law or Order imposing or relating to economic sanctions administered by the Office of Foreign Assets Control of the U.S. Department of the Treasury, the U.S. Department of State, the European Union, any European Union Member State, the United Nations, or Her Majesty’s Treasury of the United Kingdom.</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collectively, the Company Disclosure Schedules and the MAAC Disclosure Schedules.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means Federal Securities Laws and other applicable foreign and domestic securities or similar Laws.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68" w:name="page269"/>
    <w:bookmarkEnd w:id="26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Significant Company Shareholders</w:t>
      </w:r>
      <w:r>
        <w:rPr>
          <w:rFonts w:ascii="Times New Roman" w:cs="Times New Roman" w:eastAsia="Times New Roman" w:hAnsi="Times New Roman"/>
          <w:sz w:val="18"/>
          <w:szCs w:val="18"/>
          <w:color w:val="auto"/>
        </w:rPr>
        <w:t>” means the Large Lot Shareholders (as defined in the Company Bye-Laws) and Vivek Ramaswamy.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and all (a) computer programs, including any and all software implementations of algorithms, models and methodologies, whether in source code or object code; and (b) documentation, including user manuals and other training documentation, related to any of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Exchange Ratio</w:t>
      </w:r>
      <w:r>
        <w:rPr>
          <w:rFonts w:ascii="Times New Roman" w:cs="Times New Roman" w:eastAsia="Times New Roman" w:hAnsi="Times New Roman"/>
          <w:sz w:val="18"/>
          <w:szCs w:val="18"/>
          <w:color w:val="auto"/>
        </w:rPr>
        <w:t>” shall have the meaning set forth in the Sponsor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Datavant Holdings, Inc. and each of its Subsidiaries (collectively, “</w:t>
      </w:r>
      <w:r>
        <w:rPr>
          <w:rFonts w:ascii="Times New Roman" w:cs="Times New Roman" w:eastAsia="Times New Roman" w:hAnsi="Times New Roman"/>
          <w:sz w:val="18"/>
          <w:szCs w:val="18"/>
          <w:u w:val="single" w:color="auto"/>
          <w:color w:val="auto"/>
        </w:rPr>
        <w:t>Datavant</w:t>
      </w:r>
      <w:r>
        <w:rPr>
          <w:rFonts w:ascii="Times New Roman" w:cs="Times New Roman" w:eastAsia="Times New Roman" w:hAnsi="Times New Roman"/>
          <w:sz w:val="18"/>
          <w:szCs w:val="18"/>
          <w:color w:val="auto"/>
        </w:rPr>
        <w:t>”) shall not be deemed a Subsidiary of the Company. 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include all Subsidiaries of such Subsidiary.</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charges, imposts, fees, levies or assessments of any kind whatsoever, in each case in the nature of a tax, together with any interest, deficiencies, penalties, additions to tax, or additional amounts imposed by any Tax Authority with respect thereto, and including any Liability for any of the aforementioned as transferee or successor.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means any Governmental Entity responsible for the collection or administration of Taxes or Tax Returns.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69" w:name="page270"/>
    <w:bookmarkEnd w:id="269"/>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returns, information returns, statements, declarations, claims for refund, schedules, attachments and reports relating to Taxes that are filed or required to be filed with any Governmental Entity, including any amendment of any of the foregoing.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Payment</w:t>
      </w:r>
      <w:r>
        <w:rPr>
          <w:rFonts w:ascii="Times New Roman" w:cs="Times New Roman" w:eastAsia="Times New Roman" w:hAnsi="Times New Roman"/>
          <w:sz w:val="18"/>
          <w:szCs w:val="18"/>
          <w:color w:val="auto"/>
        </w:rPr>
        <w:t>” means (a) when used in reference to any Group Company, any success, change of control, retention, transaction bonus or other similar payment or amount to any current or former officer, director or employee of any Group Company or any other Company Related Party that would (either alone or when combined with one or more additional circumstances, matters or events) become payable as a result of or in connection with the transactions contemplated by this Agreement or the Ancillary Documents or (b) when used in reference to MAAC, any success, change of control, retention, transaction bonus or other similar payment or amount to any current or former officer, director or employee of MAAC or any other MAAC Related Party that would (either alone or when combined with one or more additional circumstances, matters or events) become payable as a result of or in connection with the transactions contemplated by this Agreement or the Ancillary Documents.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Treasury regulations promulgated under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 Released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CVAR Award</w:t>
      </w:r>
      <w:r>
        <w:rPr>
          <w:rFonts w:ascii="Times New Roman" w:cs="Times New Roman" w:eastAsia="Times New Roman" w:hAnsi="Times New Roman"/>
          <w:sz w:val="18"/>
          <w:szCs w:val="18"/>
          <w:color w:val="auto"/>
        </w:rPr>
        <w:t>” means each Company CVAR Award outstanding as of immediately prior to the Company Pre-Closing Steps that is not a Vested Company CVAR Award.</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each Company Option outstanding as of immediately prior to the Company Pre-Closing Steps that is not a Vested Company Option.</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RSU Award</w:t>
      </w:r>
      <w:r>
        <w:rPr>
          <w:rFonts w:ascii="Times New Roman" w:cs="Times New Roman" w:eastAsia="Times New Roman" w:hAnsi="Times New Roman"/>
          <w:sz w:val="18"/>
          <w:szCs w:val="18"/>
          <w:color w:val="auto"/>
        </w:rPr>
        <w:t>” means each Company RSU Award outstanding as of immediately prior to the Company Pre-Closing Steps that is not a Vested Company RSU Award.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70" w:name="page271"/>
    <w:bookmarkEnd w:id="270"/>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Vested Company CVAR Award</w:t>
      </w:r>
      <w:r>
        <w:rPr>
          <w:rFonts w:ascii="Times New Roman" w:cs="Times New Roman" w:eastAsia="Times New Roman" w:hAnsi="Times New Roman"/>
          <w:sz w:val="18"/>
          <w:szCs w:val="18"/>
          <w:color w:val="auto"/>
        </w:rPr>
        <w:t>” means each Company CVAR Award outstanding as of immediately prior to the Company Pre-Closing Steps that is vested as of such time or will vest in connection with the consummation of the transactions contemplated hereby.</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each Company Option outstanding as of immediately prior to the Company Pre-Closing Steps that is vested as of such time or will vest in connection with the consummation of the transactions contemplated hereby.</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RSU Award</w:t>
      </w:r>
      <w:r>
        <w:rPr>
          <w:rFonts w:ascii="Times New Roman" w:cs="Times New Roman" w:eastAsia="Times New Roman" w:hAnsi="Times New Roman"/>
          <w:sz w:val="18"/>
          <w:szCs w:val="18"/>
          <w:color w:val="auto"/>
        </w:rPr>
        <w:t>” means each Company RSU Award outstanding as of immediately prior to the Company Pre-Closing Steps that is vested as of such time or will vest in connection with the consummation of the transactions contemplated 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w:t>
      </w:r>
      <w:r>
        <w:rPr>
          <w:rFonts w:ascii="Times New Roman" w:cs="Times New Roman" w:eastAsia="Times New Roman" w:hAnsi="Times New Roman"/>
          <w:sz w:val="18"/>
          <w:szCs w:val="18"/>
          <w:color w:val="auto"/>
        </w:rPr>
        <w:t>” means the Worker Adjustment Retraining and Notification Act of 1988 as well as similar foreign, state or local Laws.</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03"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Closing Transactions</w:t>
      </w:r>
      <w:r>
        <w:rPr>
          <w:rFonts w:ascii="Times New Roman" w:cs="Times New Roman" w:eastAsia="Times New Roman" w:hAnsi="Times New Roman"/>
          <w:sz w:val="18"/>
          <w:szCs w:val="18"/>
          <w:color w:val="auto"/>
        </w:rPr>
        <w:t>. On the terms and subject to the conditions set forth in this Agreement, the following transactions shall occur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order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987"/>
        <w:spacing w:after="0" w:line="252"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Pre-Closing Steps and Share Conversion</w:t>
      </w:r>
      <w:r>
        <w:rPr>
          <w:rFonts w:ascii="Times New Roman" w:cs="Times New Roman" w:eastAsia="Times New Roman" w:hAnsi="Times New Roman"/>
          <w:sz w:val="18"/>
          <w:szCs w:val="18"/>
          <w:color w:val="auto"/>
        </w:rPr>
        <w:t xml:space="preserve">. On the Closing Date prior to the Effective Time, the Company shall cause (i) a subdivision of the Company Pre-Closing Common Shares to be consummated such that each Company Pre-Closing Common Share shall be divided into a number of Company Post-Closing Common Shares equal to the Exchange Ratio and the par value of each Company Post-Closing Common Share shall be equal to the then-current par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Exchange Ratio, (ii) the Company Bye-Laws to be amended and restated to be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Post-Closing Bye-Laws</w:t>
      </w:r>
      <w:r>
        <w:rPr>
          <w:rFonts w:ascii="Times New Roman" w:cs="Times New Roman" w:eastAsia="Times New Roman" w:hAnsi="Times New Roman"/>
          <w:sz w:val="18"/>
          <w:szCs w:val="18"/>
          <w:color w:val="auto"/>
        </w:rPr>
        <w:t xml:space="preserve">”) and (iii) the transactions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occur (the transactions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Company Pre-Closing Steps</w:t>
      </w:r>
      <w:r>
        <w:rPr>
          <w:rFonts w:ascii="Times New Roman" w:cs="Times New Roman" w:eastAsia="Times New Roman" w:hAnsi="Times New Roman"/>
          <w:sz w:val="18"/>
          <w:szCs w:val="18"/>
          <w:color w:val="auto"/>
        </w:rPr>
        <w:t xml:space="preserve">”). The Company shall also cause the Non-Voting Share Conversion to occur prior to the Effective Time, subject to the expiration or termination of any applicable waiting period under the HSR Act with respect to the Non-Voting Share Conversion. In the event that any applicable waiting period under the HSR Act with respect to the Non-Voting Share Conversion has not expired or been terminated as of the date of satisfaction (or, to the extent permitted by applicable Law, waiver) of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those conditions that by their nature are to be satisfied at the Closing), then the Parties shall appropriately modify the Company Post-Closing Bye-Laws that will become effective on the Closing Date immediately prior to the Effective Time in accordance herewith to provide for a separate class of common shares of the Company that are identical to the Company Post-Closing Common Shares, except that they are not entitled to voting rights, with such modified Company Post-Closing Bye-Laws being in a form mutually agreed to by MAAC and the Company (such agreement not to be unreasonably withheld, conditioned or delayed). For the avoidance of doubt, the Non-Voting Share Conversion shall not be a condition to any Party’s obligation to consummate the Closing.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271" w:name="page272"/>
    <w:bookmarkEnd w:id="271"/>
    <w:p>
      <w:pPr>
        <w:ind w:left="1220" w:hanging="253"/>
        <w:spacing w:after="0"/>
        <w:tabs>
          <w:tab w:leader="none" w:pos="1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Merger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20" w:firstLine="1428"/>
        <w:spacing w:after="0" w:line="261" w:lineRule="auto"/>
        <w:tabs>
          <w:tab w:leader="none" w:pos="162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set forth in this Agreement and in accordance with the DGCL, on the Closing Date promptly following the consummation of the Company Pre-Closing Steps, Merger Sub shall merge with and into MAAC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at the Effective Time. Following the Effective Time, the separate existence of Merger Sub shall cease and MAAC shall continue as the surviving corporation of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0" w:right="40" w:firstLine="1428"/>
        <w:spacing w:after="0" w:line="258" w:lineRule="auto"/>
        <w:tabs>
          <w:tab w:leader="none" w:pos="167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set forth in this Agreement, at the Closing, the Parties shall cause a certificate of merger relating to the Merger, in a form reasonably satisfactory to the Company and MAAC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executed and filed with the Secretary of State of the State of Delaware. The Merger shall become effective on the date and time at which the Certificate of Merger is accepted for filing by the Secretary of State of the State of Delaware or at such later date and/or time as is agreed by the Company and MAAC and specified in the Certificate of Merger (the time the Merger becomes effective being referred to herein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0" w:firstLine="1428"/>
        <w:spacing w:after="0" w:line="258" w:lineRule="auto"/>
        <w:tabs>
          <w:tab w:leader="none" w:pos="172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the Merger shall have the effects set forth in this Agreement, in the Certificate of Merger and in Section 251 of the DGCL. Without limiting the generality of the foregoing, and subject thereto, at the Effective Time, all of the assets, properties, rights, privileges, powers and franchises of MAAC and Merger Sub shall vest in the Surviving Company and all debts, liabilities, obligations, restrictions, disabilities and duties of each of MAAC and Merger Sub shall become the debts, liabilities, obligations and duties of the Surviving Company, in each case, in accordance with the DGCL.</w:t>
      </w:r>
    </w:p>
    <w:p>
      <w:pPr>
        <w:spacing w:after="0" w:line="183" w:lineRule="exact"/>
        <w:rPr>
          <w:rFonts w:ascii="Times New Roman" w:cs="Times New Roman" w:eastAsia="Times New Roman" w:hAnsi="Times New Roman"/>
          <w:sz w:val="18"/>
          <w:szCs w:val="18"/>
          <w:color w:val="auto"/>
        </w:rPr>
      </w:pPr>
    </w:p>
    <w:p>
      <w:pPr>
        <w:ind w:left="-20" w:firstLine="1428"/>
        <w:spacing w:after="0" w:line="254" w:lineRule="auto"/>
        <w:tabs>
          <w:tab w:leader="none" w:pos="171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the certificate of incorporation of MAAC shall be amended and restated to be identical to the certificate of incorporation of Merger Sub as in effect immediately prior to the Effective Time and, as so amended and restated, shall be the certificate of incorporation of the Surviving Company until thereafter amended in accordance with its terms as provided therein and by the DGCL, except that the name of the Surviving Company reflected therein shall be a name that is determined by the Company prior to the Closing (which name does not reference “Montes Archimedes”). At the Effective Time, the bylaws of MAAC shall be amended to be identical to the bylaws of Merger Sub as in effect immediately prior to the Effective Time and, as so amended, shall be the bylaws of the Surviving Company until thereafter amended in accordance with their terms as provided therein, the Governing Documents of the Surviving Company and the DGCL, except that the name of the Surviving Company reflected therein shall be a name that is determined by the Company prior to the Closing (which name does not reference “Montes Archimedes”).</w:t>
      </w:r>
    </w:p>
    <w:p>
      <w:pPr>
        <w:spacing w:after="0" w:line="188" w:lineRule="exact"/>
        <w:rPr>
          <w:rFonts w:ascii="Times New Roman" w:cs="Times New Roman" w:eastAsia="Times New Roman" w:hAnsi="Times New Roman"/>
          <w:sz w:val="18"/>
          <w:szCs w:val="18"/>
          <w:color w:val="auto"/>
        </w:rPr>
      </w:pPr>
    </w:p>
    <w:p>
      <w:pPr>
        <w:jc w:val="both"/>
        <w:ind w:left="-20" w:right="160" w:firstLine="1428"/>
        <w:spacing w:after="0" w:line="281" w:lineRule="auto"/>
        <w:tabs>
          <w:tab w:leader="none" w:pos="1667"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the persons serving as the directors and officers of Merger Sub immediately prior to the Effective Time shall be the initial directors and officers of the Surviving Company, each to hold office in accordance with the Governing Documents of the Surviving Company from and after the Effective Time until such director’s or officer’s successor is duly elected or appointed and qualified, or until the earlier of their death, resignation or removal in accordance with the Governing Documents of the Surviving Company, or as otherwise provided by the DGCL.</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60" w:top="270" w:right="479" w:bottom="1440" w:gutter="0" w:footer="0" w:header="0"/>
        </w:sectPr>
      </w:pPr>
    </w:p>
    <w:bookmarkStart w:id="272" w:name="page273"/>
    <w:bookmarkEnd w:id="272"/>
    <w:p>
      <w:pPr>
        <w:ind w:right="20" w:firstLine="1428"/>
        <w:spacing w:after="0" w:line="266" w:lineRule="auto"/>
        <w:tabs>
          <w:tab w:leader="none" w:pos="173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Effective Time, by virtue of the Merger and without any action on the part of any Party or any other Person, each share of capital stock of Merger Sub issued and outstanding immediately prior to the Effective Time shall be automatically canceled and extinguished and converted into one share of common stock, par value $0.0001, of the Surviving Company.</w:t>
      </w:r>
    </w:p>
    <w:p>
      <w:pPr>
        <w:spacing w:after="0" w:line="175" w:lineRule="exact"/>
        <w:rPr>
          <w:rFonts w:ascii="Times New Roman" w:cs="Times New Roman" w:eastAsia="Times New Roman" w:hAnsi="Times New Roman"/>
          <w:sz w:val="18"/>
          <w:szCs w:val="18"/>
          <w:color w:val="auto"/>
        </w:rPr>
      </w:pPr>
    </w:p>
    <w:p>
      <w:pPr>
        <w:ind w:firstLine="1428"/>
        <w:spacing w:after="0" w:line="269" w:lineRule="auto"/>
        <w:tabs>
          <w:tab w:leader="none" w:pos="1787"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Effective Time, by virtue of the Merger and without any action on the part of any Party or any other Person, (A) each (x) MAAC Class A Share and (y) each MAAC Class B Share that is not held by the MAAC Sponsor or any of its Affiliates (other than the MAAC Class A Shares and MAAC Class B Shares canceled and extinguished pursuant to </w:t>
      </w:r>
      <w:r>
        <w:rPr>
          <w:rFonts w:ascii="Times New Roman" w:cs="Times New Roman" w:eastAsia="Times New Roman" w:hAnsi="Times New Roman"/>
          <w:sz w:val="17"/>
          <w:szCs w:val="17"/>
          <w:u w:val="single" w:color="auto"/>
          <w:color w:val="auto"/>
        </w:rPr>
        <w:t>Section 2.1(b)(ix)</w:t>
      </w:r>
      <w:r>
        <w:rPr>
          <w:rFonts w:ascii="Times New Roman" w:cs="Times New Roman" w:eastAsia="Times New Roman" w:hAnsi="Times New Roman"/>
          <w:sz w:val="17"/>
          <w:szCs w:val="17"/>
          <w:color w:val="auto"/>
        </w:rPr>
        <w:t xml:space="preserve">) issued and outstanding as of immediately prior to the Effective Time shall be automatically canceled and extinguished and converted into one Company Post-Closing Common Share and (B) each MAAC Class B Share issued and outstanding and held by the MAAC Sponsor or any of its Affiliates as of immediately prior to the Effective Time shall be automatically canceled and extinguished and converted into the number of Company Post-Closing Common Shares equal to the Sponsor Exchange Ratio;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a number of Company Post-Closing Common Shares owned by the MAAC Sponsor or any of its Affiliates, determined pursuant to the Sponsor Support Agreement, shall become subject to the vesting and other terms and conditions set forth in the Sponsor Support Agreement at the Effective Time. As of the Effective Time, all MAAC Shares shall no longer be outstanding and shall automatically be canceled and shall cease to exist, and shall thereafter represent the number of Company Post-Closing Common Shares into which such MAAC Shares were converted pursuant to this Agreement. From and after the Effective Time, each Pre-Closing MAAC Shareholder’s certificate(s) (the “</w:t>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if any, evidencing ownership of MAAC Shares and MAAC Shares held in book-entry form issued and outstanding immediately prior to the Effective Time shall each cease to have any rights with respect to such MAAC Shares, except as otherwise expressly provided for herein or under applicable Law.</w:t>
      </w:r>
    </w:p>
    <w:p>
      <w:pPr>
        <w:spacing w:after="0" w:line="175" w:lineRule="exact"/>
        <w:rPr>
          <w:rFonts w:ascii="Times New Roman" w:cs="Times New Roman" w:eastAsia="Times New Roman" w:hAnsi="Times New Roman"/>
          <w:sz w:val="17"/>
          <w:szCs w:val="17"/>
          <w:color w:val="auto"/>
        </w:rPr>
      </w:pPr>
    </w:p>
    <w:p>
      <w:pPr>
        <w:ind w:right="80" w:firstLine="1428"/>
        <w:spacing w:after="0" w:line="256" w:lineRule="auto"/>
        <w:tabs>
          <w:tab w:leader="none" w:pos="183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MAAC Warrant that is outstanding immediately prior to the Effective Time shall, by its terms, convert automatically into the right to acquire Company Post-Closing Common Shares on the terms and subject conditions set forth in the MAAC Warrant Agreement as in effect immediately prior to the Effective Time (each, a “</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each Company Warrant shall, from and after the Effective Time, (x) represent the right to acquire the number of Company Post-Closing Common Shares equal to the number of MAAC Shares subject to the underlying MAAC Warrant immediately prior to the Effective Time, and (y) have an exercise price of $11.50 per whole warrant to purchase one Company Post-Closing Common Share.</w:t>
      </w:r>
    </w:p>
    <w:p>
      <w:pPr>
        <w:spacing w:after="0" w:line="187" w:lineRule="exact"/>
        <w:rPr>
          <w:rFonts w:ascii="Times New Roman" w:cs="Times New Roman" w:eastAsia="Times New Roman" w:hAnsi="Times New Roman"/>
          <w:sz w:val="18"/>
          <w:szCs w:val="18"/>
          <w:color w:val="auto"/>
        </w:rPr>
      </w:pPr>
    </w:p>
    <w:p>
      <w:pPr>
        <w:ind w:right="60" w:firstLine="1428"/>
        <w:spacing w:after="0" w:line="266" w:lineRule="auto"/>
        <w:tabs>
          <w:tab w:leader="none" w:pos="173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any Party or any other Person, each MAAC Share held immediately prior to the Effective Time by MAAC as treasury stock shall be automatically canceled and extinguished, and no consideration shall be paid with respect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73" w:name="page274"/>
    <w:bookmarkEnd w:id="273"/>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 </w:t>
      </w:r>
      <w:r>
        <w:rPr>
          <w:rFonts w:ascii="Times New Roman" w:cs="Times New Roman" w:eastAsia="Times New Roman" w:hAnsi="Times New Roman"/>
          <w:sz w:val="18"/>
          <w:szCs w:val="18"/>
          <w:b w:val="1"/>
          <w:bCs w:val="1"/>
          <w:u w:val="single" w:color="auto"/>
          <w:color w:val="auto"/>
        </w:rPr>
        <w:t>Closing of the Transactions Contemplated by this Agreement</w:t>
      </w:r>
      <w:r>
        <w:rPr>
          <w:rFonts w:ascii="Times New Roman" w:cs="Times New Roman" w:eastAsia="Times New Roman" w:hAnsi="Times New Roman"/>
          <w:sz w:val="18"/>
          <w:szCs w:val="18"/>
          <w:color w:val="auto"/>
        </w:rPr>
        <w:t>. On the terms and subject to the conditions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closing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electronically by exchange of the closing deliverables by the means provided in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as promptly as reasonably practicable, but in no event later than the third (3rd) Business Day, following the satisfaction (or, to the extent permitted by applicable Law, waiver) of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those conditions that by their nature are to be satisfied at the Closing, but subject to satisfaction or waiver of such conditions) or at such other place, date and/or time as MAAC and the Company may agree in writing (the date on which the Closing actually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Fractional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or anything to the contrary herein, no fractional Company Post-Closing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shall be issued in connection with the transactions contemplated hereby. Except with respect to Company Equity Awards, all fractional Company Post-Closing Common Shares that each Company Equityholder will have a right to receive in connection with the Company Pre-Closing Steps, as well as all fractional Company Post-Closing Common Shares that the MAAC Sponsor and its Affiliates as holders of MAAC Class B Shares will have a right to receive in connection with the Merger, shall be aggregated and, if a fractional share results from such aggregation, such fractional share shall be rounded down to the nearest whole share.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Treatment of Company Equity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2"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prior to the Closing (and as part of, for the avoidance of doubt, the Company Pre-Closing Steps), each Company Option (whether a Vested Company Option or an Unvested Company Option) shall be adjusted in accordance with the applicable Company Equity Plan into an option to purchase Company Post-Closing Common Shares (each, an “</w:t>
      </w:r>
      <w:r>
        <w:rPr>
          <w:rFonts w:ascii="Times New Roman" w:cs="Times New Roman" w:eastAsia="Times New Roman" w:hAnsi="Times New Roman"/>
          <w:sz w:val="18"/>
          <w:szCs w:val="18"/>
          <w:u w:val="single" w:color="auto"/>
          <w:color w:val="auto"/>
        </w:rPr>
        <w:t>Adjusted Option</w:t>
      </w:r>
      <w:r>
        <w:rPr>
          <w:rFonts w:ascii="Times New Roman" w:cs="Times New Roman" w:eastAsia="Times New Roman" w:hAnsi="Times New Roman"/>
          <w:sz w:val="18"/>
          <w:szCs w:val="18"/>
          <w:color w:val="auto"/>
        </w:rPr>
        <w:t xml:space="preserve">”) in an amount and at an exercise price determined pursuant to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Each Adjusted Option shall: (i) be exercisable for, and represent the right to purchase, a number of Company Post-Closing Common Shares (rounded down to the nearest whole share) equal to the product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(A) the number of Company Pre-Closing Common Shares subject to the corresponding Company Option immediately prior to the consummation of the Company Pre-Closing Steps,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(B) the Exchange Ratio, and (ii) have an exercise price per Company Post-Closing Common Share (rounded up to the nearest whole cent)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Adjusted Option equal to the quotient obtained by dividing (A) the exercise price per Company Pre-Closing Common Share applicable to the corresponding Company Option immediately prior to the consummation of the Company Pre-Closing Steps,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Exchange Ratio. Such conversion shall occur in a manner intended to comply with (x) the requirements of Section 409A of the Code and (y) in the case of any Adjusted Option that is an Incentive Stock Option, the requirements of Section 424 of the Code. Except as otherwise set forth in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each Adjusted Option shall continue to have, and be subject to, the same terms and conditions (including applicable vesting, expiration and forfeiture provisions) as applied to the corresponding Company Option immediately prior to such adjustment. For the avoidance of doubt, the rounding of any shares pursuant to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shall be determined on an award-by-award basis.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274" w:name="page275"/>
    <w:bookmarkEnd w:id="274"/>
    <w:p>
      <w:pPr>
        <w:ind w:right="20" w:firstLine="987"/>
        <w:spacing w:after="0" w:line="273" w:lineRule="auto"/>
        <w:tabs>
          <w:tab w:leader="none" w:pos="1246"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the Closing Date prior to the Closing (and as part of, for the avoidance of doubt, the Company Pre-Closing Steps), each Vested Company RSU Award shall be adjusted in accordance with the applicable Company Equity Plan into a number of Company Post-Closing Common Shares (rounded down to the nearest whole share) equal to (i) the product obtained by </w:t>
      </w:r>
      <w:r>
        <w:rPr>
          <w:rFonts w:ascii="Times New Roman" w:cs="Times New Roman" w:eastAsia="Times New Roman" w:hAnsi="Times New Roman"/>
          <w:sz w:val="17"/>
          <w:szCs w:val="17"/>
          <w:i w:val="1"/>
          <w:iCs w:val="1"/>
          <w:color w:val="auto"/>
        </w:rPr>
        <w:t>multiplying</w:t>
      </w:r>
      <w:r>
        <w:rPr>
          <w:rFonts w:ascii="Times New Roman" w:cs="Times New Roman" w:eastAsia="Times New Roman" w:hAnsi="Times New Roman"/>
          <w:sz w:val="17"/>
          <w:szCs w:val="17"/>
          <w:color w:val="auto"/>
        </w:rPr>
        <w:t xml:space="preserve"> (A) the number of Company Pre-Closing Common Shares subject to the corresponding Vested Company RSU Award immediately prior to the consummation of the Company Pre-Closing Steps, </w:t>
      </w:r>
      <w:r>
        <w:rPr>
          <w:rFonts w:ascii="Times New Roman" w:cs="Times New Roman" w:eastAsia="Times New Roman" w:hAnsi="Times New Roman"/>
          <w:sz w:val="17"/>
          <w:szCs w:val="17"/>
          <w:i w:val="1"/>
          <w:iCs w:val="1"/>
          <w:color w:val="auto"/>
        </w:rPr>
        <w:t>by</w:t>
      </w:r>
      <w:r>
        <w:rPr>
          <w:rFonts w:ascii="Times New Roman" w:cs="Times New Roman" w:eastAsia="Times New Roman" w:hAnsi="Times New Roman"/>
          <w:sz w:val="17"/>
          <w:szCs w:val="17"/>
          <w:color w:val="auto"/>
        </w:rPr>
        <w:t xml:space="preserve"> (B) the Exchange Ratio,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(ii) that number of Company Post-Closing Common Shares with a fair market value equal to all required withholding taxes due upon settlement of such Vested Company RSU Award, as determined in accordance with the applicable Company Equity Plan and award (or similar) agreement. For the avoidance of doubt, the rounding of any shares pursuant to this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xml:space="preserve"> shall be determined on an award-by-award basis.</w:t>
      </w:r>
    </w:p>
    <w:p>
      <w:pPr>
        <w:spacing w:after="0" w:line="171" w:lineRule="exact"/>
        <w:rPr>
          <w:rFonts w:ascii="Times New Roman" w:cs="Times New Roman" w:eastAsia="Times New Roman" w:hAnsi="Times New Roman"/>
          <w:sz w:val="17"/>
          <w:szCs w:val="17"/>
          <w:color w:val="auto"/>
        </w:rPr>
      </w:pPr>
    </w:p>
    <w:p>
      <w:pPr>
        <w:ind w:right="180" w:firstLine="987"/>
        <w:spacing w:after="0" w:line="254"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prior to the Closing (and as part of, for the avoidance of doubt, the Company Pre-Closing Steps), each Unvested Company RSU Award shall be adjusted in accordance with the applicable Company Equity Plan into a restricted stock unit award (each, an “</w:t>
      </w:r>
      <w:r>
        <w:rPr>
          <w:rFonts w:ascii="Times New Roman" w:cs="Times New Roman" w:eastAsia="Times New Roman" w:hAnsi="Times New Roman"/>
          <w:sz w:val="18"/>
          <w:szCs w:val="18"/>
          <w:u w:val="single" w:color="auto"/>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RSU Award</w:t>
      </w:r>
      <w:r>
        <w:rPr>
          <w:rFonts w:ascii="Times New Roman" w:cs="Times New Roman" w:eastAsia="Times New Roman" w:hAnsi="Times New Roman"/>
          <w:sz w:val="18"/>
          <w:szCs w:val="18"/>
          <w:color w:val="auto"/>
        </w:rPr>
        <w:t xml:space="preserve">”) with respect to a number of Company Post-Closing Common Shares (rounded down to the nearest whole share) equal to the product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(A) the number of Company Pre-Closing Common Shares subject to the corresponding Unvested Company RSU Award immediately prior to the consummation of the Company Pre-Closing Steps,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Exchange Ratio. Except as otherwise set forth in this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each Adjusted RSU Award shall continue to have, and be subject to, the same terms and conditions (including applicable vesting, expiration and forfeiture provisions) as applied to the corresponding Unvested Company RSU Award immediately prior to such adjustment. For the avoidance of doubt, the rounding of any shares pursuant to this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shall be determined on an award-by-award basis.</w:t>
      </w:r>
    </w:p>
    <w:p>
      <w:pPr>
        <w:spacing w:after="0" w:line="191"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prior to the Closing (and as part of, for the avoidance of doubt, the Company Pre-Closing Steps), each Company CVAR Award (whether a Vested Company CVAR Award or an Unvested Company CVAR Award) shall be adjusted in accordance with the applicable Company Equity Plan into a capped value appreciation right with respect to Company Post-Closing Common Shares (each, an “</w:t>
      </w:r>
      <w:r>
        <w:rPr>
          <w:rFonts w:ascii="Times New Roman" w:cs="Times New Roman" w:eastAsia="Times New Roman" w:hAnsi="Times New Roman"/>
          <w:sz w:val="18"/>
          <w:szCs w:val="18"/>
          <w:u w:val="single" w:color="auto"/>
          <w:color w:val="auto"/>
        </w:rPr>
        <w:t>Adjusted CVAR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xml:space="preserve">”) in an amount and at a hurdle price determined pursuant to this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Each Adjusted CVAR Award shall (i) be with respect to a number of Company Post-Closing Common Shares (rounded down to the nearest whole share) equal to the product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(A) the number of Company Pre-Closing Common Shares subject to the corresponding Company CVAR Award immediately prior to the consummation of the Company Pre-Closing Steps,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Exchange Ratio, and (ii) have a (A) hurdle price per Company Post-Closing Common Share, (B) a “knock-in” price per Company Post-Closing Common Share (if applicable) and (C) value cap price per Company Post-Closing Common Share (in each case, rounded up to the nearest whole cent) subject to such Adjusted CVAR Award equal to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hurdle price per Company Pre-Closing Common Share, “knock-in” price per Company Pre-Closing Common Share (if applicable) and value cap price per Company Pre-Closing Common Share applicable to the corresponding Company CVAR Award immediately prior to the consummation of the Company Pre-Closing Steps, respectively,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(B) the Exchange Ratio. Except as otherwise set forth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each Adjusted CVAR Award shall continue to have, and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same terms and conditions (including applicable vesting, expiration and forfeiture provisions) as applied to the corresponding Company CVAR Award immediately prior to such adjustment. For the avoidance of doubt, the rounding of any shares pursuant to this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shall be determined on an award-by-award basis.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275" w:name="page276"/>
    <w:bookmarkEnd w:id="275"/>
    <w:p>
      <w:pPr>
        <w:ind w:right="80" w:firstLine="987"/>
        <w:spacing w:after="0" w:line="258"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After giving effect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upon the approval of the Company Post-Closing Incentive Equity Plan in accordance with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of this Agreement, effective as of the Closing, no further grants or issuances shall be made under any of the Company Equity Plans (other than, for the avoidance of doubt, (x) issuances pursuant to awards outstanding as of the Closing Date under the Company Equity Plans (as adjusted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and (y) grants or issuances pursuant to the Company Post-Closing Incentive Equity Plan and the Company Post-Closing Employee Stock Purchase Plan).</w:t>
      </w:r>
    </w:p>
    <w:p>
      <w:pPr>
        <w:spacing w:after="0" w:line="183" w:lineRule="exact"/>
        <w:rPr>
          <w:rFonts w:ascii="Times New Roman" w:cs="Times New Roman" w:eastAsia="Times New Roman" w:hAnsi="Times New Roman"/>
          <w:sz w:val="18"/>
          <w:szCs w:val="18"/>
          <w:color w:val="auto"/>
        </w:rPr>
      </w:pPr>
    </w:p>
    <w:p>
      <w:pPr>
        <w:ind w:right="260" w:firstLine="987"/>
        <w:spacing w:after="0" w:line="282" w:lineRule="auto"/>
        <w:tabs>
          <w:tab w:leader="none" w:pos="121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the Company shall take, or cause to be taken, all necessary actions under the Company Equity Plans, under the underlying grant, award or similar agreement and otherwise to give effect to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Transfer Agent Matters</w:t>
      </w:r>
      <w:r>
        <w:rPr>
          <w:rFonts w:ascii="Times New Roman" w:cs="Times New Roman" w:eastAsia="Times New Roman" w:hAnsi="Times New Roman"/>
          <w:sz w:val="18"/>
          <w:szCs w:val="18"/>
          <w:color w:val="auto"/>
        </w:rPr>
        <w:t>. At least three (3) Business Days prior to the effectiveness of the Registration Statement /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appoint a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and, if required by the Transfer Agent, enter into a transfer agent agreement with the Transfer Agent (the “</w:t>
      </w:r>
      <w:r>
        <w:rPr>
          <w:rFonts w:ascii="Times New Roman" w:cs="Times New Roman" w:eastAsia="Times New Roman" w:hAnsi="Times New Roman"/>
          <w:sz w:val="18"/>
          <w:szCs w:val="18"/>
          <w:u w:val="single" w:color="auto"/>
          <w:color w:val="auto"/>
        </w:rPr>
        <w:t>Transfer Agent Agreement</w:t>
      </w:r>
      <w:r>
        <w:rPr>
          <w:rFonts w:ascii="Times New Roman" w:cs="Times New Roman" w:eastAsia="Times New Roman" w:hAnsi="Times New Roman"/>
          <w:sz w:val="18"/>
          <w:szCs w:val="18"/>
          <w:color w:val="auto"/>
        </w:rPr>
        <w:t>”) in a form and substance that is reasonably acceptable to MAAC (it being understood and agreed, for the avoidance of doubt, that Continental Stock Transfer &amp; Trust Company (or any of its Affiliates) shall be deemed to be acceptable to MAAC and any Transfer Agent Agreement in substantially the same form as the transfer agent agreement between MAAC and Continental Stock Transfer &amp; Trust Company as of the date hereof shall be deemed to be acceptable to MAAC). The Company and MAAC shall each take, or cause to be taken, all necessary or reasonably advisable actions in order to appropriately reflect the Company Post-Closing Common Shares issued pursuant to, or as a result of, the transactions contemplated by this Agreement and the Ancillary Documents and outstanding immediately after the Effective Time, including taking any necessary or reasonably advisable actions vis-à -vis MAAC’s existing transfer agent or the Transfer Agent, and the Company and MAAC shall each reasonably cooperate with the other and the Transfer Agent in connection with the foregoing.</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MAAC, the Company and the Transfer Agent (and their respective Representatives) shall be entitled to deduct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 (or cause to be deducted and withheld) from any consideration payable pursuant to this Agreement such amounts as are required to be deducted and withheld under applicable Tax Law. To the extent that amounts are so deducted and withheld and duly paid over to the appropriate Tax Authority, such withheld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 as reasonably requested by the relevant Party.</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440" w:top="270" w:right="519" w:bottom="1440" w:gutter="0" w:footer="0" w:header="0"/>
        </w:sectPr>
      </w:pPr>
    </w:p>
    <w:bookmarkStart w:id="276" w:name="page277"/>
    <w:bookmarkEnd w:id="2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GROUP COMPANIES</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except (a) as set forth in the Company Disclosure Schedules, or (b) solely in the case of the Public Group Companies, as set forth in any Public Group Company SEC Reports publicly available as of the date hereof (excluding any disclosures in any “risk factors” section that do not constitute statements of fact, disclosures in any forward-looking statements disclaimers and other disclosures that are generally cautionary, predictive or forward-looking in nature), the Company and Merger Sub each hereby represents and warrants to MAAC as follows: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Organization and Qualification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987"/>
        <w:spacing w:after="0" w:line="258" w:lineRule="auto"/>
        <w:tabs>
          <w:tab w:leader="none" w:pos="123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exempted limited company duly organized or formed, as applicable, validly existing and in good standing (or the equivalent thereof, if applicable, in each case, with respect to the jurisdictions that recognize the concept of good standing or any equivalent thereof) under the Laws of Bermuda. The Company has the requisite exempted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spacing w:after="0" w:line="183"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Governing Documents of the Company and the Company Shareholders Agreements have been made available to MAAC, in each case, as amended and in effect as of the date of this Agreement. The Governing Documents of the Company and the Company Shareholders Agreements are in full force and effect, the Company is not in material breach or violation of any provision set forth in its Governing Documents and the Company is not in material breach or violation of the Company Shareholders Agreements.</w:t>
      </w:r>
    </w:p>
    <w:p>
      <w:pPr>
        <w:spacing w:after="0" w:line="179"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(other than the Company)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 Each Group Company (other than the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spacing w:after="0" w:line="187"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Governing Documents of each Private Group Company (other than the Company) have been made available to MAAC, in each case, as amended and in effect as of the date of this Agreement. The Governing Documents of each Group Company (other than the Company) are in full force and effect and none of the Group Companies is in material breach or material violation of any provision set forth in its Governing Documents.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66" w:right="479" w:bottom="1440" w:gutter="0" w:footer="0" w:header="0"/>
        </w:sectPr>
      </w:pPr>
    </w:p>
    <w:bookmarkStart w:id="277" w:name="page278"/>
    <w:bookmarkEnd w:id="277"/>
    <w:p>
      <w:pPr>
        <w:ind w:left="4" w:firstLine="987"/>
        <w:spacing w:after="0" w:line="261"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necessary, except where the failure to be so duly qualified or licensed and in good standing would not have a Company Material Adverse Effect.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Capitalization of the Group Companies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987"/>
        <w:spacing w:after="0" w:line="268" w:lineRule="auto"/>
        <w:tabs>
          <w:tab w:leader="none" w:pos="124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of the Company Disclosure Schedules sets forth a true and complete statement as of April 30, 2021 (the “</w:t>
      </w:r>
      <w:r>
        <w:rPr>
          <w:rFonts w:ascii="Times New Roman" w:cs="Times New Roman" w:eastAsia="Times New Roman" w:hAnsi="Times New Roman"/>
          <w:sz w:val="17"/>
          <w:szCs w:val="17"/>
          <w:u w:val="single" w:color="auto"/>
          <w:color w:val="auto"/>
        </w:rPr>
        <w:t>Designated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Capitalization Date</w:t>
      </w:r>
      <w:r>
        <w:rPr>
          <w:rFonts w:ascii="Times New Roman" w:cs="Times New Roman" w:eastAsia="Times New Roman" w:hAnsi="Times New Roman"/>
          <w:sz w:val="17"/>
          <w:szCs w:val="17"/>
          <w:color w:val="auto"/>
        </w:rPr>
        <w:t xml:space="preserve">”) of (i) the aggregate number and class, series or type (as applicable) of all of the Equity Securities of the Company issued and outstanding and (ii) the identity of the Persons that are the owners of one percent (1.0%) or more of the issued and outstanding Company Pre-Closing Common Shares. Except for (x) the aggregate number of Equity Securities of the Company and the Company Equity Awards outstanding as set forth on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of the Company Disclosure Schedules, (y) those Equity Securities of the Company issued or granted during the period beginning on the day after the Designated Capitalization Date and ending on the date of this Agreement that would, assuming such issuance or grant occurred during the period from the date of this Agreement until the Closing, be permitted by </w:t>
      </w:r>
      <w:r>
        <w:rPr>
          <w:rFonts w:ascii="Times New Roman" w:cs="Times New Roman" w:eastAsia="Times New Roman" w:hAnsi="Times New Roman"/>
          <w:sz w:val="17"/>
          <w:szCs w:val="17"/>
          <w:u w:val="single" w:color="auto"/>
          <w:color w:val="auto"/>
        </w:rPr>
        <w:t>Section 5.1(b)(v)</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5.1(b)(vi)</w:t>
      </w:r>
      <w:r>
        <w:rPr>
          <w:rFonts w:ascii="Times New Roman" w:cs="Times New Roman" w:eastAsia="Times New Roman" w:hAnsi="Times New Roman"/>
          <w:sz w:val="17"/>
          <w:szCs w:val="17"/>
          <w:color w:val="auto"/>
        </w:rPr>
        <w:t xml:space="preserve"> (provided that, for purposes of </w:t>
      </w:r>
      <w:r>
        <w:rPr>
          <w:rFonts w:ascii="Times New Roman" w:cs="Times New Roman" w:eastAsia="Times New Roman" w:hAnsi="Times New Roman"/>
          <w:sz w:val="17"/>
          <w:szCs w:val="17"/>
          <w:u w:val="single" w:color="auto"/>
          <w:color w:val="auto"/>
        </w:rPr>
        <w:t>clause</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13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of Section 5.1(b)(vi), no such issuances or grants are to any Designated Individual or Affiliated Shareholder), and (z) the exercise, vesting, settlement or forfeiture of any Company Equity Awards outstanding as of the Designated Capitalization Date during the period beginning on the day after Designated Capitalization Date and ending on the date of this Agreement, the Company has no outstanding Equity Securities as of the date hereof. All of the Company Pre-Closing Common Shares have been duly authorized and validly issued and are fully paid and non-assessable. The Equity Securities of the Company (1) were not issued in violation of the Governing Documents of the Company, the Company Shareholders Agreements or any other Contract to which any Group Company is party or by which any Group Company is otherwise bound and (2) were not issued in violation of any preemptive rights, call option, right of first refusal or first offer, subscription rights, transfer restrictions or similar rights of any Person. Other than (A) as set forth above and pursuant to the Governing Documents of the Company or the Company Shareholders Agreement and (B) pursuant to offer letters or similar Contracts with service providers who are not Designated Individuals or Affiliated Shareholders entered into in the ordinary course of business providing for the grant or issuance of Equity Securities, as of the date hereof, the Company has no outstanding purchase rights, subscription rights, conversion rights, exchange rights, calls, puts or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 Except for the Governing Documents of the Company and the Company Shareholders Agreements, there are no voting trusts, proxies or other Contracts to which the Company is a party or otherwise bound with respect to the voting or transfer of the Equity Securities of the Company.</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278" w:name="page279"/>
    <w:bookmarkEnd w:id="278"/>
    <w:p>
      <w:pPr>
        <w:ind w:left="4" w:firstLine="987"/>
        <w:spacing w:after="0" w:line="267" w:lineRule="auto"/>
        <w:tabs>
          <w:tab w:leader="none" w:pos="125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3.2(b)</w:t>
      </w:r>
      <w:r>
        <w:rPr>
          <w:rFonts w:ascii="Times New Roman" w:cs="Times New Roman" w:eastAsia="Times New Roman" w:hAnsi="Times New Roman"/>
          <w:sz w:val="17"/>
          <w:szCs w:val="17"/>
          <w:color w:val="auto"/>
        </w:rPr>
        <w:t xml:space="preserve"> of the Company Disclosure Schedules sets forth a true and complete statement as of the Designated Capitalization Date of (i) the aggregate number and class, series or type (as applicable) of all of the Equity Securities (other than equity incentive awards) of each Private Group Company (other than the Company) and Datavant issued and outstanding, (ii) the aggregate pool of allocated and unallocated equity incentive awards of each Private Group Company (other than the Company) and Datavant and (iii) the aggregate number and class, series or type (as applicable) of all of the Equity Securities of each Private Group Company (other than the Company) that are owned by another Group Company and the aggregate number and class, series or type (as applicable) of all of the Equity Securities of Datavant that are owned by a Group Company. Except for (x) the aggregate number of Equity Securities of each Private Company Vant (other than the Company) and Datavant outstanding as set forth on </w:t>
      </w:r>
      <w:r>
        <w:rPr>
          <w:rFonts w:ascii="Times New Roman" w:cs="Times New Roman" w:eastAsia="Times New Roman" w:hAnsi="Times New Roman"/>
          <w:sz w:val="17"/>
          <w:szCs w:val="17"/>
          <w:u w:val="single" w:color="auto"/>
          <w:color w:val="auto"/>
        </w:rPr>
        <w:t>Section 3.2(b)</w:t>
      </w:r>
      <w:r>
        <w:rPr>
          <w:rFonts w:ascii="Times New Roman" w:cs="Times New Roman" w:eastAsia="Times New Roman" w:hAnsi="Times New Roman"/>
          <w:sz w:val="17"/>
          <w:szCs w:val="17"/>
          <w:color w:val="auto"/>
        </w:rPr>
        <w:t xml:space="preserve"> of the Company Disclosure Schedules, (y) those Equity Securities of a Private Group Company or Datavant issued or granted during the period beginning on the day after the Designated Capitalization Date and ending on the date of this Agreement that would, assuming such issuance or grant occurred during the period from the date of this Agreement until the Closing, either be permitted by </w:t>
      </w:r>
      <w:r>
        <w:rPr>
          <w:rFonts w:ascii="Times New Roman" w:cs="Times New Roman" w:eastAsia="Times New Roman" w:hAnsi="Times New Roman"/>
          <w:sz w:val="17"/>
          <w:szCs w:val="17"/>
          <w:u w:val="single" w:color="auto"/>
          <w:color w:val="auto"/>
        </w:rPr>
        <w:t>Section 5.1(b)(v)</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5.1(b)(vi)</w:t>
      </w:r>
      <w:r>
        <w:rPr>
          <w:rFonts w:ascii="Times New Roman" w:cs="Times New Roman" w:eastAsia="Times New Roman" w:hAnsi="Times New Roman"/>
          <w:sz w:val="17"/>
          <w:szCs w:val="17"/>
          <w:color w:val="auto"/>
        </w:rPr>
        <w:t xml:space="preserve"> (provided that, for purposes of </w:t>
      </w:r>
      <w:r>
        <w:rPr>
          <w:rFonts w:ascii="Times New Roman" w:cs="Times New Roman" w:eastAsia="Times New Roman" w:hAnsi="Times New Roman"/>
          <w:sz w:val="17"/>
          <w:szCs w:val="17"/>
          <w:u w:val="single" w:color="auto"/>
          <w:color w:val="auto"/>
        </w:rPr>
        <w:t>clause (3)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5.1(b)(vi)</w:t>
      </w:r>
      <w:r>
        <w:rPr>
          <w:rFonts w:ascii="Times New Roman" w:cs="Times New Roman" w:eastAsia="Times New Roman" w:hAnsi="Times New Roman"/>
          <w:sz w:val="17"/>
          <w:szCs w:val="17"/>
          <w:color w:val="auto"/>
        </w:rPr>
        <w:t>, no such issuances or grants are to any Designated Individual or Affiliated Shareholder), and</w:t>
      </w:r>
    </w:p>
    <w:p>
      <w:pPr>
        <w:spacing w:after="0" w:line="2" w:lineRule="exact"/>
        <w:rPr>
          <w:rFonts w:ascii="Times New Roman" w:cs="Times New Roman" w:eastAsia="Times New Roman" w:hAnsi="Times New Roman"/>
          <w:sz w:val="17"/>
          <w:szCs w:val="17"/>
          <w:color w:val="auto"/>
        </w:rPr>
      </w:pPr>
    </w:p>
    <w:p>
      <w:pPr>
        <w:ind w:left="4" w:right="40" w:hanging="4"/>
        <w:spacing w:after="0" w:line="251" w:lineRule="auto"/>
        <w:tabs>
          <w:tab w:leader="none" w:pos="24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vesting, settlement or forfeiture of any equity incentive awards outstanding as of the Designated Capitalization Date during the period beginning on the day after Designated Capitalization Date and ending on the date of this Agreement, each Private Group Company (other than the Company) and Datavant has no outstanding Equity Securities as of the date hereof. Other than (A) as set forth above and pursuant to the Governing Documents of the Private Group Companies (other than the Company) and (B) pursuant to offer letters or similar Contracts with service providers who are not Designated Individuals or Affiliated Shareholders entered into in the ordinary course of business providing for the grant or issuance of Equity Securities of a Private Group Company, as of the date hereof, no Private Group Company has any outstanding purchase rights, subscription rights, conversion rights, exchange rights, calls, puts or rights of first refusal or first offer or other Contracts that could require any Private Group Company (other than the Company) to issue, sell or otherwise cause to become outstanding or to acquire, repurchase or redeem any Equity Securities or securities convertible into or exchangeable for Equity Securities of any Private Group Company (other than the Company), in each case other than to another Group Company. Except for the Governing Documents of the applicable Private Group Company or shareholders agreements or similar Contracts to which the applicable Private Group Company is a party and that has, in the case of each such material agreement or Contract, been made available to MAAC, there are no voting trusts, proxies or other Contracts to which a Private Group Company is a party with respect to the voting or transfer of any Equity Securities of any Private Group Company (other than the Company), in each case other than in favor of the Company.</w:t>
      </w:r>
    </w:p>
    <w:p>
      <w:pPr>
        <w:spacing w:after="0" w:line="191"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Schedules sets forth a true and complete statement as of the date hereof of the number and class or series (as applicable) of all of the capital stock of each Public Group Company owned by the Company (whether </w:t>
      </w:r>
      <w:r>
        <w:rPr>
          <w:rFonts w:ascii="Times New Roman" w:cs="Times New Roman" w:eastAsia="Times New Roman" w:hAnsi="Times New Roman"/>
          <w:sz w:val="18"/>
          <w:szCs w:val="18"/>
          <w:u w:val="single" w:color="auto"/>
          <w:color w:val="auto"/>
        </w:rPr>
        <w:t>of record, beneficially, legally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 otherwise).</w:t>
      </w:r>
    </w:p>
    <w:p>
      <w:pPr>
        <w:spacing w:after="0" w:line="175"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5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Effective Time, (i) the authorized share capital of the Company will consist of 7,000,000,000 Company Post-Closing Common Shares and (ii) all of the issued and outstanding Company Post-Closing Common Shares (A) will be duly authorized, validly issued, fully paid and nonassessable and (B) will not have been issued in breach or violation of any preemptive rights, call option, right of first refusal or first offer, subscription rights, transfer restrictions or similar rights of any Person or any Contract to which the Company is a party.</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279" w:name="page280"/>
    <w:bookmarkEnd w:id="279"/>
    <w:p>
      <w:pPr>
        <w:ind w:right="500" w:firstLine="987"/>
        <w:spacing w:after="0" w:line="289" w:lineRule="auto"/>
        <w:tabs>
          <w:tab w:leader="none" w:pos="1236"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Equity Securities of the Company have been offered, sold and issued by the Company in compliance with applicable Law, including Securities Laws, in all material respects. Immediately after the Effective Time, all of the issued and outstanding Company Post-Closing Common Shares will have been offered, sold and issued in compliance with applicable Law, including Securities Laws, in all material respects.</w:t>
      </w:r>
    </w:p>
    <w:p>
      <w:pPr>
        <w:spacing w:after="0" w:line="157" w:lineRule="exact"/>
        <w:rPr>
          <w:rFonts w:ascii="Times New Roman" w:cs="Times New Roman" w:eastAsia="Times New Roman" w:hAnsi="Times New Roman"/>
          <w:sz w:val="17"/>
          <w:szCs w:val="17"/>
          <w:color w:val="auto"/>
        </w:rPr>
      </w:pPr>
    </w:p>
    <w:p>
      <w:pPr>
        <w:ind w:right="220" w:firstLine="987"/>
        <w:spacing w:after="0" w:line="258" w:lineRule="auto"/>
        <w:tabs>
          <w:tab w:leader="none" w:pos="121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Schedules or for any changes to the extent permitted by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resulting from the acquisition of Equity Securities of any Person permitted by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none of the Private Group Companies owns or holds (of record, beneficially, legally or otherwise), directly or indirectly, any Equity Securities in any other Person (other than Merger Sub) or the right to acquire any such Equity Securities, and none of the Private Group Companies are a partner, member or similar participant of or in any partnership, limited liability company or similar business entity.</w:t>
      </w:r>
    </w:p>
    <w:p>
      <w:pPr>
        <w:spacing w:after="0" w:line="183"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 xml:space="preserve"> of the Company Disclosure Schedules sets forth any agreements evidencing indebtedness to third parties for borrowed money of the Private Group Companies as of the date of this Agreement</w:t>
      </w:r>
      <w:r>
        <w:rPr>
          <w:rFonts w:ascii="Times New Roman" w:cs="Times New Roman" w:eastAsia="Times New Roman" w:hAnsi="Times New Roman"/>
          <w:sz w:val="18"/>
          <w:szCs w:val="18"/>
          <w:u w:val="single" w:color="auto"/>
          <w:color w:val="auto"/>
        </w:rPr>
        <w:t>.</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3.2(h)</w:t>
      </w:r>
      <w:r>
        <w:rPr>
          <w:rFonts w:ascii="Times New Roman" w:cs="Times New Roman" w:eastAsia="Times New Roman" w:hAnsi="Times New Roman"/>
          <w:sz w:val="18"/>
          <w:szCs w:val="18"/>
          <w:color w:val="auto"/>
        </w:rPr>
        <w:t xml:space="preserve"> of the Company Disclosure Schedules sets forth a list of all Transaction Payments of the Private Group Companies as of the date of this Agreement and, to the knowledge of the Company, of the Public Group Companies and Datavant as of the date of this Agreement.</w:t>
      </w:r>
    </w:p>
    <w:p>
      <w:pPr>
        <w:spacing w:after="0" w:line="161" w:lineRule="exact"/>
        <w:rPr>
          <w:rFonts w:ascii="Times New Roman" w:cs="Times New Roman" w:eastAsia="Times New Roman" w:hAnsi="Times New Roman"/>
          <w:sz w:val="18"/>
          <w:szCs w:val="18"/>
          <w:color w:val="auto"/>
        </w:rPr>
      </w:pPr>
    </w:p>
    <w:p>
      <w:pPr>
        <w:ind w:right="40" w:firstLine="987"/>
        <w:spacing w:after="0" w:line="261" w:lineRule="auto"/>
        <w:tabs>
          <w:tab w:leader="none" w:pos="120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MAAC a schedule that sets forth, with respect to each Company Equity Award outstanding as of the Designated Capitalization Date (i) the date of grant and (ii) any applicable exercise, hurdle cap, “knock-in” or similar price (in the case of Company Options and Company CVAR Awards). Each Company Option and Company CVAR Award was granted with an exercise price equal to or greater than the fair market value of the underlying Company Pre-Closing Common Share on the date of grant.</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The Company and Merger Sub each have the requisite corporate, limited liability company or other similar power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execute and deliver this Agreement and each Ancillary Document to which it is or will be a party, to perform its obligations hereunder and thereunder and to consummate the transactions contemplated hereby and thereby. The execution and delivery of this Agreement, the Ancillary Documents to which the Company or Merger Sub is or will be a party and the consummation of the transactions contemplated hereby and thereby have been (or, in the case of any Ancillary Document entered into after the date of this Agreement, will be upon execution thereof) duly authorized by all necessary corporate (or other similar) action on the part of the Company or Merger Sub. This Agreement and each Ancillary Document to which the Company or Merger Sub is or will be a party has been or will be, upon execution thereof, as applicable, duly and validly executed and delivered by the Company and/or Merger Sub, as applicable, and constitutes or will constitute, upon execution and delivery thereof, as applicable, a valid, legal and binding agreement of the Company and/or Merger Sub, as applicable (assuming that this Agreement and the Ancillary Documents to which the Company and/or Merger Sub is or will be a party are or will be upon execution thereof, as applicable, duly authorized, executed and delivered by the other Persons party thereto), enforceable against the Company and/or Merger Sub, as applicable, in accordance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280" w:name="page281"/>
    <w:bookmarkEnd w:id="28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its terms (subject to applicable bankruptcy, insolvency, reorganization, moratorium or other Laws affecting generally the enforcement of creditors’ rights and subject to general principles of equity). The Company Shareholder Written Consent and the approval to be obtained by Merger Sub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are the only votes or consents of the holders of any class or series of Equity Securities of the Company or Merger Sub required to approve and adopt this Agreement, the Ancillary Documents to which the Company or Merger Sub is or is contemplated to be a party, the performance of the obligations of the Company and Merger Sub hereunder and thereunder and the consummation of the transactions contemplated hereby (including the Merger and the Company Pre-Closing Steps).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Financial Statements;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3"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MAAC a true and complete copy of (i) the audited consolidated balance sheet of the Company as of March 31, 2019 and March 31, 2020 and the related audited consolidated statements of operations, comprehensive income (loss), shareholders’ equity and redeemable non-controlling interest and cash flows of the Company for the years then ended and (ii) the unaudited consolidated balance sheet of the Company as of December 31, 2020 (the “</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and the related unaudited consolidated statements of operations, comprehensive income (loss), shareholders’ equity and redeemable non-controlling interest and cash flows of the Company for the period then ended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Each of the Company Financial Statements (including the notes thereto) (A) were prepared in accordance with GAAP applied on a consistent basis throughout the periods indicated (except as may be indicated in the notes thereto), (B) fairly presents, in all material respects in accordance with GAAP, the consolidated financial position, results of operations and cash flows of the Company as at the date thereof and for the period indicated therein (except as may be indicated therein and subject to, in the case of any unaudited financial statements, normal year end audit adjustments (none of which are, individually or in the aggregate, material)), and (C) in the case of the Company Financial Statements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preceding sentence, contain an unqualified report of the Company’s auditors and comply in all material respects with the applicable accounting requirements and with the rules and regulations of the SEC, the Exchange Act and the Securities Act (including Regulation S-X or Regulation S-K, as applicable) in effect as of the date of this Agreement.</w:t>
      </w:r>
    </w:p>
    <w:p>
      <w:pPr>
        <w:spacing w:after="0" w:line="187" w:lineRule="exact"/>
        <w:rPr>
          <w:rFonts w:ascii="Times New Roman" w:cs="Times New Roman" w:eastAsia="Times New Roman" w:hAnsi="Times New Roman"/>
          <w:sz w:val="18"/>
          <w:szCs w:val="18"/>
          <w:color w:val="auto"/>
        </w:rPr>
      </w:pPr>
    </w:p>
    <w:p>
      <w:pPr>
        <w:ind w:right="40" w:firstLine="987"/>
        <w:spacing w:after="0" w:line="271" w:lineRule="auto"/>
        <w:tabs>
          <w:tab w:leader="none" w:pos="1246"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or similar reports required to be included in the Registration Statement / Proxy Statement (including (i) the audited consolidated balance sheet of the Company as of March 31, 2019 and March 31, 2020 and the related audited consolidated statements of operations, comprehensive income (loss), shareholders’ equity and redeemable non-controlling interest and cash flows of the Company for the years then ended, audited in accordance with the standards of the PCAOB, (ii) the audited consolidated balance sheet of the Company as of March 31, 2021 and the related audited consolidated statements of operations, comprehensive income (loss), shareholders’ equity and redeemable non-controlling interest and cash flows of the Company for the years then ended, audited in accordance with the standards of the PCAOB, and (iii) customary pro forma financial statements) or any other filings to be made by the Company or MAAC with the SEC in connection with the transactions contemplated in this Agreement or any other Ancillary Document (the “</w:t>
      </w:r>
      <w:r>
        <w:rPr>
          <w:rFonts w:ascii="Times New Roman" w:cs="Times New Roman" w:eastAsia="Times New Roman" w:hAnsi="Times New Roman"/>
          <w:sz w:val="17"/>
          <w:szCs w:val="17"/>
          <w:u w:val="single" w:color="auto"/>
          <w:color w:val="auto"/>
        </w:rPr>
        <w:t>Closing Company Financial Statements</w:t>
      </w:r>
      <w:r>
        <w:rPr>
          <w:rFonts w:ascii="Times New Roman" w:cs="Times New Roman" w:eastAsia="Times New Roman" w:hAnsi="Times New Roman"/>
          <w:sz w:val="17"/>
          <w:szCs w:val="17"/>
          <w:color w:val="auto"/>
        </w:rPr>
        <w:t xml:space="preserve">”), when delivered following the date of this Agreement in accordance with </w:t>
      </w:r>
      <w:r>
        <w:rPr>
          <w:rFonts w:ascii="Times New Roman" w:cs="Times New Roman" w:eastAsia="Times New Roman" w:hAnsi="Times New Roman"/>
          <w:sz w:val="17"/>
          <w:szCs w:val="17"/>
          <w:u w:val="single" w:color="auto"/>
          <w:color w:val="auto"/>
        </w:rPr>
        <w:t>Section 5.17</w:t>
      </w:r>
      <w:r>
        <w:rPr>
          <w:rFonts w:ascii="Times New Roman" w:cs="Times New Roman" w:eastAsia="Times New Roman" w:hAnsi="Times New Roman"/>
          <w:sz w:val="17"/>
          <w:szCs w:val="17"/>
          <w:color w:val="auto"/>
        </w:rPr>
        <w:t>, (i) will be prepared in accordance with GAAP applied on a consistent basis throughout the periods indicated (except as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281" w:name="page282"/>
    <w:bookmarkEnd w:id="28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be indicated in the notes thereto and subject to, in the case of any unaudited financial statements, normal year end audit adjustments (none of which are, individually or in the aggregate, material) and the absence of notes thereto), (ii) will fairly present, in all material respects in accordance with GAAP, the consolidated financial position, results of operations and cash flows of the Company as at the date thereof and for the period indicated therein (except as may be indicated therein and subject to, in the case of any unaudited financial statements, normal year end audit adjustments (none of which are, individually or in the aggregate, material)), (iii) in the case of any audited financial statements, will be audited in accordance with the standards of the PCAOB and will contain an unqualified report of the Company’s auditors and (iv) will comply in all material respects with the applicable accounting requirements and with the rules and regulations of the SEC, the Exchange Act and the Securities Act (including Regulation S-X or Regulation S-K, as applicable) in effect as of their respective dates of delivery, at the time of filing of the Registration Statement / Proxy Statement (in the case of the Closing Company Financial Statements included in the initial filing of the Registration Statement / Proxy Statement) and at the time of effectiveness of the Registration Statement / Proxy Statement (in the case of all Closing Company Financial Statements).</w:t>
      </w:r>
    </w:p>
    <w:p>
      <w:pPr>
        <w:spacing w:after="0" w:line="194" w:lineRule="exact"/>
        <w:rPr>
          <w:sz w:val="20"/>
          <w:szCs w:val="20"/>
          <w:color w:val="auto"/>
        </w:rPr>
      </w:pPr>
    </w:p>
    <w:p>
      <w:pPr>
        <w:ind w:right="40" w:firstLine="987"/>
        <w:spacing w:after="0" w:line="272" w:lineRule="auto"/>
        <w:tabs>
          <w:tab w:leader="none" w:pos="1236"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 as set forth on or provided for in the Company Financial Statements (and in the notes thereto), (ii) for Liabilities incurred in the ordinary course of business since the date of the Latest Balance Sheet (none of which are Liabilities for a breach of Contract, breach of warranty, tort, infringement, Proceeding or violation of, or non-compliance with, Law), (iii) for Liabilities incurred in connection with the negotiation, preparation or execution of this Agreement or any Ancillary Documents, the performance by any of the Company of its covenants or agreements in this Agreement or any Ancillary Document to which it is or will be a party or the consummation of the transactions contemplated hereby or thereby (including, for the avoidance of doubt, the Company Expenses), (iv) executory obligations under Contracts (excluding any Liabilities for a breach of Contract), (v) that are expressly permitted pursuant to or incurred in accordance with </w:t>
      </w:r>
      <w:r>
        <w:rPr>
          <w:rFonts w:ascii="Times New Roman" w:cs="Times New Roman" w:eastAsia="Times New Roman" w:hAnsi="Times New Roman"/>
          <w:sz w:val="17"/>
          <w:szCs w:val="17"/>
          <w:u w:val="single" w:color="auto"/>
          <w:color w:val="auto"/>
        </w:rPr>
        <w:t>Section 5.1(b)</w:t>
      </w:r>
      <w:r>
        <w:rPr>
          <w:rFonts w:ascii="Times New Roman" w:cs="Times New Roman" w:eastAsia="Times New Roman" w:hAnsi="Times New Roman"/>
          <w:sz w:val="17"/>
          <w:szCs w:val="17"/>
          <w:color w:val="auto"/>
        </w:rPr>
        <w:t xml:space="preserve"> (including as expressly set forth in </w:t>
      </w:r>
      <w:r>
        <w:rPr>
          <w:rFonts w:ascii="Times New Roman" w:cs="Times New Roman" w:eastAsia="Times New Roman" w:hAnsi="Times New Roman"/>
          <w:sz w:val="17"/>
          <w:szCs w:val="17"/>
          <w:u w:val="single" w:color="auto"/>
          <w:color w:val="auto"/>
        </w:rPr>
        <w:t>Section 5.1(b)</w:t>
      </w:r>
      <w:r>
        <w:rPr>
          <w:rFonts w:ascii="Times New Roman" w:cs="Times New Roman" w:eastAsia="Times New Roman" w:hAnsi="Times New Roman"/>
          <w:sz w:val="17"/>
          <w:szCs w:val="17"/>
          <w:color w:val="auto"/>
        </w:rPr>
        <w:t xml:space="preserve"> of the Company Disclosure Schedules) and (vi) for Liabilities that would not have a Company Material Adverse Effect, no Group Company has any Liabilities.</w:t>
      </w:r>
    </w:p>
    <w:p>
      <w:pPr>
        <w:spacing w:after="0" w:line="171" w:lineRule="exact"/>
        <w:rPr>
          <w:rFonts w:ascii="Times New Roman" w:cs="Times New Roman" w:eastAsia="Times New Roman" w:hAnsi="Times New Roman"/>
          <w:sz w:val="17"/>
          <w:szCs w:val="17"/>
          <w:color w:val="auto"/>
        </w:rPr>
      </w:pPr>
    </w:p>
    <w:p>
      <w:pPr>
        <w:ind w:right="180" w:firstLine="987"/>
        <w:spacing w:after="0" w:line="256"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has established and maintains a system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Company’s consolidated assets. The Company maintains and, for all periods covered by the Company Financial Statements and the Closing Company Financial Statements, has maintained books and records of the Company in the ordinary course of business that are accurate and complete and reflect the consolidated revenues, expenses, assets and liabilities of the Company in all material respects.</w:t>
      </w:r>
    </w:p>
    <w:p>
      <w:pPr>
        <w:spacing w:after="0" w:line="187"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the Company has not received any written complaint, allegation, assertion or claim that there is (i) “significant deficiency” in the internal controls over financial reporting of the Company or, to the knowledge of the Company, any other Group Company as it pertains to the Company’s consolidated financial reporting, (ii) a “material weakness” in the internal controls over financial reporting of the Company or, to the knowledge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282" w:name="page283"/>
    <w:bookmarkEnd w:id="282"/>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Company, any other Group Company as it pertains to the Company’s consolidated financial reporting or (iii) fraud, whether or not material, that involves management or other employees of the Group Companies who have a significant role in the internal controls over financial reporting of the Company or, to the knowledge of the Company, any other Group Company as it pertains to the Company’s consolidated financial reporting.</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Consents and Requisite Governmental Approvals; No Violations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987"/>
        <w:spacing w:after="0" w:line="253" w:lineRule="auto"/>
        <w:tabs>
          <w:tab w:leader="none" w:pos="12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Entity is required on the part of the Company or Merger Sub with respect to the Company or Merger Sub’s execution, delivery or performance of its obligations under this Agreement or the Ancillary Documents to which the Company or Merger Sub is or will be party or the consummation of the transactions contemplated hereby or thereby, except for (i) compliance with and filings under the HSR Act, if applicable, or under any applicable antitrust or other competition Laws of any non-U.S. jurisdictions or any other merger control or investment laws or laws that provide for review of national security or defense matters (collectively, “</w:t>
      </w:r>
      <w:r>
        <w:rPr>
          <w:rFonts w:ascii="Times New Roman" w:cs="Times New Roman" w:eastAsia="Times New Roman" w:hAnsi="Times New Roman"/>
          <w:sz w:val="18"/>
          <w:szCs w:val="18"/>
          <w:u w:val="single" w:color="auto"/>
          <w:color w:val="auto"/>
        </w:rPr>
        <w:t>Foreign and Domestic Approval Laws</w:t>
      </w:r>
      <w:r>
        <w:rPr>
          <w:rFonts w:ascii="Times New Roman" w:cs="Times New Roman" w:eastAsia="Times New Roman" w:hAnsi="Times New Roman"/>
          <w:sz w:val="18"/>
          <w:szCs w:val="18"/>
          <w:color w:val="auto"/>
        </w:rPr>
        <w:t xml:space="preserve">”),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the filing of (A) the Certificate of Merger and (B) any filings required under the Companies Act in connection with the Company Pre-Closing Steps or the Merger, (iv) such filings with and approvals of Nasdaq to permit the Company Post-Closing Common Shares to be issued in connection with the transactions contemplated by this Agreement and the other Ancillary Documents to be listed on Nasdaq, (v) the approval to be obtained by Merger Sub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(vi) any other consents, approvals, authorizations, designations, declarations, waivers or filings, the absence of which would not have a Company Material Adverse Effect.</w:t>
      </w:r>
    </w:p>
    <w:p>
      <w:pPr>
        <w:spacing w:after="0" w:line="187" w:lineRule="exact"/>
        <w:rPr>
          <w:rFonts w:ascii="Times New Roman" w:cs="Times New Roman" w:eastAsia="Times New Roman" w:hAnsi="Times New Roman"/>
          <w:sz w:val="18"/>
          <w:szCs w:val="18"/>
          <w:color w:val="auto"/>
        </w:rPr>
      </w:pPr>
    </w:p>
    <w:p>
      <w:pPr>
        <w:ind w:left="4" w:right="40" w:firstLine="987"/>
        <w:spacing w:after="0" w:line="269" w:lineRule="auto"/>
        <w:tabs>
          <w:tab w:leader="none" w:pos="125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execution or delivery by the Company or Merger Sub of this Agreement or any Ancillary Documents to which it is or will be a party, the performance by the Company or Merger Sub of its obligations hereunder or thereunder or the consummation of the transactions contemplated hereby or thereby will, directly or indirectly (with or without due notice or lapse of time or both) (i) result in a violation or breach of any provision of any Group Company’s Governing Documents, (ii) result in a violation or breach of, or constitute a default or give rise to any right of termination, Consent, cancellation, amendment, modification, suspension, revocation or acceleration under, any of the terms, conditions or provisions of</w:t>
      </w:r>
    </w:p>
    <w:p>
      <w:pPr>
        <w:spacing w:after="0" w:line="2" w:lineRule="exact"/>
        <w:rPr>
          <w:rFonts w:ascii="Times New Roman" w:cs="Times New Roman" w:eastAsia="Times New Roman" w:hAnsi="Times New Roman"/>
          <w:sz w:val="17"/>
          <w:szCs w:val="17"/>
          <w:color w:val="auto"/>
        </w:rPr>
      </w:pPr>
    </w:p>
    <w:p>
      <w:pPr>
        <w:ind w:left="4" w:right="140" w:hanging="4"/>
        <w:spacing w:after="0" w:line="253" w:lineRule="auto"/>
        <w:tabs>
          <w:tab w:leader="none" w:pos="29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Contract or (B) any Material Permits, (iii) violate, or constitute a breach under, any Order or applicable Law to which any Group Company or any of its properties or assets are subject or bound or (iv) result in the creation of any Lien upon any of the assets or properties (other than any Permitted Liens) or Equity Securities of any Group Company,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as would not have a Company Material Adverse Effect.</w:t>
      </w:r>
    </w:p>
    <w:p>
      <w:pPr>
        <w:spacing w:after="0" w:line="185" w:lineRule="exact"/>
        <w:rPr>
          <w:sz w:val="20"/>
          <w:szCs w:val="20"/>
          <w:color w:val="auto"/>
        </w:rPr>
      </w:pPr>
    </w:p>
    <w:p>
      <w:pPr>
        <w:ind w:left="4"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Except as would not have a Company Material Adverse Effect,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Companies has all Permits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that are required to own, lease or operate its properties and assets and to conduct its business as currently conducted. Except as would not have a Company Material Adverse Effect, (i) each Material Permit is in full force and effect in accordance with its terms and (ii) no written notice of revocation, cancellation or termination of any Material Permit has been received by any Private Group Company.</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283" w:name="page284"/>
    <w:bookmarkEnd w:id="28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3.7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8"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sets forth a list of the following Contracts to which a Private Group Company or, in the case of </w:t>
      </w:r>
      <w:r>
        <w:rPr>
          <w:rFonts w:ascii="Times New Roman" w:cs="Times New Roman" w:eastAsia="Times New Roman" w:hAnsi="Times New Roman"/>
          <w:sz w:val="18"/>
          <w:szCs w:val="18"/>
          <w:u w:val="single" w:color="auto"/>
          <w:color w:val="auto"/>
        </w:rPr>
        <w:t>Section 3.7(a)(viii)(B)</w:t>
      </w:r>
      <w:r>
        <w:rPr>
          <w:rFonts w:ascii="Times New Roman" w:cs="Times New Roman" w:eastAsia="Times New Roman" w:hAnsi="Times New Roman"/>
          <w:sz w:val="18"/>
          <w:szCs w:val="18"/>
          <w:color w:val="auto"/>
        </w:rPr>
        <w:t xml:space="preserve">, Datavant is, as of the date of this Agreement, a party (each Contract required to be set forth on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together with each Contract entered into after the date of this Agreement that would be required to be set forth on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if entered into prior to the execution and delivery of this Agreement, collectively,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any Contract relating to indebtedness for borrowed money to a third party of any Private Group Company in excess of</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$25 million or to the placing of a Lien (other than a Permitted Lien) on any assets or properties of any Private Group Company that are material to the business of all of the Private Group Companies, taken as a whole;</w:t>
      </w:r>
    </w:p>
    <w:p>
      <w:pPr>
        <w:spacing w:after="0" w:line="181" w:lineRule="exact"/>
        <w:rPr>
          <w:sz w:val="20"/>
          <w:szCs w:val="20"/>
          <w:color w:val="auto"/>
        </w:rPr>
      </w:pPr>
    </w:p>
    <w:p>
      <w:pPr>
        <w:ind w:right="440" w:firstLine="1428"/>
        <w:spacing w:after="0" w:line="312" w:lineRule="auto"/>
        <w:tabs>
          <w:tab w:leader="none" w:pos="1697"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under which any Private Group Company is lessee of or holds or operates, in each case, any tangible property (other than real property) that is material to the business of all of the Private Group Companies, taken as a whole, owned by any other Person;</w:t>
      </w:r>
    </w:p>
    <w:p>
      <w:pPr>
        <w:spacing w:after="0" w:line="139" w:lineRule="exact"/>
        <w:rPr>
          <w:rFonts w:ascii="Times New Roman" w:cs="Times New Roman" w:eastAsia="Times New Roman" w:hAnsi="Times New Roman"/>
          <w:sz w:val="17"/>
          <w:szCs w:val="17"/>
          <w:color w:val="auto"/>
        </w:rPr>
      </w:pPr>
    </w:p>
    <w:p>
      <w:pPr>
        <w:ind w:right="100" w:firstLine="1428"/>
        <w:spacing w:after="0" w:line="282" w:lineRule="auto"/>
        <w:tabs>
          <w:tab w:leader="none" w:pos="174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profit-sharing, partnership, co-promotion, commercialization or other similar Contract, in each case, material to the business all of the Private Group Companies, taken as a whole;</w:t>
      </w:r>
    </w:p>
    <w:p>
      <w:pPr>
        <w:spacing w:after="0" w:line="161" w:lineRule="exact"/>
        <w:rPr>
          <w:rFonts w:ascii="Times New Roman" w:cs="Times New Roman" w:eastAsia="Times New Roman" w:hAnsi="Times New Roman"/>
          <w:sz w:val="18"/>
          <w:szCs w:val="18"/>
          <w:color w:val="auto"/>
        </w:rPr>
      </w:pPr>
    </w:p>
    <w:p>
      <w:pPr>
        <w:ind w:right="100" w:firstLine="1428"/>
        <w:spacing w:after="0" w:line="258" w:lineRule="auto"/>
        <w:tabs>
          <w:tab w:leader="none" w:pos="173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material to the business of all of the Private Group Companies, taken as a whole, and (A) limits or purports to limit the freedom of any Private Group Company to engage or compete in any line of business or with any Person or in any area, (B) contains any exclusivity, “most favored nation” or similar provisions, obligations or restrictions that are binding on a Private Group Company or (C) contains any other provisions restricting or purporting to restrict the ability of any Private Group Company to sell, manufacture, develop, commercialize, test or research products, directly or indirectly through third parties, or to solicit any potential employee or customer;</w:t>
      </w:r>
    </w:p>
    <w:p>
      <w:pPr>
        <w:spacing w:after="0" w:line="183" w:lineRule="exact"/>
        <w:rPr>
          <w:rFonts w:ascii="Times New Roman" w:cs="Times New Roman" w:eastAsia="Times New Roman" w:hAnsi="Times New Roman"/>
          <w:sz w:val="18"/>
          <w:szCs w:val="18"/>
          <w:color w:val="auto"/>
        </w:rPr>
      </w:pPr>
    </w:p>
    <w:p>
      <w:pPr>
        <w:ind w:right="420" w:firstLine="1428"/>
        <w:spacing w:after="0" w:line="282" w:lineRule="auto"/>
        <w:tabs>
          <w:tab w:leader="none" w:pos="168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requiring any Private Group Company to guarantee the Liabilities of any Person (other than the Company or a Subsidiary of the Company) in excess of $10 million;</w:t>
      </w:r>
    </w:p>
    <w:p>
      <w:pPr>
        <w:spacing w:after="0" w:line="161" w:lineRule="exact"/>
        <w:rPr>
          <w:rFonts w:ascii="Times New Roman" w:cs="Times New Roman" w:eastAsia="Times New Roman" w:hAnsi="Times New Roman"/>
          <w:sz w:val="18"/>
          <w:szCs w:val="18"/>
          <w:color w:val="auto"/>
        </w:rPr>
      </w:pPr>
    </w:p>
    <w:p>
      <w:pPr>
        <w:ind w:right="40" w:firstLine="1428"/>
        <w:spacing w:after="0" w:line="266" w:lineRule="auto"/>
        <w:tabs>
          <w:tab w:leader="none" w:pos="173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entered into under which any Private Group Company has, directly or indirectly, made or agreed to make any loan, advance or assignment of payment to any Person (other than the Company or a Subsidiary of the Company), individually or in the aggregate, in an amount in excess of $10 million;</w:t>
      </w:r>
    </w:p>
    <w:p>
      <w:pPr>
        <w:spacing w:after="0" w:line="17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required to be disclosed on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Company Disclosure Schedules;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284" w:name="page285"/>
    <w:bookmarkEnd w:id="284"/>
    <w:p>
      <w:pPr>
        <w:ind w:right="20" w:firstLine="1428"/>
        <w:spacing w:after="0" w:line="256" w:lineRule="auto"/>
        <w:tabs>
          <w:tab w:leader="none" w:pos="183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Contract with any Person (A) pursuant to which any Private Group Company may be required to pay milestones, royalties or other contingent payments based on any research, testing, development, regulatory filings or approval, sale, distribution, commercial manufacture or other similar occurrences, developments, activities or events, in each case, that are material to the business of, or that are material in amount to all of, the Private Group Companies, taken as a whole, or (B) under which any Private Group Company or Datavant grants to any Person any right of first refusal, right of first negotiation, option to purchase, option to license or any other similar preferential rights with respect to any Company Product or any Company Owned Intellectual Property that is material to the business of all of the Private Group Companies, taken as a whole;</w:t>
      </w:r>
    </w:p>
    <w:p>
      <w:pPr>
        <w:spacing w:after="0" w:line="18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governing the terms of, or otherwise related to, the employment, engagement or services of any Designated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w:t>
      </w:r>
    </w:p>
    <w:p>
      <w:pPr>
        <w:spacing w:after="0" w:line="206" w:lineRule="exact"/>
        <w:rPr>
          <w:rFonts w:ascii="Times New Roman" w:cs="Times New Roman" w:eastAsia="Times New Roman" w:hAnsi="Times New Roman"/>
          <w:sz w:val="18"/>
          <w:szCs w:val="18"/>
          <w:color w:val="auto"/>
        </w:rPr>
      </w:pPr>
    </w:p>
    <w:p>
      <w:pPr>
        <w:ind w:right="280" w:firstLine="1428"/>
        <w:spacing w:after="0" w:line="277" w:lineRule="auto"/>
        <w:tabs>
          <w:tab w:leader="none" w:pos="1687"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for the disposition of all or a material portion of the assets or business of any Private Group Company or for the acquisition by any Private Group Company of all or a material portion of the assets or business of any other Person (in each case, whether by merger, consolidation, recapitalization, purchase or issuance of Equity Securities, purchase of assets, tender offer or otherwise), in each case under which any Private Group Company has any continuing Liabilities (including any obligation with respect to an “earn out,” purchase price or other contingent or deferred payment obligation) that are material to the business of, or material in amount to, all of the Group Companies, taken as a whole;</w:t>
      </w:r>
    </w:p>
    <w:p>
      <w:pPr>
        <w:spacing w:after="0" w:line="167" w:lineRule="exact"/>
        <w:rPr>
          <w:rFonts w:ascii="Times New Roman" w:cs="Times New Roman" w:eastAsia="Times New Roman" w:hAnsi="Times New Roman"/>
          <w:sz w:val="17"/>
          <w:szCs w:val="17"/>
          <w:color w:val="auto"/>
        </w:rPr>
      </w:pPr>
    </w:p>
    <w:p>
      <w:pPr>
        <w:ind w:firstLine="1428"/>
        <w:spacing w:after="0" w:line="261" w:lineRule="auto"/>
        <w:tabs>
          <w:tab w:leader="none" w:pos="173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conciliation or similar Contract (A) the performance of which would be reasonably likely to involve any material payments by any Private Group Company after the date of this Agreement or (B) that imposes or is reasonably likely to impose, at any time in the future, any material, non-monetary obligations on any Private Group Company (or MAAC or any of its Affiliates (other than the Group Companies) after the Closing); and</w:t>
      </w:r>
    </w:p>
    <w:p>
      <w:pPr>
        <w:spacing w:after="0" w:line="179" w:lineRule="exact"/>
        <w:rPr>
          <w:rFonts w:ascii="Times New Roman" w:cs="Times New Roman" w:eastAsia="Times New Roman" w:hAnsi="Times New Roman"/>
          <w:sz w:val="18"/>
          <w:szCs w:val="18"/>
          <w:color w:val="auto"/>
        </w:rPr>
      </w:pPr>
    </w:p>
    <w:p>
      <w:pPr>
        <w:ind w:right="40" w:firstLine="1428"/>
        <w:spacing w:after="0" w:line="261" w:lineRule="auto"/>
        <w:tabs>
          <w:tab w:leader="none" w:pos="178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the performance of which requires non-contingent payments either (A) on an annual basis, to or from any Private Group Company in excess of $10 million, or (B) in the aggregate, to or from any Private Group Company in excess of $25 million over the life of the agreement and, in each case, that is not terminable by the applicable Private Group Company without penalty upon less than sixty (60) days’ prior written notice.</w:t>
      </w:r>
    </w:p>
    <w:p>
      <w:pPr>
        <w:spacing w:after="0" w:line="179"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(i) each Material Contract is valid and binding on the applicable Group Company and, to the Company’s knowledge,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breach of, or default under, any Material Contract and (iii) no event has occurred that (with or without due notice or lapse of time or both) would result in a breach of, or default under, any Material Contract by the applicable Group Company or, to the Company’s knowledge, the counterparties thereto. The Company has made available to MAAC true and complete copies of all Material Contracts in effect as of the date hereof (other than purchase orders, invoices, and similar confirmatory or administrative documents that are ancillary to the main contractual relationship between the parties to a particular Contract or group of Contracts and that, in each case, do not contain any material executory or continuing terms, conditions, obligations or rights).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285" w:name="page286"/>
    <w:bookmarkEnd w:id="285"/>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3.8 </w:t>
      </w:r>
      <w:r>
        <w:rPr>
          <w:rFonts w:ascii="Times New Roman" w:cs="Times New Roman" w:eastAsia="Times New Roman" w:hAnsi="Times New Roman"/>
          <w:sz w:val="18"/>
          <w:szCs w:val="18"/>
          <w:b w:val="1"/>
          <w:bCs w:val="1"/>
          <w:u w:val="single" w:color="auto"/>
          <w:color w:val="auto"/>
        </w:rPr>
        <w:t>Absence of Changes</w:t>
      </w:r>
      <w:r>
        <w:rPr>
          <w:rFonts w:ascii="Times New Roman" w:cs="Times New Roman" w:eastAsia="Times New Roman" w:hAnsi="Times New Roman"/>
          <w:sz w:val="18"/>
          <w:szCs w:val="18"/>
          <w:color w:val="auto"/>
        </w:rPr>
        <w:t>. During the period beginning on April 1, 2020 and ending on the date of this Agreement, (a) no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Material Adverse Effect has occurred and (b) except (x) as expressly contemplated by this Agreement, any Ancillary Document or in connection with the transactions contemplated hereby and thereby, (y) for any action taken, or omitted to be taken, by any Group Company to the extent determined to be reasonable and advisable in response to COVID-19, or (z) as would not reasonably be expected to be, individually or in the aggregate, material to the Company and its Subsidiaries, taken as a whole, (i) the Group Companies have conducted their businesses in the ordinary course, and (ii) no Private Group Company has taken any action that would require the consent of MAAC if taken during the period from the date of this Agreement until the Closing pursuant to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5.1(b)(xv)</w:t>
      </w:r>
      <w:r>
        <w:rPr>
          <w:rFonts w:ascii="Times New Roman" w:cs="Times New Roman" w:eastAsia="Times New Roman" w:hAnsi="Times New Roman"/>
          <w:sz w:val="18"/>
          <w:szCs w:val="18"/>
          <w:color w:val="auto"/>
        </w:rPr>
        <w:t xml:space="preserve"> (to the extent related to any of the foregoing).</w:t>
      </w:r>
    </w:p>
    <w:p>
      <w:pPr>
        <w:spacing w:after="0" w:line="183"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There is, and since January 1, 2019 there has been, no Proceeding pending or, to the Company’s knowledge,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any Private Group Company that, if adversely decided or resolved, has been or would reasonably be expected to be, individually or in the aggregate, material to the Group Companies, taken as a whole. Except as would not have a Company Material Adverse Effect, neither the Private Group Companies nor any of their respective properties or assets is subject to any Order. Except as would not have a Company Material Adverse Effect, as of the date of this Agreement, there are no Proceedings by a Private Group Company against any other Person.</w:t>
      </w:r>
    </w:p>
    <w:p>
      <w:pPr>
        <w:spacing w:after="0" w:line="179"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Each Private Group Company (a) conducts (and since January 1, 2019 has conducted)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business in accordance with all Laws and Orders applicable to such Private Group Company and (b) as of the date hereof, has not received any written communications or, to the Company’s knowledge, any other communications from or on behalf of a Governmental Entity that alleges that such Private Group Company is not in compliance with any such Law or Order, except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is not, and would not reasonably be expected to be, individually or in the aggregate, material to the Group Companies, taken as a whole.</w:t>
      </w:r>
    </w:p>
    <w:p>
      <w:pPr>
        <w:spacing w:after="0" w:line="179"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Merger Sub Activities</w:t>
      </w:r>
      <w:r>
        <w:rPr>
          <w:rFonts w:ascii="Times New Roman" w:cs="Times New Roman" w:eastAsia="Times New Roman" w:hAnsi="Times New Roman"/>
          <w:sz w:val="18"/>
          <w:szCs w:val="18"/>
          <w:color w:val="auto"/>
        </w:rPr>
        <w:t>. Merger Sub was organized solely for the purpose of entering into this Agreement, the Ancillary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of its covenants and agreements in this Agreement and the Ancillary Documents and consummating the transactions contemplated hereby and thereby and has not engaged in any activities or business, other than those incident or related to, or incurred in connection with, its organization, incorporation or formation, as applicable, its continuing corporate (or similar) existence or the negotiation, preparation or execution of this Agreement or any Ancillary Document, the performance of its covenants or agreements in this Agreement or any Ancillary Document or the consummation of the transactions contemplated hereby or thereby.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286" w:name="page287"/>
    <w:bookmarkEnd w:id="286"/>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3.12 </w:t>
      </w:r>
      <w:r>
        <w:rPr>
          <w:rFonts w:ascii="Times New Roman" w:cs="Times New Roman" w:eastAsia="Times New Roman" w:hAnsi="Times New Roman"/>
          <w:sz w:val="18"/>
          <w:szCs w:val="18"/>
          <w:b w:val="1"/>
          <w:bCs w:val="1"/>
          <w:u w:val="single" w:color="auto"/>
          <w:color w:val="auto"/>
        </w:rPr>
        <w:t>Employee Plans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right="100" w:firstLine="987"/>
        <w:spacing w:after="0" w:line="273" w:lineRule="auto"/>
        <w:tabs>
          <w:tab w:leader="none" w:pos="1216"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Group Company maintains, contributes to, or has any material Liability with respect to or under: (i) a Multiemployer Plan; (ii) a “defined benefit plan” (as defined in Section 3(35) of ERISA, whether or not subject to ERISA) or a plan that is or was subject to Title IV of ERISA or Section 412 of the Code; or (iii) a “multiple employer plan” within the meaning of Section of 413(c) of the Code or Section 210 of ERISA. No Private Group Company maintains, contributes to, or has any material Liability with respect to or under a “multiple employer welfare arrangement” as defined in Section 3(40) of ERISA. No Group Company has any material Liabilities to provide any retiree or post-termination health or life insurance or other welfare-type benefits to any Person other than health continuation coverage pursuant to COBRA or similar law. No Group Company has any material Liabilities under Title IV of ERISA by reason of at any time being considered a single employer under Section 414 of the Code with any other Person.</w:t>
      </w:r>
    </w:p>
    <w:p>
      <w:pPr>
        <w:spacing w:after="0" w:line="171" w:lineRule="exact"/>
        <w:rPr>
          <w:rFonts w:ascii="Times New Roman" w:cs="Times New Roman" w:eastAsia="Times New Roman" w:hAnsi="Times New Roman"/>
          <w:sz w:val="17"/>
          <w:szCs w:val="17"/>
          <w:color w:val="auto"/>
        </w:rPr>
      </w:pPr>
    </w:p>
    <w:p>
      <w:pPr>
        <w:ind w:left="-20" w:firstLine="987"/>
        <w:spacing w:after="0" w:line="256" w:lineRule="auto"/>
        <w:tabs>
          <w:tab w:leader="none" w:pos="122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and would not reasonably be expected to be, individually or in the aggregate, material to the Group Companies, taken as a whole, each Employee Benefit Plan has been established, maintained, funded and administered in accordance with its terms and in compliance with all applicable Laws, including ERISA and the Code. Each Employee Benefit Plan that is intended to be qualified under Section 401(a) of the Code is so qualified and has timely received a favorable determination or opinion or advisory letter from the Internal Revenue Service. Since January 1, 2019, none of the Private Group Companies has incurred (whether or not assessed) any material penalty or Tax under Section 4980H, 4980B, 4980D, 6721 or 6722 of the Code.</w:t>
      </w:r>
    </w:p>
    <w:p>
      <w:pPr>
        <w:spacing w:after="0" w:line="187" w:lineRule="exact"/>
        <w:rPr>
          <w:rFonts w:ascii="Times New Roman" w:cs="Times New Roman" w:eastAsia="Times New Roman" w:hAnsi="Times New Roman"/>
          <w:sz w:val="18"/>
          <w:szCs w:val="18"/>
          <w:color w:val="auto"/>
        </w:rPr>
      </w:pPr>
    </w:p>
    <w:p>
      <w:pPr>
        <w:ind w:left="-20" w:right="80" w:firstLine="987"/>
        <w:spacing w:after="0" w:line="256" w:lineRule="auto"/>
        <w:tabs>
          <w:tab w:leader="none" w:pos="121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pending or, to the Company’s knowledge, threatened in writing, material claims or Proceedings with respect to any Employee Benefit Plan (other than routine claims for benefits). With respect to each Employee Benefit Plan, (i) there have been no “prohibited transactions” within the meaning of Section 4975 of the Code or Sections 406 or 407 of ERISA and no breaches of fiduciary duty (as determined under ERISA), and (ii) all contributions, distributions, reimbursements and premium payments that are due have been timely made, except, in each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is not and would not reasonably be expected to be, individually or in the aggregate, material to the Group Companies, taken as a whole.</w:t>
      </w:r>
    </w:p>
    <w:p>
      <w:pPr>
        <w:spacing w:after="0" w:line="187" w:lineRule="exact"/>
        <w:rPr>
          <w:rFonts w:ascii="Times New Roman" w:cs="Times New Roman" w:eastAsia="Times New Roman" w:hAnsi="Times New Roman"/>
          <w:sz w:val="18"/>
          <w:szCs w:val="18"/>
          <w:color w:val="auto"/>
        </w:rPr>
      </w:pPr>
    </w:p>
    <w:p>
      <w:pPr>
        <w:ind w:left="-20" w:firstLine="987"/>
        <w:spacing w:after="0" w:line="256" w:lineRule="auto"/>
        <w:tabs>
          <w:tab w:leader="none" w:pos="122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consummation of the transactions contemplated by this Agreement will not (alone or in combination with any other event) (i) result in any payment or benefit becoming due to or result in the forgiveness of any indebtedness of any current or former director, manager, officer, employee, individual independent contractor or other service providers of any of the Private Group Companies under any Employee Benefit Plan or (ii) accelerate the time of payment, funding or vesting or increase the amount or value of, or result in the forfeiture of, any compensation or benefit under any Employee Benefit Plan to any current or former director, manager, officer, employee, individual independent contractor or other service providers of any of the Private Group Companies.</w:t>
      </w:r>
    </w:p>
    <w:p>
      <w:pPr>
        <w:spacing w:after="0" w:line="187" w:lineRule="exact"/>
        <w:rPr>
          <w:rFonts w:ascii="Times New Roman" w:cs="Times New Roman" w:eastAsia="Times New Roman" w:hAnsi="Times New Roman"/>
          <w:sz w:val="18"/>
          <w:szCs w:val="18"/>
          <w:color w:val="auto"/>
        </w:rPr>
      </w:pPr>
    </w:p>
    <w:p>
      <w:pPr>
        <w:ind w:left="-20" w:firstLine="987"/>
        <w:spacing w:after="0" w:line="282" w:lineRule="auto"/>
        <w:tabs>
          <w:tab w:leader="none" w:pos="121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Group Companies have no material obligations to indemnify, reimburse, make-whole or “gross-up” any person for any Tax or related interest or penalties incurred by such person imposed under Section 4999 or 409A of the Code.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460" w:top="266" w:right="479" w:bottom="1440" w:gutter="0" w:footer="0" w:header="0"/>
        </w:sectPr>
      </w:pPr>
    </w:p>
    <w:bookmarkStart w:id="287" w:name="page288"/>
    <w:bookmarkEnd w:id="287"/>
    <w:p>
      <w:pPr>
        <w:ind w:left="-40" w:firstLine="987"/>
        <w:spacing w:after="0" w:line="256" w:lineRule="auto"/>
        <w:tabs>
          <w:tab w:leader="none" w:pos="117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Foreign Benefit Plan that is required to be registered or intended to be tax exempt has been registered (and, where applicable, accepted for registration) and is tax exempt and has been maintained in good standing in all material respects, to the extent applicable, with each Governmental Entity. No Foreign Benefit Plan is a “defined benefit plan” (as defined in ERISA, whether or not subject to ERISA) or has any material unfunded or underfunded Liabilities. All material contributions required to have been made by or on behalf of any of the Private Group Companies with respect to plans or arrangements maintained or sponsored a Governmental Entity (including severance, termination indemnities or other similar benefits maintained for employees outside of the U.S.) have been timely made or fully accrued.</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color w:val="auto"/>
        </w:rPr>
        <w:t>. Except as would not have a Company Material Adverse Effect:</w:t>
      </w:r>
    </w:p>
    <w:p>
      <w:pPr>
        <w:spacing w:after="0" w:line="229" w:lineRule="exact"/>
        <w:rPr>
          <w:sz w:val="20"/>
          <w:szCs w:val="20"/>
          <w:color w:val="auto"/>
        </w:rPr>
      </w:pPr>
    </w:p>
    <w:p>
      <w:pPr>
        <w:ind w:left="-40" w:right="520" w:firstLine="987"/>
        <w:spacing w:after="0" w:line="266" w:lineRule="auto"/>
        <w:tabs>
          <w:tab w:leader="none" w:pos="119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Private Group Companies have received any written communication or, to the Company’s knowledge, other communication from any Governmental Entity or any other Person regarding any actual, alleged, or potential violation of, or Liability under, any Environmental Laws.</w:t>
      </w:r>
    </w:p>
    <w:p>
      <w:pPr>
        <w:spacing w:after="0" w:line="175" w:lineRule="exact"/>
        <w:rPr>
          <w:rFonts w:ascii="Times New Roman" w:cs="Times New Roman" w:eastAsia="Times New Roman" w:hAnsi="Times New Roman"/>
          <w:sz w:val="18"/>
          <w:szCs w:val="18"/>
          <w:color w:val="auto"/>
        </w:rPr>
      </w:pPr>
    </w:p>
    <w:p>
      <w:pPr>
        <w:ind w:left="-40" w:right="320" w:firstLine="987"/>
        <w:spacing w:after="0" w:line="282" w:lineRule="auto"/>
        <w:tabs>
          <w:tab w:leader="none" w:pos="120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Company’s knowledge, threatened against any Private Group Company in respect to any Environmental Laws.</w:t>
      </w:r>
    </w:p>
    <w:p>
      <w:pPr>
        <w:spacing w:after="0" w:line="161" w:lineRule="exact"/>
        <w:rPr>
          <w:rFonts w:ascii="Times New Roman" w:cs="Times New Roman" w:eastAsia="Times New Roman" w:hAnsi="Times New Roman"/>
          <w:sz w:val="18"/>
          <w:szCs w:val="18"/>
          <w:color w:val="auto"/>
        </w:rPr>
      </w:pPr>
    </w:p>
    <w:p>
      <w:pPr>
        <w:ind w:left="-40" w:right="20" w:firstLine="987"/>
        <w:spacing w:after="0" w:line="266" w:lineRule="auto"/>
        <w:tabs>
          <w:tab w:leader="none" w:pos="119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manufacture, release, treatment, storage, disposal, arrangement for disposal, transport or handling of, contamination by, or exposure of any Person to, any Hazardous Substances that has given rise to any Liability pursuant to Environmental Laws for any Private Group Company.</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0" w:right="120" w:firstLine="987"/>
        <w:spacing w:after="0" w:line="256" w:lineRule="auto"/>
        <w:tabs>
          <w:tab w:leader="none" w:pos="119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have a Company Material Adverse Effect, (i) all necessary fees and filings with respect to any Company Registered Intellectual Property have been timely submitted to the relevant intellectual property office or Governmental Entity and Internet domain name registrars to maintain such Company Registered Intellectual Property in full force and effect and (ii) there are no Proceedings pending, including litigations,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reissue, opposition, nullity, or cancellation proceedings, that relate to any of the Company Registered Intellectual Property and, to the Company’s knowledge, no such Proceedings are threatened in writing by any Governmental Entity or any other Person.</w:t>
      </w:r>
    </w:p>
    <w:p>
      <w:pPr>
        <w:spacing w:after="0" w:line="187" w:lineRule="exact"/>
        <w:rPr>
          <w:rFonts w:ascii="Times New Roman" w:cs="Times New Roman" w:eastAsia="Times New Roman" w:hAnsi="Times New Roman"/>
          <w:sz w:val="18"/>
          <w:szCs w:val="18"/>
          <w:color w:val="auto"/>
        </w:rPr>
      </w:pPr>
    </w:p>
    <w:p>
      <w:pPr>
        <w:ind w:left="-40" w:right="120" w:firstLine="987"/>
        <w:spacing w:after="0" w:line="255" w:lineRule="auto"/>
        <w:tabs>
          <w:tab w:leader="none" w:pos="120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(i) a Group Company exclusively owns all right, title and interest in and to all Company Owned Intellectual Property, free and clear of all Liens (other than Permitted Liens) and (ii) for all issued Patents owned by the Group Companies, each named inventor on the Patent has assigned their rights to a Group Company. Except as would not have a Company Material Adverse Effect, (x) the applicable Group Company has rights under all Contracts for Company Licensed Intellectual Property to use, sell, license and otherwise exploit, as the case may be, all Company Licensed Intellectual Property licensed pursuant to such Contracts as the same is currently used, sold, licensed and otherwise exploited by such Group Company, (y) the Company Owned Intellectual Property and the Company Licensed Intellectual Property, to the Company’s knowledge, constitute all of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480" w:top="270" w:right="499" w:bottom="1440" w:gutter="0" w:footer="0" w:header="0"/>
        </w:sectPr>
      </w:pPr>
    </w:p>
    <w:bookmarkStart w:id="288" w:name="page289"/>
    <w:bookmarkEnd w:id="28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Intellectual Property Rights used or held for use by the Group Companies in the operation of their respective businesses, and all Intellectual Property Rights necessary and sufficient to enable the Group Companies to conduct their respective businesses as currently conducted (it being understood that this </w:t>
      </w:r>
      <w:r>
        <w:rPr>
          <w:rFonts w:ascii="Times New Roman" w:cs="Times New Roman" w:eastAsia="Times New Roman" w:hAnsi="Times New Roman"/>
          <w:sz w:val="18"/>
          <w:szCs w:val="18"/>
          <w:u w:val="single" w:color="auto"/>
          <w:color w:val="auto"/>
        </w:rPr>
        <w:t>Section 3.14(b)(y)</w:t>
      </w:r>
      <w:r>
        <w:rPr>
          <w:rFonts w:ascii="Times New Roman" w:cs="Times New Roman" w:eastAsia="Times New Roman" w:hAnsi="Times New Roman"/>
          <w:sz w:val="18"/>
          <w:szCs w:val="18"/>
          <w:color w:val="auto"/>
        </w:rPr>
        <w:t xml:space="preserve"> is not a representation or warranty with respect to any infringement, misappropriation or other violations of third-party Intellectual Property Rights) and (z) the Company Registered Intellectual Property, to the Company’s knowledge, is valid, subsisting and enforceable (in each case, subject to applicable bankruptcy, insolvency, reorganization, moratorium or other Laws affecting generally the enforcement of creditors’ rights and subject to general principles of equity).</w:t>
      </w:r>
    </w:p>
    <w:p>
      <w:pPr>
        <w:spacing w:after="0" w:line="187" w:lineRule="exact"/>
        <w:rPr>
          <w:sz w:val="20"/>
          <w:szCs w:val="20"/>
          <w:color w:val="auto"/>
        </w:rPr>
      </w:pPr>
    </w:p>
    <w:p>
      <w:pPr>
        <w:ind w:right="40" w:firstLine="987"/>
        <w:spacing w:after="0" w:line="258"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each Group Company’s employees, consultants, advisors and independent contractors who independently or jointly contributed to or otherwise participated in the authorship, invention, creation, improvement, modification or development of any Company Owned Intellectual Property have assigned or have agreed to a present assignment to such Group Company of all Intellectual Property Rights authored, invented, created, improved, modified or developed by such person in the course of such person’s employment or other engagement with such Group Company.</w:t>
      </w:r>
    </w:p>
    <w:p>
      <w:pPr>
        <w:spacing w:after="0" w:line="183"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(i) each Group Company has taken reasonable steps to safeguard and maintain the secrecy of any trade secrets, know-how and other confidential information owned by each Group Company, (ii) without limiting the foregoing, to the knowledge of the Company, each Group Company has not disclosed any trade secrets, know-how or confidential information to any other Person unless, such disclosure was under a written non-disclosure agreement containing reasonably appropriate limitations on use, reproduction and disclosure and (iii) to the Company’s knowledge, there has been no violation or unauthorized access to or disclosure of any trade secrets, know-how or confidential information owned by a Group Company, or of any written obligations with respect to such.</w:t>
      </w:r>
    </w:p>
    <w:p>
      <w:pPr>
        <w:spacing w:after="0" w:line="187"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Owned Intellectual Property and, to the Company’s knowledge,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would not have a Company Material Adverse Effect.</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since January 1, 2019, neither the conduct of the business of the Group Companies nor any of the Company Products offered, marketed, licensed, provided, sold, distributed or otherwise exploited by the Group Companies nor the design, development, manufacturing, reproduction, use, marketing, offer for sale, sale, importation, exportation, distribution, maintenance or other exploitation of any Company Product infringes, misappropriates or otherwise violates any Intellectual Property Rights of any other Person, except as would not have a Company Material Adverse Effect.</w:t>
      </w:r>
    </w:p>
    <w:p>
      <w:pPr>
        <w:spacing w:after="0" w:line="183"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there is no Proceeding pending nor has any Group Company received any written communications (i) alleging that a Group Company has infringed, misappropriated or otherwise violated any Intellectual Property Rights of any other Person or (ii) challenging the validity, enforceability, use or exclusive ownership of any Company Owned Intellectual Property.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289" w:name="page290"/>
    <w:bookmarkEnd w:id="289"/>
    <w:p>
      <w:pPr>
        <w:ind w:left="-40" w:firstLine="987"/>
        <w:spacing w:after="0" w:line="289" w:lineRule="auto"/>
        <w:tabs>
          <w:tab w:leader="none" w:pos="1206"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have a Company Material Adverse Effect, (i) to the Company’s knowledge, no Person is infringing, misappropriating, misusing, diluting or violating any Company Owned Intellectual Property and (ii) since January 1, 2019, no Group Company has made any written claim against any Person alleging any infringement, misappropriation or other violation of any Company Owned Intellectual Property.</w:t>
      </w:r>
    </w:p>
    <w:p>
      <w:pPr>
        <w:spacing w:after="0" w:line="157" w:lineRule="exact"/>
        <w:rPr>
          <w:rFonts w:ascii="Times New Roman" w:cs="Times New Roman" w:eastAsia="Times New Roman" w:hAnsi="Times New Roman"/>
          <w:sz w:val="17"/>
          <w:szCs w:val="17"/>
          <w:color w:val="auto"/>
        </w:rPr>
      </w:pPr>
    </w:p>
    <w:p>
      <w:pPr>
        <w:ind w:left="-40" w:right="60" w:firstLine="987"/>
        <w:spacing w:after="0" w:line="258" w:lineRule="auto"/>
        <w:tabs>
          <w:tab w:leader="none" w:pos="116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to the Company’s knowledge, no event has occurred, and no circumstance or condition exists, that (with or without notice or lapse of time or both) will, or could reasonably be expected to, result in the delivery, license or disclosure of any source code that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183" w:lineRule="exact"/>
        <w:rPr>
          <w:rFonts w:ascii="Times New Roman" w:cs="Times New Roman" w:eastAsia="Times New Roman" w:hAnsi="Times New Roman"/>
          <w:sz w:val="18"/>
          <w:szCs w:val="18"/>
          <w:color w:val="auto"/>
        </w:rPr>
      </w:pPr>
    </w:p>
    <w:p>
      <w:pPr>
        <w:ind w:left="-40" w:right="80" w:firstLine="987"/>
        <w:spacing w:after="0" w:line="254" w:lineRule="auto"/>
        <w:tabs>
          <w:tab w:leader="none" w:pos="116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accessed, used, modified, linked to, created derivative works from or incorporated into any proprietary Software included in the Company Owned Intellectual Property any Public Software, in each case in a manner that (i) requires such Company Owned Intellectual Property to be licensed, sold, disclosed, distributed, hosted or otherwise made available, including in source code form and/or for the purpose of making derivative works, for any reason, (ii) grants, or requires any Group Company to grant, the right to decompile, disassemble, reverse engineer or otherwise derive the source code or underlying structure of any Company Owned Intellectual Property, (iii) limits in any manner the ability to charge license fees or otherwise seek compensation in connection with marketing, licensing or distribution of any Company Owned Intellectual Property or (iv) otherwise imposes any limitation, restriction or condition on the right or ability of any Group Company to use, hold for use, license, host, distribute or otherwise dispose of any Company Owned Intellectual Property, other than compliance with notice and attribution requirements, in each case, except as would not have a Company Material Adverse Effect.</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Section 3.15 </w:t>
      </w:r>
      <w:r>
        <w:rPr>
          <w:rFonts w:ascii="Times New Roman" w:cs="Times New Roman" w:eastAsia="Times New Roman" w:hAnsi="Times New Roman"/>
          <w:sz w:val="18"/>
          <w:szCs w:val="18"/>
          <w:b w:val="1"/>
          <w:bCs w:val="1"/>
          <w:u w:val="single" w:color="auto"/>
          <w:color w:val="auto"/>
        </w:rPr>
        <w:t>Labor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0" w:right="100" w:firstLine="987"/>
        <w:spacing w:after="0" w:line="272" w:lineRule="auto"/>
        <w:tabs>
          <w:tab w:leader="none" w:pos="1196"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2019, except as has not and would not reasonably be expected to result in, individually or in the aggregate, material Liability to the Group Companies, taken as a whole, (i) none of the Private Group Companies (A) has or has had any Liability for any failure to pay or delinquency in paying any wages or other compensation for services (including salaries, wage premiums, commissions, fees or bonuses), or any penalties, fines, interest, or other sums, or (B) has or has had any Liability for any payment to any trust or other fund governed by or maintained by or on behalf of any Governmental Entity with respect to unemployment compensation benefits, social security, social insurances or other benefits or obligations for any employees of any Private Group Company (other than routine payments to be made in the normal course of business and consistent with past practice); and (ii) the Private Group Companies have withheld all amounts required by applicable Law or by agreement to be withheld from wages, salaries and other payments to employees or independent contractors or other service providers of each Private Group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0"/>
          </w:cols>
          <w:pgMar w:left="480" w:top="270" w:right="499" w:bottom="1440" w:gutter="0" w:footer="0" w:header="0"/>
        </w:sectPr>
      </w:pPr>
    </w:p>
    <w:bookmarkStart w:id="290" w:name="page291"/>
    <w:bookmarkEnd w:id="290"/>
    <w:p>
      <w:pPr>
        <w:ind w:right="20" w:firstLine="987"/>
        <w:spacing w:after="0" w:line="282" w:lineRule="auto"/>
        <w:tabs>
          <w:tab w:leader="none" w:pos="1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January 1, 2019, there has been no “mass layoff” or “plant closing” as defined by WARN related to any Private Group Company, and the Private Group Companies have not incurred any material Liability under WARN.</w:t>
      </w:r>
    </w:p>
    <w:p>
      <w:pPr>
        <w:spacing w:after="0" w:line="161"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Private Group Company is a party to or bound by any CBA and no employees of any Private Group Company are represented by any labor union, labor organization, works council, employee delegate, representative or other employee collective group with respect to their employment. There is no duty on the part of any Private Group Company or, to the knowledge of the Company, any Public Group Company or Datavant, to bargain with any labor union, labor organization, works council, employee delegate, representative or other employee collective group as a result of the execution and delivery of this Agreement, the Ancillary Documents or the consummation of the transactions contemplated hereby or thereby. Since January 1, 2019, there has been no actual or, to the Company’s knowledge, threatened in writing material unfair labor practice charges, material labor grievances, material labor arbitrations, material strikes, lockouts, work stoppages, slowdowns, picketing, handbilling or other material labor disputes against any Private Group Company. To the Company’s knowledge, since January 1, 2019, there have been no actual, pending or threated labor organizing activities with respect to any employees of any Private Group Company.</w:t>
      </w:r>
    </w:p>
    <w:p>
      <w:pPr>
        <w:spacing w:after="0" w:line="188"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as of the date of this Agreement, there are no unresolved allegations of sexual harassment, or other discrimination or retaliation, against any executive officer or director of the Company (in his or her capacity as such) that, if known to the public, would bring the Company into material disrepute.</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employee layoff, facility closure or shutdown (whether voluntary or by Order), reduction-in-force, furlough, temporary layoff, work schedule change or reduction in hours, or material reduction in salary or wages, or other material workforce changes affecting employees of the Private Group Companies has occurred since the date of the Latest Balance Sheet or is currently contemplated, planned or announced, including as a result of COVID-19 or any Law, Order, directive, guideline or recommendation by any Governmental Entity in connection with or in response to COVID-19. As of the date of this Agreement, the Private Group Companies have not otherwise experienced any material employment-related Liability with respect to or arising out of COVID-19 or any Law, Order, directive, guideline or recommendation by any Governmental Entity in connection with or in response to COVID-19.</w:t>
      </w:r>
    </w:p>
    <w:p>
      <w:pPr>
        <w:spacing w:after="0" w:line="18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3.16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Except as would not have a Company Material Adverse Effect, all policies of fire, liability, workers’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casualty and other forms of insurance owned or held by any Private Group Company as of the date of this Agreement, are in full force and effect, all premiums due and payable thereon as of the date of this Agreement have been paid in full as of the date of this Agreement, and true and complete copies of all such policies have been made available to MAAC. As of the date of this Agreement, no claim by any Private Group Company is pending under any such policies as to which coverage has been denied or disputed, or rights reserved to do so, by the underwriters thereof, except as would not have a Company Material Adverse Effect.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291" w:name="page292"/>
    <w:bookmarkEnd w:id="291"/>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3.17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 w:right="40" w:firstLine="987"/>
        <w:spacing w:after="0" w:line="266" w:lineRule="auto"/>
        <w:tabs>
          <w:tab w:leader="none" w:pos="12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prepared and filed all material Tax Returns required to have been filed by or with respect to such entities, all such Tax Returns are true and complete in all material respects, and the Group Companies have paid all material Taxes required to have been paid by or with respect to such entities regardless of whether shown on any Tax Return.</w:t>
      </w:r>
    </w:p>
    <w:p>
      <w:pPr>
        <w:spacing w:after="0" w:line="67" w:lineRule="exact"/>
        <w:rPr>
          <w:rFonts w:ascii="Times New Roman" w:cs="Times New Roman" w:eastAsia="Times New Roman" w:hAnsi="Times New Roman"/>
          <w:sz w:val="18"/>
          <w:szCs w:val="18"/>
          <w:color w:val="auto"/>
        </w:rPr>
      </w:pPr>
    </w:p>
    <w:p>
      <w:pPr>
        <w:ind w:left="-20" w:right="320" w:firstLine="987"/>
        <w:spacing w:after="0" w:line="266" w:lineRule="auto"/>
        <w:tabs>
          <w:tab w:leader="none" w:pos="122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timely withheld and paid to the appropriate Tax Authority all material amounts required to have been withheld and paid in connection with amounts paid or owing to any employee, independent contractor, other service provider, equity interest holder, creditor or other third-party.</w:t>
      </w:r>
    </w:p>
    <w:p>
      <w:pPr>
        <w:spacing w:after="0" w:line="67" w:lineRule="exact"/>
        <w:rPr>
          <w:rFonts w:ascii="Times New Roman" w:cs="Times New Roman" w:eastAsia="Times New Roman" w:hAnsi="Times New Roman"/>
          <w:sz w:val="18"/>
          <w:szCs w:val="18"/>
          <w:color w:val="auto"/>
        </w:rPr>
      </w:pPr>
    </w:p>
    <w:p>
      <w:pPr>
        <w:ind w:left="-20" w:right="280" w:firstLine="987"/>
        <w:spacing w:after="0" w:line="282" w:lineRule="auto"/>
        <w:tabs>
          <w:tab w:leader="none" w:pos="12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53" w:lineRule="exact"/>
        <w:rPr>
          <w:rFonts w:ascii="Times New Roman" w:cs="Times New Roman" w:eastAsia="Times New Roman" w:hAnsi="Times New Roman"/>
          <w:sz w:val="18"/>
          <w:szCs w:val="18"/>
          <w:color w:val="auto"/>
        </w:rPr>
      </w:pPr>
    </w:p>
    <w:p>
      <w:pPr>
        <w:ind w:left="-20" w:right="340" w:firstLine="987"/>
        <w:spacing w:after="0" w:line="266" w:lineRule="auto"/>
        <w:tabs>
          <w:tab w:leader="none" w:pos="122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67" w:lineRule="exact"/>
        <w:rPr>
          <w:rFonts w:ascii="Times New Roman" w:cs="Times New Roman" w:eastAsia="Times New Roman" w:hAnsi="Times New Roman"/>
          <w:sz w:val="18"/>
          <w:szCs w:val="18"/>
          <w:color w:val="auto"/>
        </w:rPr>
      </w:pPr>
    </w:p>
    <w:p>
      <w:pPr>
        <w:ind w:left="-20" w:right="20" w:firstLine="987"/>
        <w:spacing w:after="0" w:line="266" w:lineRule="auto"/>
        <w:tabs>
          <w:tab w:leader="none" w:pos="12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to a Group Company, which agreement or ruling would be effective after the Closing Date.</w:t>
      </w:r>
    </w:p>
    <w:p>
      <w:pPr>
        <w:spacing w:after="0" w:line="67" w:lineRule="exact"/>
        <w:rPr>
          <w:rFonts w:ascii="Times New Roman" w:cs="Times New Roman" w:eastAsia="Times New Roman" w:hAnsi="Times New Roman"/>
          <w:sz w:val="18"/>
          <w:szCs w:val="18"/>
          <w:color w:val="auto"/>
        </w:rPr>
      </w:pPr>
    </w:p>
    <w:p>
      <w:pPr>
        <w:ind w:left="-20" w:right="860" w:firstLine="987"/>
        <w:spacing w:after="0" w:line="282" w:lineRule="auto"/>
        <w:tabs>
          <w:tab w:leader="none" w:pos="119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or has been a party to any “listed transaction” as defined in Section 6707A of the Code and Treasury Regulations Section 1.6011-4 (or any corresponding or similar provision of state, local or non-U.S. Tax Law).</w:t>
      </w:r>
    </w:p>
    <w:p>
      <w:pPr>
        <w:spacing w:after="0" w:line="53" w:lineRule="exact"/>
        <w:rPr>
          <w:rFonts w:ascii="Times New Roman" w:cs="Times New Roman" w:eastAsia="Times New Roman" w:hAnsi="Times New Roman"/>
          <w:sz w:val="18"/>
          <w:szCs w:val="18"/>
          <w:color w:val="auto"/>
        </w:rPr>
      </w:pPr>
    </w:p>
    <w:p>
      <w:pPr>
        <w:ind w:left="-20" w:right="140" w:firstLine="987"/>
        <w:spacing w:after="0" w:line="282" w:lineRule="auto"/>
        <w:tabs>
          <w:tab w:leader="none" w:pos="122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Liens for material Taxes on any assets of the Group Companies other than Liens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Permitted Liens.</w:t>
      </w:r>
    </w:p>
    <w:p>
      <w:pPr>
        <w:spacing w:after="0" w:line="53" w:lineRule="exact"/>
        <w:rPr>
          <w:rFonts w:ascii="Times New Roman" w:cs="Times New Roman" w:eastAsia="Times New Roman" w:hAnsi="Times New Roman"/>
          <w:sz w:val="18"/>
          <w:szCs w:val="18"/>
          <w:color w:val="auto"/>
        </w:rPr>
      </w:pPr>
    </w:p>
    <w:p>
      <w:pPr>
        <w:ind w:left="-20" w:firstLine="987"/>
        <w:spacing w:after="0" w:line="266" w:lineRule="auto"/>
        <w:tabs>
          <w:tab w:leader="none" w:pos="122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 (2)-year period ending on the date of this Agreement, no Group Company was a distributing corporation or a controlled corporation in a transaction purported or intended to be governed by Section 355 of the Code (or so much of Section 356 of the Code as relates to Section 355 of the Code).</w:t>
      </w:r>
    </w:p>
    <w:p>
      <w:pPr>
        <w:spacing w:after="0" w:line="67" w:lineRule="exact"/>
        <w:rPr>
          <w:rFonts w:ascii="Times New Roman" w:cs="Times New Roman" w:eastAsia="Times New Roman" w:hAnsi="Times New Roman"/>
          <w:sz w:val="18"/>
          <w:szCs w:val="18"/>
          <w:color w:val="auto"/>
        </w:rPr>
      </w:pPr>
    </w:p>
    <w:p>
      <w:pPr>
        <w:ind w:left="-20" w:firstLine="987"/>
        <w:spacing w:after="0" w:line="258" w:lineRule="auto"/>
        <w:tabs>
          <w:tab w:leader="none" w:pos="118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 has been a member of an affiliated group filing a consolidated U.S. federal income Tax Return (other than a group the common parent of which was a Group Company) or (ii) has any material Liability for the Taxes of any Person (other than a Group Company) under Treasury Regulations Section 1.1502-6 (or any corresponding or similar provision of state, local or non-U.S. Tax Law), as a transferee or successor or by Contract (other than any customary indemnification provisions contained in any commercial Contract entered into in the ordinary course of business and the principal purpose of which does not relate to Taxes).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60" w:top="266" w:right="479" w:bottom="1440" w:gutter="0" w:footer="0" w:header="0"/>
        </w:sectPr>
      </w:pPr>
    </w:p>
    <w:bookmarkStart w:id="292" w:name="page293"/>
    <w:bookmarkEnd w:id="292"/>
    <w:p>
      <w:pPr>
        <w:ind w:right="60" w:firstLine="987"/>
        <w:spacing w:after="0" w:line="266" w:lineRule="auto"/>
        <w:tabs>
          <w:tab w:leader="none" w:pos="120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written claims have ever been made by any Tax Authority in a jurisdiction where a Group Company does not file Tax Returns that such Group Company is or may be subject to taxation by, or required to file a Tax Return with, that jurisdiction, which claims have not been resolved or withdrawn.</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any Tax allocation, Tax sharing or Tax indemnity or similar agreements (other than any (i) such agreement with another Group Company or (ii) customary commercial Contract entered into in the ordinary course of business and the principal purpose of which does not relate to Taxes).</w:t>
      </w:r>
    </w:p>
    <w:p>
      <w:pPr>
        <w:spacing w:after="0" w:line="67" w:lineRule="exact"/>
        <w:rPr>
          <w:rFonts w:ascii="Times New Roman" w:cs="Times New Roman" w:eastAsia="Times New Roman" w:hAnsi="Times New Roman"/>
          <w:sz w:val="18"/>
          <w:szCs w:val="18"/>
          <w:color w:val="auto"/>
        </w:rPr>
      </w:pPr>
    </w:p>
    <w:p>
      <w:pPr>
        <w:ind w:right="260" w:firstLine="987"/>
        <w:spacing w:after="0" w:line="282" w:lineRule="auto"/>
        <w:tabs>
          <w:tab w:leader="none" w:pos="120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taken or agreed to take any action not contemplated by this Agreement and/or any Ancillary Document that could reasonably be expected to prevent, impair or impede the Merger from qualifying for the Intended Tax Treatment.</w:t>
      </w:r>
    </w:p>
    <w:p>
      <w:pPr>
        <w:spacing w:after="0" w:line="53" w:lineRule="exact"/>
        <w:rPr>
          <w:rFonts w:ascii="Times New Roman" w:cs="Times New Roman" w:eastAsia="Times New Roman" w:hAnsi="Times New Roman"/>
          <w:sz w:val="18"/>
          <w:szCs w:val="18"/>
          <w:color w:val="auto"/>
        </w:rPr>
      </w:pPr>
    </w:p>
    <w:p>
      <w:pPr>
        <w:ind w:right="200" w:firstLine="987"/>
        <w:spacing w:after="0" w:line="282" w:lineRule="auto"/>
        <w:tabs>
          <w:tab w:leader="none" w:pos="129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that it is not, and does not expect to become, a “passive foreign investment company” within the meaning of Section 1297(a) of the Code (“</w:t>
      </w:r>
      <w:r>
        <w:rPr>
          <w:rFonts w:ascii="Times New Roman" w:cs="Times New Roman" w:eastAsia="Times New Roman" w:hAnsi="Times New Roman"/>
          <w:sz w:val="18"/>
          <w:szCs w:val="18"/>
          <w:u w:val="single" w:color="auto"/>
          <w:color w:val="auto"/>
        </w:rPr>
        <w:t>PFIC</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140" w:firstLine="987"/>
        <w:spacing w:after="0" w:line="258"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Section 3.4 (Financial Statements; Undisclosed Liabilities), Section 3.12 (Employee Plans), Section 5.5(a)(i) and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(Tax Matters) contain the sole representations and warranties of the Group Companies concerning Taxes. Notwithstanding any representation or warranty in this Agreement (including the representations and warranties set forth in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(Tax Matters)), no representation or warranty is being made as to the use or availability of any Tax attribute or credit of any Group Company in any taxable period (or portion thereof) beginning on the day immediately after the Closing Date.</w:t>
      </w:r>
    </w:p>
    <w:p>
      <w:pPr>
        <w:spacing w:after="0" w:line="179"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3.18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for J.P. Morgan Securities LLC, SVB Leerink LLC and Goldman Sachs &amp; Co. LLC, no broker, finder,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banker or other Person is entitled to any brokerage fee, finders’ fee or other commission in connection with the transactions contemplated by this Agreement based upon arrangements made by or on behalf of the Company or any of its Affiliates.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3.19 </w:t>
      </w:r>
      <w:r>
        <w:rPr>
          <w:rFonts w:ascii="Times New Roman" w:cs="Times New Roman" w:eastAsia="Times New Roman" w:hAnsi="Times New Roman"/>
          <w:sz w:val="18"/>
          <w:szCs w:val="18"/>
          <w:b w:val="1"/>
          <w:bCs w:val="1"/>
          <w:u w:val="single" w:color="auto"/>
          <w:color w:val="auto"/>
        </w:rPr>
        <w:t>Real and Personal Property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40" w:hanging="253"/>
        <w:spacing w:after="0"/>
        <w:tabs>
          <w:tab w:leader="none" w:pos="1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No Private Group Company owns any real property.</w:t>
      </w:r>
    </w:p>
    <w:p>
      <w:pPr>
        <w:spacing w:after="0" w:line="117"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Each Real Property Lease is in full force and effect and is a valid, legal and binding obligation of the applicable Private Group Company party thereto, enforceable in accordance with its terms against such Private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Private Group Company or, to the Company’s knowledge, any counterparty under any Real Property Lease, and, to the Company’s knowledge, no event has occurred which (with or without notice or lapse of time or both) would constitute a material breach or default under any Real Property Lease or would permit termination of, or a material modification or acceleration thereof, by any counterparty to any Real Property Lease.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293" w:name="page294"/>
    <w:bookmarkEnd w:id="293"/>
    <w:p>
      <w:pPr>
        <w:ind w:left="4" w:right="20" w:firstLine="987"/>
        <w:spacing w:after="0" w:line="261"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Personal Property</w:t>
      </w:r>
      <w:r>
        <w:rPr>
          <w:rFonts w:ascii="Times New Roman" w:cs="Times New Roman" w:eastAsia="Times New Roman" w:hAnsi="Times New Roman"/>
          <w:sz w:val="18"/>
          <w:szCs w:val="18"/>
          <w:color w:val="auto"/>
        </w:rPr>
        <w:t xml:space="preserve">. Each </w:t>
      </w:r>
      <w:r>
        <w:rPr>
          <w:rFonts w:ascii="Times New Roman" w:cs="Times New Roman" w:eastAsia="Times New Roman" w:hAnsi="Times New Roman"/>
          <w:sz w:val="18"/>
          <w:szCs w:val="18"/>
          <w:u w:val="single" w:color="auto"/>
          <w:color w:val="auto"/>
        </w:rPr>
        <w:t>Private</w:t>
      </w:r>
      <w:r>
        <w:rPr>
          <w:rFonts w:ascii="Times New Roman" w:cs="Times New Roman" w:eastAsia="Times New Roman" w:hAnsi="Times New Roman"/>
          <w:sz w:val="18"/>
          <w:szCs w:val="18"/>
          <w:color w:val="auto"/>
        </w:rPr>
        <w:t xml:space="preserve"> Group Company has good, marketable and indefeasible title to, or a valid leasehold interest in or license or right to use, all of the material tangible assets and tangible properties of the </w:t>
      </w:r>
      <w:r>
        <w:rPr>
          <w:rFonts w:ascii="Times New Roman" w:cs="Times New Roman" w:eastAsia="Times New Roman" w:hAnsi="Times New Roman"/>
          <w:sz w:val="18"/>
          <w:szCs w:val="18"/>
          <w:u w:val="single" w:color="auto"/>
          <w:color w:val="auto"/>
        </w:rPr>
        <w:t>Private</w:t>
      </w:r>
      <w:r>
        <w:rPr>
          <w:rFonts w:ascii="Times New Roman" w:cs="Times New Roman" w:eastAsia="Times New Roman" w:hAnsi="Times New Roman"/>
          <w:sz w:val="18"/>
          <w:szCs w:val="18"/>
          <w:color w:val="auto"/>
        </w:rPr>
        <w:t xml:space="preserve"> Group Companies reflected in the Financial Statements or thereafter acquired by the </w:t>
      </w:r>
      <w:r>
        <w:rPr>
          <w:rFonts w:ascii="Times New Roman" w:cs="Times New Roman" w:eastAsia="Times New Roman" w:hAnsi="Times New Roman"/>
          <w:sz w:val="18"/>
          <w:szCs w:val="18"/>
          <w:u w:val="single" w:color="auto"/>
          <w:color w:val="auto"/>
        </w:rPr>
        <w:t>Private</w:t>
      </w:r>
      <w:r>
        <w:rPr>
          <w:rFonts w:ascii="Times New Roman" w:cs="Times New Roman" w:eastAsia="Times New Roman" w:hAnsi="Times New Roman"/>
          <w:sz w:val="18"/>
          <w:szCs w:val="18"/>
          <w:color w:val="auto"/>
        </w:rPr>
        <w:t xml:space="preserve"> Group Companies, except for assets disposed of in the ordinary course of business or otherwise as permitted by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(including as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Schedules) or in accordance with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3.20 </w:t>
      </w:r>
      <w:r>
        <w:rPr>
          <w:rFonts w:ascii="Times New Roman" w:cs="Times New Roman" w:eastAsia="Times New Roman" w:hAnsi="Times New Roman"/>
          <w:sz w:val="17"/>
          <w:szCs w:val="17"/>
          <w:b w:val="1"/>
          <w:bCs w:val="1"/>
          <w:u w:val="single" w:color="auto"/>
          <w:color w:val="auto"/>
        </w:rPr>
        <w:t>Transactions with Affiliates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3.20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 Disclosure Schedules sets forth all material Contracts between (a)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Private Group Company or, to the knowledge of the Company, Datavant or any Public Group Company, on the one hand, and (b) any officer, director, executive (including, for the avoidance of doubt, the Designated Individuals), manager, direct or, to the Company’s knowledge, indirect, equityholder of more than one percent (1.0%) of the Company Common Shares (each such direct or indirect equityholder, an “</w:t>
      </w:r>
      <w:r>
        <w:rPr>
          <w:rFonts w:ascii="Times New Roman" w:cs="Times New Roman" w:eastAsia="Times New Roman" w:hAnsi="Times New Roman"/>
          <w:sz w:val="17"/>
          <w:szCs w:val="17"/>
          <w:u w:val="single" w:color="auto"/>
          <w:color w:val="auto"/>
        </w:rPr>
        <w:t>Affiliated Shareholder</w:t>
      </w:r>
      <w:r>
        <w:rPr>
          <w:rFonts w:ascii="Times New Roman" w:cs="Times New Roman" w:eastAsia="Times New Roman" w:hAnsi="Times New Roman"/>
          <w:sz w:val="17"/>
          <w:szCs w:val="17"/>
          <w:color w:val="auto"/>
        </w:rPr>
        <w:t xml:space="preserve">”), or Affiliate, in each case, of the Company, on the other hand (each Person identified in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u w:val="single" w:color="auto"/>
          <w:color w:val="auto"/>
        </w:rPr>
        <w:t>Company Related Party</w:t>
      </w:r>
      <w:r>
        <w:rPr>
          <w:rFonts w:ascii="Times New Roman" w:cs="Times New Roman" w:eastAsia="Times New Roman" w:hAnsi="Times New Roman"/>
          <w:sz w:val="17"/>
          <w:szCs w:val="17"/>
          <w:color w:val="auto"/>
        </w:rPr>
        <w:t xml:space="preserve">”), other than (i) Contracts solely between or among the Group Company(ies) and/or Datavant, (ii) with respect to or otherwise related to a Company Related Party’s (A) employment with (including benefit plans and other ordinary course compensation from) any of the Group Companies, (B) service to any of the Group Companies as a director (or member of a similar governing body) or (C) in the case of an individual, service to any of the Group Companies as an independent third-party consultant or other non-employee service provider (in the case of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on an arms’ length basis and terms), and any ordinary course compensation in connection with any of the foregoing in the preceding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(iii) Contracts entered into after the date of this Agreement that are either permitted pursuant to </w:t>
      </w:r>
      <w:r>
        <w:rPr>
          <w:rFonts w:ascii="Times New Roman" w:cs="Times New Roman" w:eastAsia="Times New Roman" w:hAnsi="Times New Roman"/>
          <w:sz w:val="17"/>
          <w:szCs w:val="17"/>
          <w:u w:val="single" w:color="auto"/>
          <w:color w:val="auto"/>
        </w:rPr>
        <w:t>Section 5.1(b)</w:t>
      </w:r>
      <w:r>
        <w:rPr>
          <w:rFonts w:ascii="Times New Roman" w:cs="Times New Roman" w:eastAsia="Times New Roman" w:hAnsi="Times New Roman"/>
          <w:sz w:val="17"/>
          <w:szCs w:val="17"/>
          <w:color w:val="auto"/>
        </w:rPr>
        <w:t xml:space="preserve"> (including as set forth in </w:t>
      </w:r>
      <w:r>
        <w:rPr>
          <w:rFonts w:ascii="Times New Roman" w:cs="Times New Roman" w:eastAsia="Times New Roman" w:hAnsi="Times New Roman"/>
          <w:sz w:val="17"/>
          <w:szCs w:val="17"/>
          <w:u w:val="single" w:color="auto"/>
          <w:color w:val="auto"/>
        </w:rPr>
        <w:t>Section 5.1(b)</w:t>
      </w:r>
      <w:r>
        <w:rPr>
          <w:rFonts w:ascii="Times New Roman" w:cs="Times New Roman" w:eastAsia="Times New Roman" w:hAnsi="Times New Roman"/>
          <w:sz w:val="17"/>
          <w:szCs w:val="17"/>
          <w:color w:val="auto"/>
        </w:rPr>
        <w:t xml:space="preserve"> of the Company Disclosure Schedules) or entered into in accordance with </w:t>
      </w:r>
      <w:r>
        <w:rPr>
          <w:rFonts w:ascii="Times New Roman" w:cs="Times New Roman" w:eastAsia="Times New Roman" w:hAnsi="Times New Roman"/>
          <w:sz w:val="17"/>
          <w:szCs w:val="17"/>
          <w:u w:val="single" w:color="auto"/>
          <w:color w:val="auto"/>
        </w:rPr>
        <w:t>Section 5.1(b)</w:t>
      </w:r>
      <w:r>
        <w:rPr>
          <w:rFonts w:ascii="Times New Roman" w:cs="Times New Roman" w:eastAsia="Times New Roman" w:hAnsi="Times New Roman"/>
          <w:sz w:val="17"/>
          <w:szCs w:val="17"/>
          <w:color w:val="auto"/>
        </w:rPr>
        <w:t>, (iv) Contracts relating to or entered into in connection with a Company Related Party’s status as an equityholder of such Private Group Company (including the Company Shareholders Agreements and similar Contracts), (v) commercial agreements entered into in the ordinary course of business on an arms’ length basis and terms that are not individually material to the business of the Group Companies, taken as a whole, or (vi) customary director and officer indemnification agreements that have been made available to MAAC. No Company Related Party</w:t>
      </w:r>
    </w:p>
    <w:p>
      <w:pPr>
        <w:ind w:left="4" w:hanging="4"/>
        <w:spacing w:after="0" w:line="252" w:lineRule="auto"/>
        <w:tabs>
          <w:tab w:leader="none" w:pos="29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owns any material interest in any material asset or property used in any Private Group Company’s business, (B) possesses, directly or indirectly, any material financial interest in, or is a director or executive officer of, any Person which is a material supplier, vendor, partner, customer or lessor, or other material business relation, of any Private Group Company or (C) is a material supplier, vendor, partner, customer or lessor, or other material business relation, of any Private Group Company. All Contracts, arrangements, understandings, interests and other matters that are required to be disclosed pursuant to this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(including, for the avoidance of doubt, pursuant to the second sentence of this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are referred to herein as “</w:t>
      </w:r>
      <w:r>
        <w:rPr>
          <w:rFonts w:ascii="Times New Roman" w:cs="Times New Roman" w:eastAsia="Times New Roman" w:hAnsi="Times New Roman"/>
          <w:sz w:val="18"/>
          <w:szCs w:val="18"/>
          <w:u w:val="single" w:color="auto"/>
          <w:color w:val="auto"/>
        </w:rPr>
        <w:t>Company Related Party Transactions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3.21 </w:t>
      </w:r>
      <w:r>
        <w:rPr>
          <w:rFonts w:ascii="Times New Roman" w:cs="Times New Roman" w:eastAsia="Times New Roman" w:hAnsi="Times New Roman"/>
          <w:sz w:val="18"/>
          <w:szCs w:val="18"/>
          <w:b w:val="1"/>
          <w:bCs w:val="1"/>
          <w:u w:val="single" w:color="auto"/>
          <w:color w:val="auto"/>
        </w:rPr>
        <w:t>Data Privacy and Security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500" w:firstLine="987"/>
        <w:spacing w:after="0" w:line="312" w:lineRule="auto"/>
        <w:tabs>
          <w:tab w:leader="none" w:pos="124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a Company Material Adverse Effect, each Private Group Company has implemented adequate written policies relating to the Processing of Personal Data as and to the extent required by applicable Law (“</w:t>
      </w:r>
      <w:r>
        <w:rPr>
          <w:rFonts w:ascii="Times New Roman" w:cs="Times New Roman" w:eastAsia="Times New Roman" w:hAnsi="Times New Roman"/>
          <w:sz w:val="17"/>
          <w:szCs w:val="17"/>
          <w:u w:val="single" w:color="auto"/>
          <w:color w:val="auto"/>
        </w:rPr>
        <w:t>Privacy and Data Security Policies</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4"/>
          </w:cols>
          <w:pgMar w:left="436" w:top="270" w:right="499" w:bottom="1440" w:gutter="0" w:footer="0" w:header="0"/>
        </w:sectPr>
      </w:pPr>
    </w:p>
    <w:bookmarkStart w:id="294" w:name="page295"/>
    <w:bookmarkEnd w:id="294"/>
    <w:p>
      <w:pPr>
        <w:ind w:left="4" w:right="40" w:firstLine="987"/>
        <w:spacing w:after="0" w:line="258" w:lineRule="auto"/>
        <w:tabs>
          <w:tab w:leader="none" w:pos="125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have a Company Material Adverse Effect, there is no Proceeding pending or, to the Company’s knowledge, threatened in writing, against any Private Group Company initiated by any Person (including (i) the United States Federal Trade Commission, any state attorney general or similar state official, (ii) any other Governmental Entity, foreign or domestic or (iii) any regulatory or self-regulatory entity) alleging that any Processing of Personal Data by or on behalf of a Private Group Company is or was in violation of any Privacy and Security Requirements, nor, to the Company’s knowledge, is there any basis for the foregoing.</w:t>
      </w:r>
    </w:p>
    <w:p>
      <w:pPr>
        <w:spacing w:after="0" w:line="75"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2019, to the Company’s knowledge, (i) there has been no unauthorized access to, or use, disclosure, or Processing of Personal Data in the possession or control of any </w:t>
      </w:r>
      <w:r>
        <w:rPr>
          <w:rFonts w:ascii="Times New Roman" w:cs="Times New Roman" w:eastAsia="Times New Roman" w:hAnsi="Times New Roman"/>
          <w:sz w:val="18"/>
          <w:szCs w:val="18"/>
          <w:u w:val="single" w:color="auto"/>
          <w:color w:val="auto"/>
        </w:rPr>
        <w:t>Private</w:t>
      </w:r>
      <w:r>
        <w:rPr>
          <w:rFonts w:ascii="Times New Roman" w:cs="Times New Roman" w:eastAsia="Times New Roman" w:hAnsi="Times New Roman"/>
          <w:sz w:val="18"/>
          <w:szCs w:val="18"/>
          <w:color w:val="auto"/>
        </w:rPr>
        <w:t xml:space="preserve"> Group Company or any of its contractors with regard to any Personal Data obtained from or on behalf of a </w:t>
      </w:r>
      <w:r>
        <w:rPr>
          <w:rFonts w:ascii="Times New Roman" w:cs="Times New Roman" w:eastAsia="Times New Roman" w:hAnsi="Times New Roman"/>
          <w:sz w:val="18"/>
          <w:szCs w:val="18"/>
          <w:u w:val="single" w:color="auto"/>
          <w:color w:val="auto"/>
        </w:rPr>
        <w:t>Private</w:t>
      </w:r>
      <w:r>
        <w:rPr>
          <w:rFonts w:ascii="Times New Roman" w:cs="Times New Roman" w:eastAsia="Times New Roman" w:hAnsi="Times New Roman"/>
          <w:sz w:val="18"/>
          <w:szCs w:val="18"/>
          <w:color w:val="auto"/>
        </w:rPr>
        <w:t xml:space="preserve"> Group Company, (ii) there have been no unauthorized intrusions or breaches of security into any Company IT Systems, and (iii) none of the </w:t>
      </w:r>
      <w:r>
        <w:rPr>
          <w:rFonts w:ascii="Times New Roman" w:cs="Times New Roman" w:eastAsia="Times New Roman" w:hAnsi="Times New Roman"/>
          <w:sz w:val="18"/>
          <w:szCs w:val="18"/>
          <w:u w:val="single" w:color="auto"/>
          <w:color w:val="auto"/>
        </w:rPr>
        <w:t>Private</w:t>
      </w:r>
      <w:r>
        <w:rPr>
          <w:rFonts w:ascii="Times New Roman" w:cs="Times New Roman" w:eastAsia="Times New Roman" w:hAnsi="Times New Roman"/>
          <w:sz w:val="18"/>
          <w:szCs w:val="18"/>
          <w:color w:val="auto"/>
        </w:rPr>
        <w:t xml:space="preserve"> Group Companies has notified or been required to notify any Person of any (A) loss, theft or damage of, or (B) other unauthorized or unlawful access to, or use, disclosure or other Processing of, Personal Data, except,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would not have a Company Material Adverse Effect.</w:t>
      </w:r>
    </w:p>
    <w:p>
      <w:pPr>
        <w:spacing w:after="0" w:line="79"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(i) each Private Group Company owns or has licenses to use the Company IT Systems as necessary to operate the business of each Private Group Company as currently conducted, (ii) to the Company’s knowledge, all Company IT Systems are free from any defect, bug, virus or programming, design or documentation error and (iii) since January 1, 2019, there have not been any failures, breakdowns or continued substandard performance of any Company IT Systems that have caused a failure or disruption of the Company IT Systems other than routine failures or disruptions that have been remediated in the ordinary course of business.</w:t>
      </w:r>
    </w:p>
    <w:p>
      <w:pPr>
        <w:spacing w:after="0" w:line="75"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consummation of this Agreement and any transfers of Personal Data necessary to give effect to the Agreement will not violate any Privacy and Security Requirement, except as would not have a Company Material Adverse Effect.</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3.22 </w:t>
      </w:r>
      <w:r>
        <w:rPr>
          <w:rFonts w:ascii="Times New Roman" w:cs="Times New Roman" w:eastAsia="Times New Roman" w:hAnsi="Times New Roman"/>
          <w:sz w:val="18"/>
          <w:szCs w:val="18"/>
          <w:b w:val="1"/>
          <w:bCs w:val="1"/>
          <w:u w:val="single" w:color="auto"/>
          <w:color w:val="auto"/>
        </w:rPr>
        <w:t>Certain Business Practices</w:t>
      </w:r>
      <w:r>
        <w:rPr>
          <w:rFonts w:ascii="Times New Roman" w:cs="Times New Roman" w:eastAsia="Times New Roman" w:hAnsi="Times New Roman"/>
          <w:sz w:val="18"/>
          <w:szCs w:val="18"/>
          <w:color w:val="auto"/>
        </w:rPr>
        <w:t>. Except as would not have a Company Material Adverse Effect:</w:t>
      </w:r>
    </w:p>
    <w:p>
      <w:pPr>
        <w:spacing w:after="0" w:line="121" w:lineRule="exact"/>
        <w:rPr>
          <w:sz w:val="20"/>
          <w:szCs w:val="20"/>
          <w:color w:val="auto"/>
        </w:rPr>
      </w:pPr>
    </w:p>
    <w:p>
      <w:pPr>
        <w:jc w:val="both"/>
        <w:ind w:left="4" w:firstLine="987"/>
        <w:spacing w:after="0" w:line="276" w:lineRule="auto"/>
        <w:tabs>
          <w:tab w:leader="none" w:pos="124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Private Group Companies, any of their respective officers, directors, or employees or, to the Company’s knowledge, any of their other Representatives, or any other Persons acting for or on behalf of any of the foregoing, since January 1, 2019, (i) has been a Sanctioned Person,</w:t>
      </w:r>
    </w:p>
    <w:p>
      <w:pPr>
        <w:ind w:left="264" w:hanging="264"/>
        <w:spacing w:after="0"/>
        <w:tabs>
          <w:tab w:leader="none" w:pos="26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transacted any business with or for the direct or knowing indirect benefit of any Sanctioned Person in violation of applicable Sanctions or</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otherwise violated any applicable Sanctions, Ex-Im Laws, or anti-boycott Laws.</w:t>
      </w:r>
    </w:p>
    <w:p>
      <w:pPr>
        <w:spacing w:after="0" w:line="98"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Private Group Companies, any of their respective officers, directors or employees or, to the Company’s knowledge, any of their other Representatives, or any other Persons acting for or on behalf of any of the foregoing has, since January 1, 2019, (i) made, offered, promised, paid or received any unlawful bribes, kickbacks, or other similar payments to or from any Person, (ii) made or paid any contributions, directly or indirectly, to a domestic or foreign political party or candidate for any improper purpose or (iii) otherwise made, offered, received, authorized, promised or paid any improper payment in violation of any Anti-Corruption Laws.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4"/>
          </w:cols>
          <w:pgMar w:left="436" w:top="270" w:right="479" w:bottom="1440" w:gutter="0" w:footer="0" w:header="0"/>
        </w:sectPr>
      </w:pPr>
    </w:p>
    <w:bookmarkStart w:id="295" w:name="page296"/>
    <w:bookmarkEnd w:id="295"/>
    <w:p>
      <w:pPr>
        <w:ind w:right="260" w:firstLine="987"/>
        <w:spacing w:after="0" w:line="282"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Private Group Companies have instituted and maintained policies and procedures designed to ensure compliance with the Anti-Corruption Laws, Sanctions, and Ex-Im Laws in each jurisdiction in which any such entity operates.</w:t>
      </w:r>
    </w:p>
    <w:p>
      <w:pPr>
        <w:spacing w:after="0" w:line="53"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Private Group Company has, since January 1, 2019, been the subject of any allegation, voluntary disclosure, investigation, prosecution or enforcement action related to any Anti-Corruption Laws, Sanctions, or Ex-Im Laws.</w:t>
      </w:r>
    </w:p>
    <w:p>
      <w:pPr>
        <w:spacing w:after="0" w:line="15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3.23 </w:t>
      </w:r>
      <w:r>
        <w:rPr>
          <w:rFonts w:ascii="Times New Roman" w:cs="Times New Roman" w:eastAsia="Times New Roman" w:hAnsi="Times New Roman"/>
          <w:sz w:val="18"/>
          <w:szCs w:val="18"/>
          <w:b w:val="1"/>
          <w:bCs w:val="1"/>
          <w:u w:val="single" w:color="auto"/>
          <w:color w:val="auto"/>
        </w:rPr>
        <w:t>Information Supplied</w:t>
      </w:r>
      <w:r>
        <w:rPr>
          <w:rFonts w:ascii="Times New Roman" w:cs="Times New Roman" w:eastAsia="Times New Roman" w:hAnsi="Times New Roman"/>
          <w:sz w:val="18"/>
          <w:szCs w:val="18"/>
          <w:color w:val="auto"/>
        </w:rPr>
        <w:t>. None of the information of the Group Companies included or incorporated by reference prior to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Registration Statement / Proxy Statement will, when the Registration Statement / Proxy Statement is declared effective or when the Registration Statement / Proxy Statement is mailed to the Pre-Closing MAAC Shareholders or at the time of the MAAC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provisions of this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no representation or warranty is made by the Company or Merger Sub with respect to any information or statements included or incorporated by reference in the Registration Statement / Proxy Statement supplied by or on behalf of MAAC for use therein.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3.24 </w:t>
      </w:r>
      <w:r>
        <w:rPr>
          <w:rFonts w:ascii="Times New Roman" w:cs="Times New Roman" w:eastAsia="Times New Roman" w:hAnsi="Times New Roman"/>
          <w:sz w:val="18"/>
          <w:szCs w:val="18"/>
          <w:b w:val="1"/>
          <w:bCs w:val="1"/>
          <w:u w:val="single" w:color="auto"/>
          <w:color w:val="auto"/>
        </w:rPr>
        <w:t>Regulatory Compliance</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Schedules:</w:t>
      </w:r>
    </w:p>
    <w:p>
      <w:pPr>
        <w:spacing w:after="0" w:line="121" w:lineRule="exact"/>
        <w:rPr>
          <w:sz w:val="20"/>
          <w:szCs w:val="20"/>
          <w:color w:val="auto"/>
        </w:rPr>
      </w:pPr>
    </w:p>
    <w:p>
      <w:pPr>
        <w:ind w:right="360" w:firstLine="987"/>
        <w:spacing w:after="0" w:line="266"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conducts (and since January 1, 2019, has conducted) its business in accordance with all Public Health Laws applicable to such Group Company and is not in violation of any such Public Health Law or Order, except as is not and would not reasonably be expected to be, individually or in the aggregate, material to the Group Companies, taken as a whole.</w:t>
      </w:r>
    </w:p>
    <w:p>
      <w:pPr>
        <w:spacing w:after="0" w:line="67" w:lineRule="exact"/>
        <w:rPr>
          <w:rFonts w:ascii="Times New Roman" w:cs="Times New Roman" w:eastAsia="Times New Roman" w:hAnsi="Times New Roman"/>
          <w:sz w:val="18"/>
          <w:szCs w:val="18"/>
          <w:color w:val="auto"/>
        </w:rPr>
      </w:pPr>
    </w:p>
    <w:p>
      <w:pPr>
        <w:jc w:val="both"/>
        <w:ind w:right="180" w:firstLine="987"/>
        <w:spacing w:after="0" w:line="261"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received, as of the date hereof, any written communication from the FDA or other Governmental Entity, including a warning, untitled or notice of violation letter or Form FDA-483, that alleges that any Group Company or the research, development, or manufacture of any Company Product is not in compliance with any Public Health Laws, except as is not and would not reasonably be expected to be, individually or in the aggregate, material to the Group Companies, taken as a whole.</w:t>
      </w:r>
    </w:p>
    <w:p>
      <w:pPr>
        <w:spacing w:after="0" w:line="71"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since January 1, 2019 there has been) no Proceeding pending or, to the Company’s knowledge, threatened against or involving any Group Company related to compliance with Public Health Laws, except as is not and would not reasonably be expected to be, individually or in the aggregate, material to the Group Companies, taken as a whole. The Group Companies do not have, and since January 1, 2019 have not had, any Liabilities for failure to comply with any Public Health Laws, except as is not and would not reasonably be expected to be, individually or in the aggregate, material to the Group Companies, taken as a whole.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296" w:name="page297"/>
    <w:bookmarkEnd w:id="296"/>
    <w:p>
      <w:pPr>
        <w:ind w:left="-20" w:firstLine="987"/>
        <w:spacing w:after="0" w:line="252" w:lineRule="auto"/>
        <w:tabs>
          <w:tab w:leader="none" w:pos="122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preclinical studies, tests, and research being conducted by or on behalf of any Group Company or with respect to any Company Product are being, and, in each case, at since January 1, 2019 have been, to the extent applicable, conducted in compliance with all applicable Laws, including the good laboratory practice regulations set forth at 21 C.F.R. Part 58, except as is not and would not reasonably be expected to be, individually or in the aggregate, material to the Group Companies, taken as a whole. Except as is not and would not reasonably be expected to be, individually or in the aggregate, material to the Group Companies, taken as a whole, all clinical studies, tests, and research being conducted by or on behalf of the Company or with respect to any Company Product are being and, in each case, at all times have been, conducted in compliance with all applicable Laws and with good clinical practice, as defined or recognized by FDA, such as in the guidance document E6(R2) Good Clinical Practice: Integrated Addendum to ICH E6(R1), and applicable provisions of the FDCA and implementing regulations at 21 C.F.R. Parts 50, 54, 56, and 312. Except as is not and would not reasonably be expected to be, individually or in the aggregate, material to the Group Companies, taken as a whole, no preclinical or clinical trial conducted by or on behalf of the Company or with respect to any Company Product has been terminated or suspended prior to completion for safety, data integrity, or non-compliance reasons, and neither the FDA nor any other Governmental Entity or regulatory authority, clinical investigator or institutional review board that has or had jurisdiction over or participated in any such clinical trial has initiated or threatened in writing to initiate, any action to terminate, delay, suspend or modify any such ongoing preclinical or clinical trial, or, to the Company’s knowledge, to disqualify, restrict or debar any preclinical or clinical investigator or other person involved in any such preclinical or clinical trial.</w:t>
      </w:r>
    </w:p>
    <w:p>
      <w:pPr>
        <w:spacing w:after="0" w:line="89" w:lineRule="exact"/>
        <w:rPr>
          <w:rFonts w:ascii="Times New Roman" w:cs="Times New Roman" w:eastAsia="Times New Roman" w:hAnsi="Times New Roman"/>
          <w:sz w:val="18"/>
          <w:szCs w:val="18"/>
          <w:color w:val="auto"/>
        </w:rPr>
      </w:pPr>
    </w:p>
    <w:p>
      <w:pPr>
        <w:ind w:left="-20" w:firstLine="987"/>
        <w:spacing w:after="0" w:line="312" w:lineRule="auto"/>
        <w:tabs>
          <w:tab w:leader="none" w:pos="1216"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Company’s knowledge, as of the date hereof, no information, condition or circumstance exists that could reasonably be expected to materially adversely affect the acceptance, or the subsequent approval, of any filing, application or request for approval of any Company Product.</w:t>
      </w:r>
    </w:p>
    <w:p>
      <w:pPr>
        <w:spacing w:after="0" w:line="31" w:lineRule="exact"/>
        <w:rPr>
          <w:rFonts w:ascii="Times New Roman" w:cs="Times New Roman" w:eastAsia="Times New Roman" w:hAnsi="Times New Roman"/>
          <w:sz w:val="17"/>
          <w:szCs w:val="17"/>
          <w:color w:val="auto"/>
        </w:rPr>
      </w:pPr>
    </w:p>
    <w:p>
      <w:pPr>
        <w:ind w:left="-20" w:right="40" w:firstLine="987"/>
        <w:spacing w:after="0" w:line="273" w:lineRule="auto"/>
        <w:tabs>
          <w:tab w:leader="none" w:pos="1196"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is not and would not reasonably be expected to be, individually or in the aggregate, material to the Group Companies, taken as a whole, since January 1, 2019, none of the Group Companies or, to the Company’s knowledge, any of their respective officers, directors, employees, agents, or suppliers, with respect to any matter relating to the Group Companies or the business of the Group Companies, has made an untrue statement of a material fact or fraudulent statement to the FDA or other Governmental Entity, failed to disclose a material fact required to be disclosed to the FDA or any other Governmental Entity, or committed any act, made any statement, or failed to make any statement that, at the time such disclosure was made, could reasonably be expected to provide a basis for the FDA or any other Governmental Entity to invoke its policy respecting “Fraud, Untrue Statements of Material Facts, Bribery, and Illegal Gratuities” set forth in 56 Fed. Reg. 46191 (September 10, 1991) or any similar policy.</w:t>
      </w:r>
    </w:p>
    <w:p>
      <w:pPr>
        <w:spacing w:after="0" w:line="63" w:lineRule="exact"/>
        <w:rPr>
          <w:rFonts w:ascii="Times New Roman" w:cs="Times New Roman" w:eastAsia="Times New Roman" w:hAnsi="Times New Roman"/>
          <w:sz w:val="17"/>
          <w:szCs w:val="17"/>
          <w:color w:val="auto"/>
        </w:rPr>
      </w:pPr>
    </w:p>
    <w:p>
      <w:pPr>
        <w:ind w:left="-20" w:right="100" w:firstLine="987"/>
        <w:spacing w:after="0" w:line="258" w:lineRule="auto"/>
        <w:tabs>
          <w:tab w:leader="none" w:pos="122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and would not reasonably be expected to be, individually or in the aggregate, material to the Group Companies, taken as a whole, since January 1, 2019, (i) none of the Group Companies or, to the Company’s knowledge, any of their respective officers, directors or employees are or has been excluded, disqualified, debarred, or suspended, or threatened with exclusion, debarment, or suspension under the FDA’s debarment authority under 21 U.S.C. § 335a or for the award of a contract by any Governmental Entity or for participation in governmental programs such as Medicare or Medicaid, (ii) none of the Group Companies or,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60" w:top="270" w:right="459" w:bottom="1440" w:gutter="0" w:footer="0" w:header="0"/>
        </w:sectPr>
      </w:pPr>
    </w:p>
    <w:bookmarkStart w:id="297" w:name="page298"/>
    <w:bookmarkEnd w:id="29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knowledge, any of their respective officers, directors or employees are or have been convicted of any crime or engaged in any conduct that could result in debarment or exclusion under 21 U.S.C. § 335a or any similar Public Health Laws, (iii) no claims, actions, proceedings or investigations that could reasonably be expected to result in such a debarment or exclusion are pending or, to the Company’s knowledge, threatened against the Group Companies or, to the Company’s knowledge, any of their respective officers, directors or employees and (iv) no Group Company has undergone, or is currently undergoing, any inspection related to any Company Product or any other Governmental Entity investigation under any Public Health Law.</w:t>
      </w:r>
    </w:p>
    <w:p>
      <w:pPr>
        <w:spacing w:after="0" w:line="183"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3.25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not required to register as an “investment company”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Act</w:t>
      </w:r>
      <w:r>
        <w:rPr>
          <w:rFonts w:ascii="Times New Roman" w:cs="Times New Roman" w:eastAsia="Times New Roman" w:hAnsi="Times New Roman"/>
          <w:sz w:val="18"/>
          <w:szCs w:val="18"/>
          <w:u w:val="single" w:color="auto"/>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3.26 </w:t>
      </w:r>
      <w:r>
        <w:rPr>
          <w:rFonts w:ascii="Times New Roman" w:cs="Times New Roman" w:eastAsia="Times New Roman" w:hAnsi="Times New Roman"/>
          <w:sz w:val="18"/>
          <w:szCs w:val="18"/>
          <w:b w:val="1"/>
          <w:bCs w:val="1"/>
          <w:u w:val="single" w:color="auto"/>
          <w:color w:val="auto"/>
        </w:rPr>
        <w:t>SEC Filings and Matters</w:t>
      </w:r>
      <w:r>
        <w:rPr>
          <w:rFonts w:ascii="Times New Roman" w:cs="Times New Roman" w:eastAsia="Times New Roman" w:hAnsi="Times New Roman"/>
          <w:sz w:val="18"/>
          <w:szCs w:val="18"/>
          <w:u w:val="single" w:color="auto"/>
          <w:color w:val="auto"/>
        </w:rPr>
        <w:t>.</w:t>
      </w:r>
    </w:p>
    <w:p>
      <w:pPr>
        <w:spacing w:after="0" w:line="121" w:lineRule="exact"/>
        <w:rPr>
          <w:sz w:val="20"/>
          <w:szCs w:val="20"/>
          <w:color w:val="auto"/>
        </w:rPr>
      </w:pPr>
    </w:p>
    <w:p>
      <w:pPr>
        <w:ind w:firstLine="987"/>
        <w:spacing w:after="0" w:line="253" w:lineRule="auto"/>
        <w:tabs>
          <w:tab w:leader="none" w:pos="12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Public Group Company has timely filed or furnished all statements, forms, reports and documents required to be filed or furnished by it prior to the date of this Agreement with the SEC pursuant to Federal Securities Laws since its initial public offering (collectively, and together with any exhibits and schedules thereto and other information incorporated therein, and as they have been supplemented, modified or amended since the time of filing, the “</w:t>
      </w:r>
      <w:r>
        <w:rPr>
          <w:rFonts w:ascii="Times New Roman" w:cs="Times New Roman" w:eastAsia="Times New Roman" w:hAnsi="Times New Roman"/>
          <w:sz w:val="18"/>
          <w:szCs w:val="18"/>
          <w:u w:val="single" w:color="auto"/>
          <w:color w:val="auto"/>
        </w:rPr>
        <w:t>Public Group Company SEC Reports</w:t>
      </w:r>
      <w:r>
        <w:rPr>
          <w:rFonts w:ascii="Times New Roman" w:cs="Times New Roman" w:eastAsia="Times New Roman" w:hAnsi="Times New Roman"/>
          <w:sz w:val="18"/>
          <w:szCs w:val="18"/>
          <w:color w:val="auto"/>
        </w:rPr>
        <w:t>”). Each of the Public Group Company SEC Reports, as of their respective dates of filing, and as of the date of any amendment or filing that superseded the initial filing, complied in all material respects with the applicable requirements of the Federal Securities Laws (including, as applicable, the Sarbanes-Oxley Act and any rules and regulations promulgated thereunder) applicable to the Public Group Company SEC Reports. As of their respective dates of filing, the Public Group Company SEC Reports did not contain any untrue statement of a material fact or omit to state a material fact required to be stated therein or necessary to make the statements therein, in light of the circumstances under which they were made or will be made, as applicable, not misleading. As of the date of this Agreement, there are no outstanding or unresolved comments in comment letters received from the SEC with respect to the Public Group Company SEC Reports.</w:t>
      </w:r>
    </w:p>
    <w:p>
      <w:pPr>
        <w:spacing w:after="0" w:line="86"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required in reliance on exemptions from certain reporting requirements by virtue of any Public Group Company’s status as an “emerging growth company” within the meaning of the Securities Act, as modified by the JOBS Act, or as a “smaller reporting company” within the meaning of the Exchange Act, since the later of January 1, 2019 or its initial public offering, (i) each Public Group Company has established and maintained a system of internal controls over financial reporting (as defined in Rule 13a-15 and Rule 15d-15 under the Exchange Act) sufficient to provide reasonable assurance regarding the reliability of its financial reporting and the preparation of its financial statements for external purposes in accordance with GAAP and (ii) each Public Group Company has established and maintained disclosure controls and procedures (as defined in Rule 13a-15 and Rule 15d-15 under the Exchange Act) designed to ensure that material information relating to it is made known to its principal executive officer and principal financial officer by others within such Public Group Company.</w:t>
      </w:r>
    </w:p>
    <w:p>
      <w:pPr>
        <w:spacing w:after="0" w:line="83"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later of January 1, 2019 or the first filing of a registration statement in connection with its initial public offering, none of the Public Group Companies has taken any action prohibited by Section 402 of the Sarbanes-Oxley Act.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40"/>
          </w:cols>
          <w:pgMar w:left="440" w:top="270" w:right="519" w:bottom="1440" w:gutter="0" w:footer="0" w:header="0"/>
        </w:sectPr>
      </w:pPr>
    </w:p>
    <w:bookmarkStart w:id="298" w:name="page299"/>
    <w:bookmarkEnd w:id="298"/>
    <w:p>
      <w:pPr>
        <w:ind w:firstLine="987"/>
        <w:spacing w:after="0" w:line="256"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the later of January 1, 2019 or its initial public offering, each of the Public Group Companies has complied in all material respects with all applicable listing and corporate governance rules and regulations of its stock exchange. As of the date of this Agreement, there is no material Proceeding pending or, to the Company’s knowledge, threatened against any Public Group Company by its stock exchange or the SEC with respect to any intention by such entity to deregister the Equity Securities of such Public Group Company or prohibit or terminate the listing of Equity Securities of such Public Group Company on such stock exchange. None of the Public Group Companies has, as of the date hereof, taken any action that is designed to terminate the registration of any of its Equity Securities that are registered under the Exchange Act.</w:t>
      </w:r>
    </w:p>
    <w:p>
      <w:pPr>
        <w:spacing w:after="0" w:line="183"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3.27 </w:t>
      </w:r>
      <w:r>
        <w:rPr>
          <w:rFonts w:ascii="Times New Roman" w:cs="Times New Roman" w:eastAsia="Times New Roman" w:hAnsi="Times New Roman"/>
          <w:sz w:val="18"/>
          <w:szCs w:val="18"/>
          <w:b w:val="1"/>
          <w:bCs w:val="1"/>
          <w:u w:val="single" w:color="auto"/>
          <w:color w:val="auto"/>
        </w:rPr>
        <w:t>No Other Representations</w:t>
      </w:r>
      <w:r>
        <w:rPr>
          <w:rFonts w:ascii="Times New Roman" w:cs="Times New Roman" w:eastAsia="Times New Roman" w:hAnsi="Times New Roman"/>
          <w:sz w:val="18"/>
          <w:szCs w:val="18"/>
          <w:color w:val="auto"/>
        </w:rPr>
        <w:t>. In entering into this Agreement and the Ancillary Documents to which it is or will be a party,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and Merger Sub has relied solely on its own investigation and analysis and the representations and warranties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in the Ancillary Documents to which it is or will be a party and no other representations or warranties of MAAC, any MAAC Non-Party Affiliate or any other Person, either express or implied.</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3.28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NOTWITHSTANDING THE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 TO THE COMPANY OR ANY OF ITS REPRESENTATIVES OF ANY DOCUMENTATION OR OTHER INFORMATION (INCLUDING ANY FINANCIAL PROJECTIONS OR OTHER SUPPLEMENTAL DATA), EACH OF THE COMPANY AND MERGER SUB, ON ITS OWN BEHALF AND ON BEHALF OF ITS REPRESENTATIVES, ACKNOWLEDGES, REPRESENTS, WARRANTS AND AGREES THAT, EXCEPT AS OTHERWISE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THE ANCILLARY DOCUMENTS TO WHICH IT OR MERGER SUB, AS APPLICABLE, IS OR WILL BE A PARTY, NONE OF MAAC, ANY MAAC NON-PARTY AFFILIATE OR ANY OTHER PERSON MAKES, AND EACH OF THE COMPANY AND MERGER SUB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MAAC THAT HAVE BEEN MADE AVAILABLE TO THE COMPANY OR ANY OF ITS REPRESENTATIVES OR IN ANY PRESENTATION OF THE BUSINESS AND AFFAIRS OF MAAC BY THE MANAGEMENT OR ON BEHALF OF MAAC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THE COMPANY, MERGER SUB OR ANY COMPANY NON-PARTY AFFILIATE IN EXECUTING, DELIVERING OR PERFORMING THIS AGREEMENT, THE ANCILLARY DOCUMENTS OR THE TRANSACTIONS CONTEMPLATED HEREBY OR THEREBY. IT IS UNDERSTOOD THAT ANY COST ESTIMATES, PROJECTIONS OR OTHER PREDICTIONS, ANY DATA OR ANY MEMORANDA OR OFFERING MATERIALS OR PRESENTATIONS, INCLUDING ANY OFFERING MEMORANDUM OR SIMILAR MATERIALS MADE AVAILABLE BY OR ON BEHALF OF MAAC ARE NOT AND SHALL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299" w:name="page300"/>
    <w:bookmarkEnd w:id="29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BE DEEMED TO BE OR TO INCLUDE REPRESENTATIONS OR WARRANTIES OF MAAC, ANY MAAC NON-PARTY AFFILIATE OR ANY OTHER PERSON, AND ARE NOT AND SHALL NOT BE DEEMED TO BE RELIED UPON BY THE COMPANY, MERGER SUB OR ANY COMPANY NON-PARTY AFFILIATE IN EXECUTING, DELIVERING OR PERFORMING THIS AGREEMENT, THE ANCILLARY DOCUMENTS OR THE TRANSACTIONS CONTEMPLATED HEREBY OR THEREBY.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MAAC</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except (a) as set forth on the MAAC Disclosure Schedules, or (b) with respect to any of the MAAC Fundamental Representations, as set forth in any publicly available MAAC SEC Reports as of the date hereof (excluding any disclosures in any “risk factors” section that do not constitute statements of fact, disclosures in any forward-looking statements disclaimers and other disclosures that are generally cautionary, predictive or forward-looking in nature), MAAC hereby represents and warrants to the Company and Merger Sub as follows:</w:t>
      </w:r>
    </w:p>
    <w:p>
      <w:pPr>
        <w:spacing w:after="0" w:line="176"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Organization and Qualification</w:t>
      </w:r>
      <w:r>
        <w:rPr>
          <w:rFonts w:ascii="Times New Roman" w:cs="Times New Roman" w:eastAsia="Times New Roman" w:hAnsi="Times New Roman"/>
          <w:sz w:val="18"/>
          <w:szCs w:val="18"/>
          <w:color w:val="auto"/>
        </w:rPr>
        <w:t>. MAAC is a corporation duly incorporated,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jurisdiction of incorporation. The Governing Documents of MAAC are in full force and effect and MAAC is not in material breach or violation of any provision set forth in its Governing Documents.</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MAAC has the requisite corporate power and authority to execute and deliver this Agreement and each Ancillary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to which it is or will be a party, to perform its obligations hereunder and thereunder, and to consummate the transactions contemplated hereby and thereby. Subject to the receipt of the MAAC Shareholder Approval, the execution and delivery of this Agreement, the Ancillary Documents to which MAAC is or will be a party and the consummation of the transactions contemplated hereby and thereby have been (or, in the case of any Ancillary Document entered into after the date of this Agreement, will be upon execution thereof) duly authorized by all necessary corporate action on the part of MAAC. This Agreement has been and each Ancillary Document to which MAAC is or will be a party will be, upon execution thereof, duly and validly executed and delivered by MAAC and constitutes or will constitute, upon execution thereof, as applicable, a valid, legal and binding agreement of MAAC (assuming this Agreement has been and the Ancillary Documents to which MAAC is or will be a party are or will be, upon execution thereof, as applicable, duly authorized, executed and delivered by the other Persons party hereto or thereto), enforceable against MAAC in accordance with their terms (subject to applicable bankruptcy, insolvency, reorganization, moratorium or other Laws affecting generally the enforcement of creditors’ rights and subject to general principles of equity). The MAAC Shareholder Approval and the MAAC Sponsor Consent are the only votes or consents of the holders of any class or series of Equity Securities of MAAC required to approve and adopt this Agreement, the Ancillary Documents to which MAAC is or is contemplated to be a party, the performance of the MAAC’s obligations hereunder and thereunder and the consummation of the transactions contemplated hereby (including the Merger).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40" w:top="270" w:right="479" w:bottom="1440" w:gutter="0" w:footer="0" w:header="0"/>
        </w:sectPr>
      </w:pPr>
    </w:p>
    <w:bookmarkStart w:id="300" w:name="page301"/>
    <w:bookmarkEnd w:id="300"/>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4.3 </w:t>
      </w:r>
      <w:r>
        <w:rPr>
          <w:rFonts w:ascii="Times New Roman" w:cs="Times New Roman" w:eastAsia="Times New Roman" w:hAnsi="Times New Roman"/>
          <w:sz w:val="18"/>
          <w:szCs w:val="18"/>
          <w:b w:val="1"/>
          <w:bCs w:val="1"/>
          <w:u w:val="single" w:color="auto"/>
          <w:color w:val="auto"/>
        </w:rPr>
        <w:t>Consents and Requisite Governmental Approvals; No Violations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987"/>
        <w:spacing w:after="0" w:line="268" w:lineRule="auto"/>
        <w:tabs>
          <w:tab w:leader="none" w:pos="1240"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approval or authorization of, or designation, declaration or filing with, any Governmental Entity is required on the part of MAAC with respect to MAAC’s execution, delivery or performance of its obligations under this Agreement or the Ancillary Documents to which it is or will be party or the consummation of the transactions contemplated hereby or thereby, except for (i) compliance with and filings under the HSR Act and Foreign and Domestic Approval Laws, if applicable,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the Company Post-Closing Common Shares to be issued in connection with the transactions contemplated by this Agreement and the other Ancillary Documents to be listed on Nasdaq or in order to deregister the MAAC Shares following the Closing, (iv) the filing of (A) the Certificate of Merger and</w:t>
      </w:r>
    </w:p>
    <w:p>
      <w:pPr>
        <w:ind w:left="4" w:right="420" w:hanging="4"/>
        <w:spacing w:after="0" w:line="255" w:lineRule="auto"/>
        <w:tabs>
          <w:tab w:leader="none" w:pos="28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filings required under the Companies Act in connection with the Company Pre-Closing Steps and the Merger, (v) the MAAC Shareholder Approval, (vi) the MAAC Sponsor Consent or (vii) any other consents, approvals, authorizations, designations, declarations, waivers or filings, the absence of which would not have a MAAC Material Adverse Effect.</w:t>
      </w:r>
    </w:p>
    <w:p>
      <w:pPr>
        <w:spacing w:after="0" w:line="77"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5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or delivery by MAAC of this Agreement or any Ancillary Document to which it is or will be a party, the performance by MAAC of its obligations hereunder or thereunder or the consummation by MAAC of the transactions contemplated hereby or thereby will, directly or indirectly (with or without due notice or lapse of time or both) (i) result in a violation or breach of any provision of the Governing Documents of MAAC, (ii) result in a violation or breach of, or constitute a default or give rise to any right of termination, Consent, cancellation, amendment, modification, suspension, revocation or acceleration under, any of the terms, conditions or provisions of any material Contract to which MAAC is a party, (iii) violate, or constitute a breach under, any Order or applicable Law to which MAAC or any of its properties or assets are subject or bound or (iv) result in the creation of any Lien upon any of the assets or properties (other than any Permitted Liens) of MAAC,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as would not have a MAAC Material Adverse Effect.</w:t>
      </w:r>
    </w:p>
    <w:p>
      <w:pPr>
        <w:spacing w:after="0" w:line="188"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for the Persons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MAAC Disclosure Schedules, no broker, finder, investment banker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Person is entitled to any brokerage fee, finders’ fee or other commission in connection with the transactions contemplated by this Agreement based upon arrangements made by or on behalf of MAAC or any of its Affiliates. True and complete copies of the engagement agreements in effect as of the date hereof with the Persons set forth on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MAAC Disclosure Schedules have been provided to the Company prior to the execution of this Agreement.</w:t>
      </w:r>
    </w:p>
    <w:p>
      <w:pPr>
        <w:spacing w:after="0" w:line="179"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MAAC expressly for inclusion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by reference prior to the Closing in the Registration Statement / Proxy Statement will, when the Registration Statement / Proxy Statement is declared effective or when the Registration Statement / Proxy Statement is mailed to the Pre-Closing MAAC Shareholders or at the time of the MAAC Shareholders Meeting, and in the case of any amendment thereto, at the time of such amendment, contain any untrue statement</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66" w:right="459" w:bottom="1440" w:gutter="0" w:footer="0" w:header="0"/>
        </w:sectPr>
      </w:pPr>
    </w:p>
    <w:bookmarkStart w:id="301" w:name="page302"/>
    <w:bookmarkEnd w:id="301"/>
    <w:p>
      <w:pPr>
        <w:ind w:right="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a material fact or omit to state any material fact required to be stated therein or necessary in order to make the statements therein, in light of the circumstances under which they are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provisions of this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no representation or warranty is made by MAAC with respect to any other information or statements included or incorporated by reference in the Registration Statement / Proxy Statement, including any such information or statements that were supplied by or on behalf of the Company or Merger Sub for use therein.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Capitalization of MAAC</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987"/>
        <w:spacing w:after="0" w:line="253"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of the MAAC Disclosure Schedules sets forth a true and complete statement of the number and class or series (as applicable) of the issued and outstanding MAAC Shares and the number of issued and outstanding MAAC Warrants, in each case, prior to giving effect to the PIPE Financing, the MAAC Shareholder Redemption and the transactions contemplated by the Sponsor Support Agreement. All issued and outstanding MAAC Shares have been duly authorized and validly issued and are fully paid and non-assessable. All outstanding Equity Securities of MAAC (i) were not issued in violation of the Governing Documents of MAAC or in violation of any other Contracts to which MAAC is a party or by which it is otherwise bound, and (ii) are not subject to any preemptive rights, call option, right of first refusal, subscription rights, transfer restrictions or similar rights of any Person (other than transfer restrictions under applicable Securities Laws or under the Governing Documents of MAAC) and were not issued in violation of any preemptive rights, call option, right of first refusal, subscription rights, transfer restrictions or similar rights of any Person. Except for the MAAC Shares and MAAC Warrants set forth on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of the MAAC Disclosure Schedules (assuming that no MAAC Shareholder Redemptions are effected), immediately prior to Closing and before giving effect to the PIPE Financing and the transactions contemplated by the Sponsor Support Agreement, there are no other Equity Securities of MAAC issued and outstanding.</w:t>
      </w:r>
    </w:p>
    <w:p>
      <w:pPr>
        <w:spacing w:after="0" w:line="83"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contemplated by the PIPE Subscription Agreements or as issued, granted or entered into, as applicable,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there are no outstanding (A) equity appreciation, phantom equity or profit participation rights or (B) options, restricted stock, phantom stock, warrants, purchase rights, subscription rights, conversion rights, exchange rights, calls, puts, rights of first refusal or first offer or other Contracts that could require MAAC to, and there is no obligation to MAAC to, issue, sell or otherwise cause to become outstanding or to acquire, repurchase or redeem any Equity Securities or securities convertible into or exchangeable for Equity Securities of MAAC.</w:t>
      </w:r>
    </w:p>
    <w:p>
      <w:pPr>
        <w:spacing w:after="0" w:line="7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on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 xml:space="preserve"> of the MAAC Disclosure Schedule and, except as permitted by </w:t>
      </w:r>
      <w:r>
        <w:rPr>
          <w:rFonts w:ascii="Times New Roman" w:cs="Times New Roman" w:eastAsia="Times New Roman" w:hAnsi="Times New Roman"/>
          <w:sz w:val="18"/>
          <w:szCs w:val="18"/>
          <w:u w:val="single" w:color="auto"/>
          <w:color w:val="auto"/>
        </w:rPr>
        <w:t>Section 5.10(b)</w:t>
      </w:r>
      <w:r>
        <w:rPr>
          <w:rFonts w:ascii="Times New Roman" w:cs="Times New Roman" w:eastAsia="Times New Roman" w:hAnsi="Times New Roman"/>
          <w:sz w:val="18"/>
          <w:szCs w:val="18"/>
          <w:color w:val="auto"/>
        </w:rPr>
        <w:t>, MAAC has no Subsidiaries and does not own or hold, directly or indirectly, any Equity Securities in any Person or the right to acquire any such Equity Security, and MAAC is not a partner, member or similar participant of or in any partnership, limited liability company or similar business entity.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302" w:name="page303"/>
    <w:bookmarkEnd w:id="302"/>
    <w:p>
      <w:pPr>
        <w:ind w:right="40" w:firstLine="987"/>
        <w:spacing w:after="0" w:line="274" w:lineRule="auto"/>
        <w:tabs>
          <w:tab w:leader="none" w:pos="1246"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outstanding bonds, debentures, notes or other indebtedness of MAAC having the right to vote (or convertible into, or exchangeable for, securities having the right to vote) on any matter on which holders of MAAC Shares may vote. There are no voting trusts, proxies or other Contracts with respect to the voting or transfer of any MAAC’s Equity Securities between MAAC and any other Person. MAAC is not a party to any shareholders agreement or registration rights agreement relating to MAAC Shares or any other Equity Securities of MAAC. There are no securities issued by or to which MAAC is a party containing anti-dilution or similar provisions that will be triggered by the consummation of the transactions contemplated by this Agreement or the Ancillary Documents, in each case, that have not been or will not be waived on or prior to the Closing Date.</w:t>
      </w:r>
    </w:p>
    <w:p>
      <w:pPr>
        <w:spacing w:after="0" w:line="64" w:lineRule="exact"/>
        <w:rPr>
          <w:rFonts w:ascii="Times New Roman" w:cs="Times New Roman" w:eastAsia="Times New Roman" w:hAnsi="Times New Roman"/>
          <w:sz w:val="17"/>
          <w:szCs w:val="17"/>
          <w:color w:val="auto"/>
        </w:rPr>
      </w:pPr>
    </w:p>
    <w:p>
      <w:pPr>
        <w:ind w:right="80" w:firstLine="987"/>
        <w:spacing w:after="0" w:line="266" w:lineRule="auto"/>
        <w:tabs>
          <w:tab w:leader="none" w:pos="12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4.6(e)</w:t>
      </w:r>
      <w:r>
        <w:rPr>
          <w:rFonts w:ascii="Times New Roman" w:cs="Times New Roman" w:eastAsia="Times New Roman" w:hAnsi="Times New Roman"/>
          <w:sz w:val="18"/>
          <w:szCs w:val="18"/>
          <w:color w:val="auto"/>
        </w:rPr>
        <w:t xml:space="preserve"> of the MAAC Disclosure Schedules sets forth a list of all indebtedness for borrowed money of MAAC as of the date of this Agreement, including the principal amount of such indebtedness, the outstanding balance as of the date of this Agreement, and the debtor and the creditor thereof.</w:t>
      </w:r>
    </w:p>
    <w:p>
      <w:pPr>
        <w:spacing w:after="0" w:line="67" w:lineRule="exact"/>
        <w:rPr>
          <w:rFonts w:ascii="Times New Roman" w:cs="Times New Roman" w:eastAsia="Times New Roman" w:hAnsi="Times New Roman"/>
          <w:sz w:val="18"/>
          <w:szCs w:val="18"/>
          <w:color w:val="auto"/>
        </w:rPr>
      </w:pPr>
    </w:p>
    <w:p>
      <w:pPr>
        <w:ind w:right="140" w:firstLine="987"/>
        <w:spacing w:after="0" w:line="282" w:lineRule="auto"/>
        <w:tabs>
          <w:tab w:leader="none" w:pos="121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MAAC Equity Securities have been offered, sold and issued in compliance with applicable Law, including Securities Laws, in all material respects.</w:t>
      </w:r>
    </w:p>
    <w:p>
      <w:pPr>
        <w:spacing w:after="0" w:line="15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SEC Filings</w:t>
      </w:r>
      <w:r>
        <w:rPr>
          <w:rFonts w:ascii="Times New Roman" w:cs="Times New Roman" w:eastAsia="Times New Roman" w:hAnsi="Times New Roman"/>
          <w:sz w:val="18"/>
          <w:szCs w:val="18"/>
          <w:color w:val="auto"/>
        </w:rPr>
        <w:t>. MAAC has timely filed or furnished all statements, forms, reports and documents required to be filed or furnished by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date of this Agreement with the SEC pursuant to Federal Securities Laws since its initial public offering (collectively, and together with any exhibits and schedules thereto and other information incorporated therein, and as they have been supplemented, modified or amended since the time of filing, the “</w:t>
      </w:r>
      <w:r>
        <w:rPr>
          <w:rFonts w:ascii="Times New Roman" w:cs="Times New Roman" w:eastAsia="Times New Roman" w:hAnsi="Times New Roman"/>
          <w:sz w:val="18"/>
          <w:szCs w:val="18"/>
          <w:u w:val="single" w:color="auto"/>
          <w:color w:val="auto"/>
        </w:rPr>
        <w:t>MAAC SEC Reports</w:t>
      </w:r>
      <w:r>
        <w:rPr>
          <w:rFonts w:ascii="Times New Roman" w:cs="Times New Roman" w:eastAsia="Times New Roman" w:hAnsi="Times New Roman"/>
          <w:sz w:val="18"/>
          <w:szCs w:val="18"/>
          <w:color w:val="auto"/>
        </w:rPr>
        <w:t>”) and, as of the Closing, will have filed or furnished all other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the “</w:t>
      </w:r>
      <w:r>
        <w:rPr>
          <w:rFonts w:ascii="Times New Roman" w:cs="Times New Roman" w:eastAsia="Times New Roman" w:hAnsi="Times New Roman"/>
          <w:sz w:val="18"/>
          <w:szCs w:val="18"/>
          <w:u w:val="single" w:color="auto"/>
          <w:color w:val="auto"/>
        </w:rPr>
        <w:t>Additional MAAC SEC Reports</w:t>
      </w:r>
      <w:r>
        <w:rPr>
          <w:rFonts w:ascii="Times New Roman" w:cs="Times New Roman" w:eastAsia="Times New Roman" w:hAnsi="Times New Roman"/>
          <w:sz w:val="18"/>
          <w:szCs w:val="18"/>
          <w:color w:val="auto"/>
        </w:rPr>
        <w:t>”). Each of the MAAC SEC Reports, as of their respective dates of filing, and as of the date of any amendment or filing that superseded the initial filing, complied and each of the Additional MAAC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MAAC SEC Reports or the Additional MAAC SEC Reports (for purposes of the Additional MAAC SEC Reports, assuming that all information supplied by or on behalf of Group Companies or the Company Shareholders expressly for inclusion or incorporation by reference therein, if any, is true and correct in all material respects). As of their respective dates of filing, and as of the date of any amendment or filing that superseded the initial filing, the MAAC SEC Reports and the Additional MAAC SEC Reports did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MAAC SEC Reports, assuming that all information supplied by or on behalf of Group Companies or the Company Shareholders expressly for inclusion or incorporation by reference therein, if any, is true and correct in all material respects). As of the date of this Agreement, there are no outstanding or unresolved comments in comment letters received from the SEC with respect to the MAAC SEC Reports.</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40"/>
          </w:cols>
          <w:pgMar w:left="440" w:top="270" w:right="519" w:bottom="1440" w:gutter="0" w:footer="0" w:header="0"/>
        </w:sectPr>
      </w:pPr>
    </w:p>
    <w:bookmarkStart w:id="303" w:name="page304"/>
    <w:bookmarkEnd w:id="30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4.8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As of the date of this Agreement, MAAC has an amount in cash in the Trust Account equal to at least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$410,794,357.31. The funds held in the Trust Account are (a) invested in United States “government securities” within the meaning of Section 2(a)(16)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Investment Company Act, having a maturity of one hundred eight-five (185) days or less or in money market funds meeting certain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Rule 2a-7 promulgated under the Investment Company Act which invest only in direct U.S. government treasury obligations and (b) held in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that certain Investment Management Trust Agreement, dated October 6, 2020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between MAAC and Continental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Transfer &amp; Trust Company,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There are no separate agreements, side letters or other agreements or understandings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written or unwritten, express or implied) that would cause the description of the Trust Agreement in the MAAC SEC Reports to be inaccurate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material respect or, to MAAC’s knowledge, that would entitle any Person to any portion of the funds in the Trust Account (other than (i)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of deferred underwriting commissions or Taxes, (ii) the Pre-Closing MAAC Shareholders who shall have elected to redeem their MAAC Class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pursuant to the Governing Documents of MAAC or (iii) if MAAC fails to complete a business combination within the allotted time period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the Governing Documents of MAAC and liquidates the Trust Account, subject to the terms of the Trust Agreement, MAAC (in limited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permit MAAC to pay the expenses of the Trust Account’s liquidation, dissolution and winding up of MAAC) and then the Pre-Closing MAAC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Prior to the Closing, none of the funds held in the Trust Account are permitted to be released, except in the circumstances described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Governing Documents of MAAC and the Trust Agreement. As of the date of this Agreement, MAAC is not in material default, or delinquent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in any material respect in connection with the Trust Agreement, and, to MAAC’s knowledge, as of the date hereof, no event has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(with due notice or lapse of time or both) would constitute a material default under the Trust Agreement. As of the date of this Agreement, there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 no Proceedings pending with respect to the Trust Account. Since October 6, 2020, MAAC has not released any money from the Trust Account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interest income earned on the funds held in the Trust Account as permitted by the Trust Agreement). Upon the consummation of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(including the distribution of assets from the Trust Account (A) in respect of deferred underwriting commissions or Taxes or (B)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Pre-Closing MAAC Shareholders who have elected to redeem their MAAC Class A Shares pursuant to the Governing Documents of MAAC, each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terms of and as set forth in the Trust Agreement), MAAC shall have no further obligation under either the Trust Agreement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Governing Documents of MAAC to liquidate or distribute any assets held in the Trust Account, and the Trust Agreement shall terminate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its terms.</w:t>
      </w:r>
    </w:p>
    <w:p>
      <w:pPr>
        <w:spacing w:after="0" w:line="203"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No MAAC Material Adverse Effect</w:t>
      </w:r>
      <w:r>
        <w:rPr>
          <w:rFonts w:ascii="Times New Roman" w:cs="Times New Roman" w:eastAsia="Times New Roman" w:hAnsi="Times New Roman"/>
          <w:sz w:val="18"/>
          <w:szCs w:val="18"/>
          <w:color w:val="auto"/>
        </w:rPr>
        <w:t>. During the period beginning on July 6, 2020 and ending on the date of this Agreement,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MAAC Material Adverse Effect has occurred.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80" w:firstLine="987"/>
        <w:spacing w:after="0" w:line="312" w:lineRule="auto"/>
        <w:tabs>
          <w:tab w:leader="none" w:pos="1236"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4.10(a)</w:t>
      </w:r>
      <w:r>
        <w:rPr>
          <w:rFonts w:ascii="Times New Roman" w:cs="Times New Roman" w:eastAsia="Times New Roman" w:hAnsi="Times New Roman"/>
          <w:sz w:val="17"/>
          <w:szCs w:val="17"/>
          <w:color w:val="auto"/>
        </w:rPr>
        <w:t xml:space="preserve"> of the MAAC Disclosure Schedules sets forth a list of all material Contracts (other than, for the avoidance of doubt, confidentiality, non-disclosure or other similar agreements) to which MAAC is a party or by which any of its assets is bound as of the date hereof.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6" w:right="459" w:bottom="1440" w:gutter="0" w:footer="0" w:header="0"/>
        </w:sectPr>
      </w:pPr>
    </w:p>
    <w:bookmarkStart w:id="304" w:name="page305"/>
    <w:bookmarkEnd w:id="304"/>
    <w:p>
      <w:pPr>
        <w:ind w:firstLine="987"/>
        <w:spacing w:after="0" w:line="253" w:lineRule="auto"/>
        <w:tabs>
          <w:tab w:leader="none" w:pos="12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would not have a MAAC Material Adverse Effect, each Contract of a type required to be listed on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of the MAAC Disclosure Schedules (together with (x) each Contract entered into after the date of this Agreement that would be required to be set forth on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of the MAAC Disclosure Schedules if entered into prior to the execution and delivery of this Agreement and (y) each “material contract” (as such term is defined in Item 601(b)(10) of Regulation S-K of the SEC), each, a “</w:t>
      </w:r>
      <w:r>
        <w:rPr>
          <w:rFonts w:ascii="Times New Roman" w:cs="Times New Roman" w:eastAsia="Times New Roman" w:hAnsi="Times New Roman"/>
          <w:sz w:val="18"/>
          <w:szCs w:val="18"/>
          <w:u w:val="single" w:color="auto"/>
          <w:color w:val="auto"/>
        </w:rPr>
        <w:t>MAAC Material Contract</w:t>
      </w:r>
      <w:r>
        <w:rPr>
          <w:rFonts w:ascii="Times New Roman" w:cs="Times New Roman" w:eastAsia="Times New Roman" w:hAnsi="Times New Roman"/>
          <w:sz w:val="18"/>
          <w:szCs w:val="18"/>
          <w:color w:val="auto"/>
        </w:rPr>
        <w:t>”), (i) is valid and binding on MAAC and, to MAAC’s knowledge, the counterparties thereto, and is in full force and effect and enforceable in accordance with its terms against MAAC and, to MAAC’s knowledge, the counterparties thereto (subject to applicable bankruptcy, insolvency, reorganization, moratorium or other Laws affecting generally the enforcement of creditors’ rights and subject to general principles of equity), (ii) MAAC and, to MAAC’s knowledge, the counterparties thereto are not in material breach of, or default under, any MAAC Material Contract and (iii) no event has occurred that (with or without due notice or lapse of time or both) would result in a material breach of, or default under, any MAAC Material Contract by MAAC or, to MAAC’s knowledge, the counterparties thereto. MAAC has made available to the Company true and complete copies of all MAAC Material Contracts in effect as of the date hereof (it being understood and agreed, for the avoidance of doubt, that each MAAC Material Contract set forth in any MAAC SEC Report that is publicly available as of the date hereof shall be deemed to have been made available to the Company pursuant to this sentence).</w:t>
      </w:r>
    </w:p>
    <w:p>
      <w:pPr>
        <w:spacing w:after="0" w:line="18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MAAC Disclosure Schedules sets forth all Contracts between (a) MAAC,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one hand, and (b) any officer, director, employee, partner, member, manager, direct or indirect equityholder (including the MAAC Sponsor) or Affiliate of MAAC or the MAAC Sponsor or any family member of the same household of the foregoing Persons, on the other hand (each Person identified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MAAC Related Party</w:t>
      </w:r>
      <w:r>
        <w:rPr>
          <w:rFonts w:ascii="Times New Roman" w:cs="Times New Roman" w:eastAsia="Times New Roman" w:hAnsi="Times New Roman"/>
          <w:sz w:val="18"/>
          <w:szCs w:val="18"/>
          <w:color w:val="auto"/>
        </w:rPr>
        <w:t xml:space="preserve">”), other than (i) Contracts with respect to or otherwise related to a MAAC Related Party’s employment with, or the provision of services to, MAAC (including benefit plans, indemnification arrangements and other ordinary course compensation), (ii) Contracts entered into after the date of this Agreement that are either permitted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entered into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(iii) Contracts with respect to a MAAC equityholder’s status as an equityholder of MAAC and (iv) customary director and officer indemnification agreements that have been made available to the Company. No MAAC Related Party (A) owns any interest in any material asset or property used in the business of MAAC or (B) possesses, directly or indirectly, any material financial interest in, or is a director or executive officer of, any Person which is a material client, supplier, vendor, partner, customer or lessor, or other material business relation, of MAAC. All Contracts, arrangements, understandings, interests and other matters that are required to be disclosed pursuant to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(including, for the avoidance of doubt, pursuant to the second sentence of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are referred to herein as “</w:t>
      </w:r>
      <w:r>
        <w:rPr>
          <w:rFonts w:ascii="Times New Roman" w:cs="Times New Roman" w:eastAsia="Times New Roman" w:hAnsi="Times New Roman"/>
          <w:sz w:val="18"/>
          <w:szCs w:val="18"/>
          <w:u w:val="single" w:color="auto"/>
          <w:color w:val="auto"/>
        </w:rPr>
        <w:t>MAAC Related Party Transactions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-1262380</wp:posOffset>
            </wp:positionV>
            <wp:extent cx="2857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3242310</wp:posOffset>
            </wp:positionH>
            <wp:positionV relativeFrom="paragraph">
              <wp:posOffset>-576580</wp:posOffset>
            </wp:positionV>
            <wp:extent cx="285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0" w:lineRule="exact"/>
        <w:rPr>
          <w:sz w:val="20"/>
          <w:szCs w:val="20"/>
          <w:color w:val="auto"/>
        </w:rPr>
      </w:pPr>
    </w:p>
    <w:p>
      <w:pPr>
        <w:jc w:val="both"/>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As of the date of this Agreement, there is (and since its organization, incorporation or formation, as applicable, there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no Proceeding pending or, to MAAC’s knowledge, threatened against MAAC that, if adversely decided or resolved, would be material to MAAC. As of the date of this Agreement, neither MAAC nor any of its respective properties or assets is subject to any Order. As of the date of this Agreement, there are (and since July 6, 2020 through the date of this Agreement, there have been no) no material Proceedings by MAAC pending against any other Person.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305" w:name="page306"/>
    <w:bookmarkEnd w:id="305"/>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4.13 </w:t>
      </w: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(a) MAAC is (and since its organization, incorporation or formation, as applicable, has been)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compliance with all applicable Laws and (b) as of the date hereof, has not received any written communications or, to MAAC’s knowledge, any other communications from or on behalf of a Governmental Entity that alleges that MAAC is not in compliance with any applicable Law or Order, except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has not had, and would not reasonably be expected to have, a MAAC Material Adverse Effect.</w:t>
      </w:r>
    </w:p>
    <w:p>
      <w:pPr>
        <w:spacing w:after="0" w:line="176"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4.14 </w:t>
      </w:r>
      <w:r>
        <w:rPr>
          <w:rFonts w:ascii="Times New Roman" w:cs="Times New Roman" w:eastAsia="Times New Roman" w:hAnsi="Times New Roman"/>
          <w:sz w:val="17"/>
          <w:szCs w:val="17"/>
          <w:b w:val="1"/>
          <w:bCs w:val="1"/>
          <w:u w:val="single" w:color="auto"/>
          <w:color w:val="auto"/>
        </w:rPr>
        <w:t>MAAC’s Business Activities</w:t>
      </w:r>
      <w:r>
        <w:rPr>
          <w:rFonts w:ascii="Times New Roman" w:cs="Times New Roman" w:eastAsia="Times New Roman" w:hAnsi="Times New Roman"/>
          <w:sz w:val="17"/>
          <w:szCs w:val="17"/>
          <w:color w:val="auto"/>
        </w:rPr>
        <w:t>. Since its incorporation, MAAC has not conducted any business activities other than activities (i)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or incident or related to its incorporation or continuing corporate (or similar) existence, (ii) directed toward the accomplishment of a business combination, including those incident or related to or incurred in connection with the negotiation, preparation or execution of this Agreement or any Ancillary Documents, the performance of its covenants or agreements in this Agreement or any Ancillary Document or the consummation of the transactions contemplated hereby or thereby or (iii) those that are administrative, ministerial or otherwise immaterial in nature. Except for this Agreement or the Ancillary Documents or as set forth in MAAC’s Governing Documents, there is no Contract binding upon MAAC or to which MAAC is party which has or would reasonably be expected to have the effect of prohibiting or materially impairing any business practice of it or its Affiliates, any acquisition of property by it or its Affiliates or the conduct of business by it or its Affiliates (including, in each case, following the Closing).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Internal Controls; Listing; Financial Statements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5"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required in reliance on exemptions from various reporting requirements by virtue of MAAC’s status as an “emerging growth company” within the meaning of the Securities Act, as modified by the JOBS Act, or “smaller reporting company” within the meaning of the Exchange Act, since its initial public offering, (i) MAAC has established and maintained a system of internal controls over financial reporting (as defined in Rule 13a-15 and Rule 15d-15 under the Exchange Act) sufficient to provide reasonable assurance regarding the reliability of MAAC’s financial reporting and the preparation of MAAC’s financial statements for external purposes in accordance with GAAP and (ii) MAAC has established and maintained disclosure controls and procedures (as defined in Rule 13a-15 and Rule 15d-15 under the Exchange Act) designed to ensure that material information relating to MAAC is made known to MAAC’s principal executive officer and principal financial officer by others within MAAC.</w:t>
      </w:r>
    </w:p>
    <w:p>
      <w:pPr>
        <w:spacing w:after="0" w:line="80" w:lineRule="exact"/>
        <w:rPr>
          <w:rFonts w:ascii="Times New Roman" w:cs="Times New Roman" w:eastAsia="Times New Roman" w:hAnsi="Times New Roman"/>
          <w:sz w:val="18"/>
          <w:szCs w:val="18"/>
          <w:color w:val="auto"/>
        </w:rPr>
      </w:pPr>
    </w:p>
    <w:p>
      <w:pPr>
        <w:ind w:right="640" w:firstLine="987"/>
        <w:spacing w:after="0" w:line="282" w:lineRule="auto"/>
        <w:tabs>
          <w:tab w:leader="none" w:pos="124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MAAC has not taken any action prohibited by Section 402 of the Sarbanes-Oxley Act. There are no outstanding loans or other extensions of credit made by MAAC to any executive officer (as defined in Rule 3b-7 under the Exchange Act) or director of MAAC.</w:t>
      </w:r>
    </w:p>
    <w:p>
      <w:pPr>
        <w:spacing w:after="0" w:line="53"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initial public offering, MAAC has complied in all material respects with all applicable listing and corporate governance rules and regulations of Nasdaq. The classes of securities representing issued and outstanding MAAC Class A Shares are registered pursuant to Section 12(b) of the Exchange Act and are listed for trading on Nasdaq. As of the date of this Agreement, there is no Proceeding pending or, to MAAC’s knowledge, threatened against MAAC by Nasdaq or the SEC with respect to any intention by such entity to deregister MAAC Class A Shares or prohibit or terminate the listing of MAAC Class A Shares on Nasdaq. As of the date hereof, MAAC has not taken any action that is designed to terminate the registration of MAAC Class A Shares under the Exchange 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6" w:right="459" w:bottom="1440" w:gutter="0" w:footer="0" w:header="0"/>
        </w:sectPr>
      </w:pPr>
    </w:p>
    <w:bookmarkStart w:id="306" w:name="page307"/>
    <w:bookmarkEnd w:id="306"/>
    <w:p>
      <w:pPr>
        <w:ind w:right="160" w:firstLine="987"/>
        <w:spacing w:after="0" w:line="254"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MAAC SEC Reports contain true and complete copies of the applicable MAAC Financial Statements. The MAAC Financial Statements (i) fairly present in all material respects the financial position of MAAC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MAAC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80"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MAAC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MAAC’s and its Subsidiaries’ assets. MAAC maintains and, for all periods covered by the MAAC Financial Statements, has maintained books and records of MAAC in the ordinary course of business that are accurate and complete and reflect the revenues, expenses, assets and liabilities of MAAC in all material respects.</w:t>
      </w:r>
    </w:p>
    <w:p>
      <w:pPr>
        <w:spacing w:after="0" w:line="79" w:lineRule="exact"/>
        <w:rPr>
          <w:rFonts w:ascii="Times New Roman" w:cs="Times New Roman" w:eastAsia="Times New Roman" w:hAnsi="Times New Roman"/>
          <w:sz w:val="18"/>
          <w:szCs w:val="18"/>
          <w:color w:val="auto"/>
        </w:rPr>
      </w:pPr>
    </w:p>
    <w:p>
      <w:pPr>
        <w:jc w:val="both"/>
        <w:ind w:right="400" w:firstLine="987"/>
        <w:spacing w:after="0" w:line="261" w:lineRule="auto"/>
        <w:tabs>
          <w:tab w:leader="none" w:pos="121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incorporation, MAAC has not received any written complaint, allegation, assertion or claim that there is (i) a “significant deficiency” in the internal controls over financial reporting of MAAC, (ii) a “material weakness” in the internal controls over financial reporting of MAAC or (iii) fraud, whether or not material, that involves management or other employees of MAAC who have a significant role in the internal controls over financial reporting of MAAC.</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b w:val="1"/>
          <w:bCs w:val="1"/>
          <w:u w:val="single" w:color="auto"/>
          <w:color w:val="auto"/>
        </w:rPr>
        <w:t>No Undisclosed Liabilities</w:t>
      </w:r>
      <w:r>
        <w:rPr>
          <w:rFonts w:ascii="Times New Roman" w:cs="Times New Roman" w:eastAsia="Times New Roman" w:hAnsi="Times New Roman"/>
          <w:sz w:val="18"/>
          <w:szCs w:val="18"/>
          <w:color w:val="auto"/>
        </w:rPr>
        <w:t>. Except for the Liabilities (a)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MAAC Disclosure Schedules, (b) incurred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connection with the negotiation, preparation or execution of this Agreement or any Ancillary Document, the performance of its covenants or agreements in this Agreement or any Ancillary Document or the consummation of the transactions contemplated hereby or thereby (including, for the avoidance of doubt, the MAAC Expenses and any Liabilities arising out of, or related to, any Proceeding related to this Agreement, the Ancillary Documents or the transactions contemplated hereby or thereby, including any shareholder demand or other shareholder Proceedings (including derivative claims) arising out of, or related to, any of the foregoing) (it being understood and agreed that the expected third parties that are, as of the date hereof, entitled to fees, expenses or other payments in connection with the matters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set forth on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of the MAAC Disclosure Schedules), (c) set forth or disclosed in the MAAC Financial Statements included in the MAAC SEC Reports, (d) that have arisen since the date of the most recent balance sheet included in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40" w:top="270" w:right="479" w:bottom="1440" w:gutter="0" w:footer="0" w:header="0"/>
        </w:sectPr>
      </w:pPr>
    </w:p>
    <w:bookmarkStart w:id="307" w:name="page308"/>
    <w:bookmarkEnd w:id="30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MAAC SEC Reports and either are incurred in the ordinary course of business or immaterial and incurred in connection with activities that are administrative or ministerial in nature, (e) that are either permitted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incurred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(f) that would not have a MAAC Material Adverse Effect, MAAC does not have any Liabilities.</w:t>
      </w:r>
    </w:p>
    <w:p>
      <w:pPr>
        <w:spacing w:after="0" w:line="17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4.17 </w:t>
      </w:r>
      <w:r>
        <w:rPr>
          <w:rFonts w:ascii="Times New Roman" w:cs="Times New Roman" w:eastAsia="Times New Roman" w:hAnsi="Times New Roman"/>
          <w:sz w:val="18"/>
          <w:szCs w:val="18"/>
          <w:b w:val="1"/>
          <w:bCs w:val="1"/>
          <w:u w:val="single" w:color="auto"/>
          <w:color w:val="auto"/>
        </w:rPr>
        <w:t>Employees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MAAC Disclosure Schedules, and other than any executive officers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directors as described in the MAAC SEC Reports, as of the date of this Agreement, (a) MAAC has never employed any employees or retained any independent contractors, consultants or other individual service providers and (b) MAAC has never maintained, sponsored, contributed to or had any direct or indirect Liability under, and does not currently maintain, sponsor, contribute to or have any direct or indirect Liability under, any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employee benefit plan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(as such term is defined in Section 3(3) of ERISA, whether or not subject to ERISA), equity or equity-based, deferred compensation, severance, retention, bonus, incentive, retirement, retiree or post-employment welfare, vacation, and other benefit or compensatory plan, program, policy or Contract. MAAC has no obligations to indemnify, reimburse, make-whole or “gross-up” any person for any Tax or related interest or penalties incurred by such person imposed under Section 4999 or 409A of the Code. To MAAC’s knowledge, as of the date of this Agreement, there are no unresolved allegations of sexual harassment, or other discrimination or retaliation against any executive officer or director of MAAC (in his or her capacity as such) that, if known to the public, would bring MAAC into material disrepute.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4.18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66" w:lineRule="auto"/>
        <w:tabs>
          <w:tab w:leader="none" w:pos="12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MAAC has prepared and filed all material Tax Returns required to have been filed by or with respect to it, all such Tax Returns are true and complete in all material respects, and MAAC has paid all material Taxes required to have been paid by or with respect to it regardless of whether shown on any Tax Return.</w:t>
      </w:r>
    </w:p>
    <w:p>
      <w:pPr>
        <w:spacing w:after="0" w:line="67"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MAAC has timely withheld and paid to the appropriate Tax Authority all material amounts required to have been withheld and paid in connection with amounts paid or owing to any employee, independent contractor, other service provider, equity interest holder, creditor or other third-party.</w:t>
      </w:r>
    </w:p>
    <w:p>
      <w:pPr>
        <w:spacing w:after="0" w:line="67" w:lineRule="exact"/>
        <w:rPr>
          <w:rFonts w:ascii="Times New Roman" w:cs="Times New Roman" w:eastAsia="Times New Roman" w:hAnsi="Times New Roman"/>
          <w:sz w:val="18"/>
          <w:szCs w:val="18"/>
          <w:color w:val="auto"/>
        </w:rPr>
      </w:pPr>
    </w:p>
    <w:p>
      <w:pPr>
        <w:jc w:val="both"/>
        <w:ind w:right="520" w:firstLine="987"/>
        <w:spacing w:after="0" w:line="312" w:lineRule="auto"/>
        <w:tabs>
          <w:tab w:leader="none" w:pos="1236"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MAAC is not currently the subject of a Tax audit or examination and has not been informed in writing of the commencement or anticipated commencement of any Tax audit or examination that has not been resolved or completed, in each case, with respect to material Taxes.</w:t>
      </w:r>
    </w:p>
    <w:p>
      <w:pPr>
        <w:spacing w:after="0" w:line="31" w:lineRule="exact"/>
        <w:rPr>
          <w:rFonts w:ascii="Times New Roman" w:cs="Times New Roman" w:eastAsia="Times New Roman" w:hAnsi="Times New Roman"/>
          <w:sz w:val="17"/>
          <w:szCs w:val="17"/>
          <w:color w:val="auto"/>
        </w:rPr>
      </w:pPr>
    </w:p>
    <w:p>
      <w:pPr>
        <w:ind w:right="100" w:firstLine="987"/>
        <w:spacing w:after="0" w:line="266" w:lineRule="auto"/>
        <w:tabs>
          <w:tab w:leader="none" w:pos="124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MAAC has not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67"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to MAAC, which agreement or ruling would be effective after the Closing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308" w:name="page309"/>
    <w:bookmarkEnd w:id="308"/>
    <w:p>
      <w:pPr>
        <w:ind w:right="40" w:firstLine="987"/>
        <w:spacing w:after="0" w:line="282" w:lineRule="auto"/>
        <w:tabs>
          <w:tab w:leader="none" w:pos="121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MAAC is not nor has it ever been a party to any “listed transaction” as defined in Section 6707A of the Code and Treasury Regulations Section 1.6011-4 (or any corresponding or similar provision of state, local or non-U.S. Tax Law).</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Liens for material Taxes on any assets of MAAC other than Liens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w:t>
      </w:r>
    </w:p>
    <w:p>
      <w:pPr>
        <w:spacing w:after="0" w:line="98" w:lineRule="exact"/>
        <w:rPr>
          <w:rFonts w:ascii="Times New Roman" w:cs="Times New Roman" w:eastAsia="Times New Roman" w:hAnsi="Times New Roman"/>
          <w:sz w:val="18"/>
          <w:szCs w:val="18"/>
          <w:color w:val="auto"/>
        </w:rPr>
      </w:pPr>
    </w:p>
    <w:p>
      <w:pPr>
        <w:ind w:right="460" w:firstLine="987"/>
        <w:spacing w:after="0" w:line="266" w:lineRule="auto"/>
        <w:tabs>
          <w:tab w:leader="none" w:pos="124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date of its incorporation and though the date of this Agreement, MAAC was not a distributing corporation or a controlled corporation in a transaction purported or intended to be governed by Section 355 of the Code (or so much of Section 356 of the Code as relates to Section 355 of the Code).</w:t>
      </w:r>
    </w:p>
    <w:p>
      <w:pPr>
        <w:spacing w:after="0" w:line="67"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MAAC (i) has not been a member of an affiliated group filing a consolidated U.S. federal income Tax Return (other than a group the common parent of which was MAAC) and (ii) does not have any material Liability for the Taxes of any Person (other than MAAC) under Treasury Regulations Section 1.1502-6 (or any corresponding or similar provision of state, local or non-U.S. Tax Law), as a transferee or successor or by Contract (other than any customary indemnification provisions contained in any commercial Contract entered into in the ordinary course of business and the principal purpose of which does not relate to Taxes).</w:t>
      </w:r>
    </w:p>
    <w:p>
      <w:pPr>
        <w:spacing w:after="0" w:line="75"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claims have ever been made by any Tax Authority in a jurisdiction where MAAC does not file Tax Returns that MAAC is or may be subject to taxation by, or required to file a Tax Return with, that jurisdiction, which claims have not been resolved or withdrawn.</w:t>
      </w:r>
    </w:p>
    <w:p>
      <w:pPr>
        <w:spacing w:after="0" w:line="53"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MAAC is not a party to any Tax allocation, Tax sharing or Tax indemnity or similar agreements (other than any customary commercial Contract entered into in the ordinary course of business and the principal purpose of which does not relate to Taxes).</w:t>
      </w:r>
    </w:p>
    <w:p>
      <w:pPr>
        <w:spacing w:after="0" w:line="53" w:lineRule="exact"/>
        <w:rPr>
          <w:rFonts w:ascii="Times New Roman" w:cs="Times New Roman" w:eastAsia="Times New Roman" w:hAnsi="Times New Roman"/>
          <w:sz w:val="18"/>
          <w:szCs w:val="18"/>
          <w:color w:val="auto"/>
        </w:rPr>
      </w:pPr>
    </w:p>
    <w:p>
      <w:pPr>
        <w:ind w:right="340" w:firstLine="987"/>
        <w:spacing w:after="0" w:line="266" w:lineRule="auto"/>
        <w:tabs>
          <w:tab w:leader="none" w:pos="120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MAAC is not aware of any fact or circumstance and has not taken or agreed to take any action not contemplated by this Agreement and/or any Ancillary Documents that could reasonably be expected to prevent, impair or impede the Merger from qualifying for the Intended Tax Treatment.</w:t>
      </w:r>
    </w:p>
    <w:p>
      <w:pPr>
        <w:spacing w:after="0" w:line="67" w:lineRule="exact"/>
        <w:rPr>
          <w:rFonts w:ascii="Times New Roman" w:cs="Times New Roman" w:eastAsia="Times New Roman" w:hAnsi="Times New Roman"/>
          <w:sz w:val="18"/>
          <w:szCs w:val="18"/>
          <w:color w:val="auto"/>
        </w:rPr>
      </w:pPr>
    </w:p>
    <w:p>
      <w:pPr>
        <w:ind w:right="100" w:firstLine="987"/>
        <w:spacing w:after="0" w:line="258" w:lineRule="auto"/>
        <w:tabs>
          <w:tab w:leader="none" w:pos="129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w:t>
      </w:r>
      <w:r>
        <w:rPr>
          <w:rFonts w:ascii="Times New Roman" w:cs="Times New Roman" w:eastAsia="Times New Roman" w:hAnsi="Times New Roman"/>
          <w:sz w:val="18"/>
          <w:szCs w:val="18"/>
          <w:u w:val="single" w:color="auto"/>
          <w:color w:val="auto"/>
        </w:rPr>
        <w:t>Section 4.15(d)</w:t>
      </w:r>
      <w:r>
        <w:rPr>
          <w:rFonts w:ascii="Times New Roman" w:cs="Times New Roman" w:eastAsia="Times New Roman" w:hAnsi="Times New Roman"/>
          <w:sz w:val="18"/>
          <w:szCs w:val="18"/>
          <w:color w:val="auto"/>
        </w:rPr>
        <w:t xml:space="preserve"> (Internal Controls; Listing; Financial Statements),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(No Undisclosed Liabilities), Section 4.17 (Employees) and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(Tax Matters) contains the sole representations and warranties of MAAC concerning Taxes. Notwithstanding any representation or warranty in this Agreement (including the representations and warranties set forth in this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(Tax Matters)), no representation or warranty is being made as to the use or availability of any Tax attribute or credit of MAAC in any taxable period (or portion thereof) beginning on the day immediately after the Closing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309" w:name="page310"/>
    <w:bookmarkEnd w:id="30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4.19 </w:t>
      </w:r>
      <w:r>
        <w:rPr>
          <w:rFonts w:ascii="Times New Roman" w:cs="Times New Roman" w:eastAsia="Times New Roman" w:hAnsi="Times New Roman"/>
          <w:sz w:val="18"/>
          <w:szCs w:val="18"/>
          <w:b w:val="1"/>
          <w:bCs w:val="1"/>
          <w:u w:val="single" w:color="auto"/>
          <w:color w:val="auto"/>
        </w:rPr>
        <w:t>Certain Business Practices</w:t>
      </w:r>
      <w:r>
        <w:rPr>
          <w:rFonts w:ascii="Times New Roman" w:cs="Times New Roman" w:eastAsia="Times New Roman" w:hAnsi="Times New Roman"/>
          <w:sz w:val="18"/>
          <w:szCs w:val="18"/>
          <w:color w:val="auto"/>
        </w:rPr>
        <w:t>. Except as would not have a MAAC Material Adverse Effect:</w:t>
      </w:r>
    </w:p>
    <w:p>
      <w:pPr>
        <w:spacing w:after="0" w:line="121" w:lineRule="exact"/>
        <w:rPr>
          <w:sz w:val="20"/>
          <w:szCs w:val="20"/>
          <w:color w:val="auto"/>
        </w:rPr>
      </w:pPr>
    </w:p>
    <w:p>
      <w:pPr>
        <w:jc w:val="both"/>
        <w:ind w:right="180" w:firstLine="987"/>
        <w:spacing w:after="0" w:line="261" w:lineRule="auto"/>
        <w:tabs>
          <w:tab w:leader="none" w:pos="123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MAAC, any of its respective officers, directors or employees or, to MAAC’s knowledge, any of its other Representatives, or any other Persons acting for or on behalf of any of the foregoing, since July 6, 2020, (i) has been a Sanctioned Person, (ii) has transacted any business with or for the direct or knowing indirect benefit of any Sanctioned Person in violation of applicable Sanctions or (iii) has otherwise violated any applicable Sanctions, Ex-Im Laws, or anti-boycott Laws.</w:t>
      </w:r>
    </w:p>
    <w:p>
      <w:pPr>
        <w:spacing w:after="0" w:line="71" w:lineRule="exact"/>
        <w:rPr>
          <w:rFonts w:ascii="Times New Roman" w:cs="Times New Roman" w:eastAsia="Times New Roman" w:hAnsi="Times New Roman"/>
          <w:sz w:val="18"/>
          <w:szCs w:val="18"/>
          <w:color w:val="auto"/>
        </w:rPr>
      </w:pPr>
    </w:p>
    <w:p>
      <w:pPr>
        <w:jc w:val="both"/>
        <w:ind w:right="140" w:firstLine="987"/>
        <w:spacing w:after="0" w:line="258" w:lineRule="auto"/>
        <w:tabs>
          <w:tab w:leader="none" w:pos="124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MAAC, any of its respective officers, directors or employees or, to MAAC’s knowledge, any of its other Representatives, or any other Persons acting for or on behalf of any of the foregoing, since July 6, 2020, (i) made, offered, promised, paid or received any unlawful bribes, kickbacks or other similar payments to or from any Person, (ii) made or paid any contributions, directly or indirectly, to a domestic or foreign political party or candidate for any improper purpose or (iii) otherwise made, offered, received, authorized, promised or paid any improper payment in violation of any Anti-Corruption Laws.</w:t>
      </w:r>
    </w:p>
    <w:p>
      <w:pPr>
        <w:spacing w:after="0" w:line="75" w:lineRule="exact"/>
        <w:rPr>
          <w:rFonts w:ascii="Times New Roman" w:cs="Times New Roman" w:eastAsia="Times New Roman" w:hAnsi="Times New Roman"/>
          <w:sz w:val="18"/>
          <w:szCs w:val="18"/>
          <w:color w:val="auto"/>
        </w:rPr>
      </w:pPr>
    </w:p>
    <w:p>
      <w:pPr>
        <w:ind w:right="340" w:firstLine="987"/>
        <w:spacing w:after="0" w:line="282" w:lineRule="auto"/>
        <w:tabs>
          <w:tab w:leader="none" w:pos="123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MAAC’s knowledge, MAAC has not, since July 6, 2020, been the subject of any allegation, voluntary disclosure, investigation, prosecution or enforcement action related to any Anti-Corruption Laws, Sanctions, or Ex-Im Laws.</w:t>
      </w:r>
    </w:p>
    <w:p>
      <w:pPr>
        <w:spacing w:after="0" w:line="15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4.20 </w:t>
      </w:r>
      <w:r>
        <w:rPr>
          <w:rFonts w:ascii="Times New Roman" w:cs="Times New Roman" w:eastAsia="Times New Roman" w:hAnsi="Times New Roman"/>
          <w:sz w:val="18"/>
          <w:szCs w:val="18"/>
          <w:b w:val="1"/>
          <w:bCs w:val="1"/>
          <w:u w:val="single" w:color="auto"/>
          <w:color w:val="auto"/>
        </w:rPr>
        <w:t>PIPE Financing</w:t>
      </w:r>
      <w:r>
        <w:rPr>
          <w:rFonts w:ascii="Times New Roman" w:cs="Times New Roman" w:eastAsia="Times New Roman" w:hAnsi="Times New Roman"/>
          <w:sz w:val="18"/>
          <w:szCs w:val="18"/>
          <w:color w:val="auto"/>
        </w:rPr>
        <w:t>. MAAC has delivered to the Company a true and complete copy of the fully executed PIPE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as in effect as of the date hereof (the “</w:t>
      </w:r>
      <w:r>
        <w:rPr>
          <w:rFonts w:ascii="Times New Roman" w:cs="Times New Roman" w:eastAsia="Times New Roman" w:hAnsi="Times New Roman"/>
          <w:sz w:val="18"/>
          <w:szCs w:val="18"/>
          <w:u w:val="single" w:color="auto"/>
          <w:color w:val="auto"/>
        </w:rPr>
        <w:t>Disclosed Subscription Agreements</w:t>
      </w:r>
      <w:r>
        <w:rPr>
          <w:rFonts w:ascii="Times New Roman" w:cs="Times New Roman" w:eastAsia="Times New Roman" w:hAnsi="Times New Roman"/>
          <w:sz w:val="18"/>
          <w:szCs w:val="18"/>
          <w:color w:val="auto"/>
        </w:rPr>
        <w:t xml:space="preserve">”), each of which is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the PIPE Investors have collectively committed, on the terms and subject to the conditions therein, to purchase an aggregate of 20,000,000 MAAC Shares for $10.00 per share. Each of the PIPE Subscription Agreements is, as of the date hereof, in full force and effect (assuming, with respect to each PIPE Investor, that each such PIPE Subscription Agreement has been duly authorized, executed and delivered by each applicable PIPE Investor), and as of the date hereof, none of the PIPE Subscription Agreements has been withdrawn, rescinded or terminated or otherwise amended or modified in any respect, and, to MAAC’s knowledge, no such amendment or modification is contemplated as of the date hereof. Except as has not and would not reasonably be expected to cause any of the conditions to a PIPE Investor’s obligation to purchase MAAC Shares under the applicable PIPE Subscription Agreement to not be satisfied, as of the date hereof, MAAC is not in breach of any of the representations or warranties of MAAC or terms or conditions set forth in any of the PIPE Subscription Agreements. As of the date hereof, no event has occurred which, with or without notice, lapse of time or both, would reasonably be expected to constitute a material breach, default or failure to satisfy any condition precedent to a PIPE Investor’s obligation to purchase MAAC Shares set forth therein (assuming the accuracy of the representations and warranties of the Company set forth in this Agreement and, with respect to each PIPE Investor, the accuracy of the representations and warranties of such PIPE Investor set forth in the applicable PIPE Subscription Agreement). As of the date hereof, assuming the accuracy of the representations and warranties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in all material respects and, with respect to each PIPE Investor, the representations and warranties of such PIPE Investor in the applicable PIPE Subscription Agreement in all material respects, the performance by the Company of its covenants, agreements and obligations to be performed at or prior to the Closing hereunder in all material respects and, with respect to each PIPE Investor, the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66" w:right="459" w:bottom="1440" w:gutter="0" w:footer="0" w:header="0"/>
        </w:sectPr>
      </w:pPr>
    </w:p>
    <w:bookmarkStart w:id="310" w:name="page311"/>
    <w:bookmarkEnd w:id="31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by such PIPE Investor of its covenants, agreements and obligations under the applicable PIPE Subscription Agreement in all material respects, MAAC (i) has no knowledge that any event has occurred that (with or without notice or lapse of time, or both) would constitute a material breach or default under any of the PIPE Subscription Agreements, (ii) has no knowledge of any fact, event or other occurrence that makes any of the representations or warranties of MAAC in any of the PIPE Subscription Agreements inaccurate in any material respect and (iii) has no knowledge that any of the conditions to the consummation of the transactions contemplated by the PIPE Subscription Agreements will not be satisfied when required thereunder or that the transaction proceeds contemplated by the PIPE Subscription Agreements will not be made available when required thereunder. As of the date of this Agreement, no PIPE Investor has notified MAAC in writing of its intention to terminate all or any portion of the Subscription Amount (as defined in the PIPE Subscription Agreements) or not provide the financing contemplated thereunder. Other than as set forth in the PIPE Subscription Agreements delivered to the Company in connection with the execution of this Agreement, (A) there are no conditions precedent or contingencies to the obligations of the parties under the PIPE Subscription Agreements to make the full amount of the PIPE Financing available to MAAC on the terms therein, and (B) to the knowledge of MAAC, there are no side letters or other agreements, understandings, contracts or arrangements (written, oral or otherwise) related to the PIPE Subscription Agreements or the PIPE Financing, other than those entered into with the placement agents of the PIPE Financing.</w:t>
      </w:r>
    </w:p>
    <w:p>
      <w:pPr>
        <w:spacing w:after="0" w:line="183"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4.21 </w:t>
      </w:r>
      <w:r>
        <w:rPr>
          <w:rFonts w:ascii="Times New Roman" w:cs="Times New Roman" w:eastAsia="Times New Roman" w:hAnsi="Times New Roman"/>
          <w:sz w:val="18"/>
          <w:szCs w:val="18"/>
          <w:b w:val="1"/>
          <w:bCs w:val="1"/>
          <w:u w:val="single" w:color="auto"/>
          <w:color w:val="auto"/>
        </w:rPr>
        <w:t>Investigation; No Other Representations</w:t>
      </w:r>
      <w:r>
        <w:rPr>
          <w:rFonts w:ascii="Times New Roman" w:cs="Times New Roman" w:eastAsia="Times New Roman" w:hAnsi="Times New Roman"/>
          <w:sz w:val="18"/>
          <w:szCs w:val="18"/>
          <w:color w:val="auto"/>
        </w:rPr>
        <w:t>. In entering into this Agreement and the Ancillary Documents to which it is or will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MAAC has relied solely on its own investigation and analysis and the representations and warranties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in the Ancillary Documents to which it is or will be a party and no other representations or warranties of the Company, any Company Non-Party Affiliate or any other Person, either express or implied.</w:t>
      </w:r>
    </w:p>
    <w:p>
      <w:pPr>
        <w:spacing w:after="0" w:line="176" w:lineRule="exact"/>
        <w:rPr>
          <w:sz w:val="20"/>
          <w:szCs w:val="20"/>
          <w:color w:val="auto"/>
        </w:rPr>
      </w:pPr>
    </w:p>
    <w:p>
      <w:pPr>
        <w:ind w:right="6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4.22 </w:t>
      </w:r>
      <w:r>
        <w:rPr>
          <w:rFonts w:ascii="Times New Roman" w:cs="Times New Roman" w:eastAsia="Times New Roman" w:hAnsi="Times New Roman"/>
          <w:sz w:val="17"/>
          <w:szCs w:val="17"/>
          <w:b w:val="1"/>
          <w:bCs w:val="1"/>
          <w:u w:val="single" w:color="auto"/>
          <w:color w:val="auto"/>
        </w:rPr>
        <w:t>EXCLUSIVITY OF REPRESENTATIONS AND WARRANTIES</w:t>
      </w:r>
      <w:r>
        <w:rPr>
          <w:rFonts w:ascii="Times New Roman" w:cs="Times New Roman" w:eastAsia="Times New Roman" w:hAnsi="Times New Roman"/>
          <w:sz w:val="17"/>
          <w:szCs w:val="17"/>
          <w:color w:val="auto"/>
        </w:rPr>
        <w:t>. NOTWITHSTANDING THE DELIVERY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DISCLOSURE TO MAAC, THE MAAC SPONSOR OR ANY OF THEIR RESPECTIVE REPRESENTATIVES OF ANY DOCUMENTATION OR OTHER INFORMATION (INCLUDING ANY FINANCIAL PROJECTIONS OR OTHER SUPPLEMENTAL DATA), EXCEPT AS OTHERWISE EXPRESSLY SET FORTH IN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OR THE ANCILLARY DOCUMENTS TO WHICH IT OR THE MAAC SPONSOR, AS APPLICABLE, IS OR WILL BE A PARTY, NONE OF THE COMPANY, MERGER SUB, ANY COMPANY NON-PARTY AFFILIATE, ANY COMPANY SHAREHOLDER OR ANY OTHER PERSON MAKES, AND MAAC EXPRESSLY DISCLAIMS, ON BEHALF OF ITSELF, THE MAAC SPONSOR AND THEIR RESPECTIVE REPRESENTATIVES, ANY REPRESENTATIONS OR WARRANTIES OF ANY KIND OR NATURE, EXPRESS OR IMPLIED, IN CONNECTION WITH THIS AGREEMENT, THE ANCILLARY DOCUMENTS OR ANY OF THE TRANSACTIONS CONTEMPLATED HEREBY OR THEREBY, INCLUDING AS TO THE MATERIALS RELATING TO THE BUSINESS AND AFFAIRS OR HOLDINGS OF THE GROUP COMPANIES THAT HAVE BEEN MADE AVAILABLE TO MAAC, THE MAAC SPONSOR OR ANY OF THEIR RESPECTIVE REPRESENTATIVES OR IN ANY PRESENTATION OF THE BUSINESS AND AFFAIRS OF THE GROUP COMPANIES BY OR ON BEHALF OF THE MANAGEMENT OF THE GROUP COMPANIES OR OTHERS IN CONNECTION WITH THE TRANSACTIONS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311" w:name="page312"/>
    <w:bookmarkEnd w:id="311"/>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CONTEMPLATED HEREBY OR BY THE ANCILLARY DOCUMENTS, AND NO STATEMENT CONTAINED IN ANY OF SUCH MATERIALS OR MADE IN ANY SUCH PRESENTATION SHALL BE DEEMED A REPRESENTATION OR WARRANTY HEREUNDER OR OTHERWISE OR DEEMED TO BE RELIED UPON BY MAAC, THE MAAC SPONSOR, ANY MAAC NON-PARTY AFFILIATE OR ANY OF THEIR RESPECTIVE REPRESENTATIVES IN EXECUTING, DELIVERING OR PERFORMING THIS AGREEMENT, THE ANCILLARY DOCUMENTS OR THE TRANSACTIONS CONTEMPLATED HEREBY OR THEREBY. IT IS UNDERSTOOD THAT ANY COST ESTIMATES, PROJECTIONS OR OTHER PREDICTIONS, ANY DATA OR ANY MEMORANDA OR OFFERING MATERIALS OR PRESENTATIONS, INCLUDING ANY OFFERING MEMORANDUM OR SIMILAR MATERIALS MADE AVAILABLE BY OR ON BEHALF OF ANY OF THE GROUP COMPANIES OR MERGER SUB ARE NOT AND SHALL NOT BE DEEMED TO BE OR TO INCLUDE REPRESENTATIONS OR WARRANTIES OF THE COMPANY, MERGER SUB OR ANY COMPANY NON-PARTY AFFILIATE, AND ARE NOT AND SHALL NOT BE DEEMED TO BE RELIED UPON BY MAAC, THE MAAC SPONSOR, ANY MAAC NON-PARTY AFFILIATE OR ANY OF THEIR REPRESENTATIVES IN EXECUTING, DELIVERING OR PERFORMING THIS AGREEMENT, THE ANCILLARY DOCUMENTS OR THE TRANSACTIONS CONTEMPLATED HEREBY OR THEREBY.</w:t>
      </w:r>
    </w:p>
    <w:p>
      <w:pPr>
        <w:spacing w:after="0" w:line="200" w:lineRule="exact"/>
        <w:rPr>
          <w:sz w:val="20"/>
          <w:szCs w:val="20"/>
          <w:color w:val="auto"/>
        </w:rPr>
      </w:pPr>
    </w:p>
    <w:p>
      <w:pPr>
        <w:spacing w:after="0" w:line="20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Conduct of Business of the Group Companies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 w:firstLine="987"/>
        <w:spacing w:after="0" w:line="270" w:lineRule="auto"/>
        <w:tabs>
          <w:tab w:leader="none" w:pos="124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5.1(c)</w:t>
      </w:r>
      <w:r>
        <w:rPr>
          <w:rFonts w:ascii="Times New Roman" w:cs="Times New Roman" w:eastAsia="Times New Roman" w:hAnsi="Times New Roman"/>
          <w:sz w:val="17"/>
          <w:szCs w:val="17"/>
          <w:color w:val="auto"/>
        </w:rPr>
        <w:t xml:space="preserve">, from and after the date of this Agreement until the earlier of the Closing or the termination of this Agreement in accordance with its terms, the Company shall, and the Company shall cause the other Private Group Companies to, except as expressly contemplated by this Agreement or any Ancillary Document, as required by applicable Law, as set forth on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xml:space="preserve"> of the Company Disclosure Schedules, or as consented to in writing by MAAC (such consent not to be unreasonably withheld, conditioned or delayed), use commercially reasonable efforts to</w:t>
      </w:r>
    </w:p>
    <w:p>
      <w:pPr>
        <w:spacing w:after="0" w:line="2" w:lineRule="exact"/>
        <w:rPr>
          <w:rFonts w:ascii="Times New Roman" w:cs="Times New Roman" w:eastAsia="Times New Roman" w:hAnsi="Times New Roman"/>
          <w:sz w:val="17"/>
          <w:szCs w:val="17"/>
          <w:color w:val="auto"/>
        </w:rPr>
      </w:pPr>
    </w:p>
    <w:p>
      <w:pPr>
        <w:jc w:val="both"/>
        <w:ind w:left="4" w:right="240" w:hanging="4"/>
        <w:spacing w:after="0" w:line="253" w:lineRule="auto"/>
        <w:tabs>
          <w:tab w:leader="none" w:pos="21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operate the Private Group Companies in the ordinary course of business in all material respects and (ii) maintain and preserve intact in all material respects the business organization, assets, properties and material business relations of the Private Group Companies,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taking any action that is permitted by an exception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(including, for the avoidance of doubt, any exceptions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Schedules) shall be deemed to not be a breach of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 w:right="400" w:firstLine="987"/>
        <w:spacing w:after="0" w:line="258" w:lineRule="auto"/>
        <w:tabs>
          <w:tab w:leader="none" w:pos="125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and subject to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from and after the date of this Agreement until the earlier of the Closing or the termination of this Agreement in accordance with its terms, the Company shall and shall cause the other Private Group Companies to, except as expressly contemplated by this Agreement or any Ancillary Document, as required by applicable Law, as set forth on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Schedules or as consented to in writing by MAAC (such consent not to be unreasonably withheld, conditioned or delayed), not do any of the following:</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4"/>
          </w:cols>
          <w:pgMar w:left="436" w:top="270" w:right="479" w:bottom="1440" w:gutter="0" w:footer="0" w:header="0"/>
        </w:sectPr>
      </w:pPr>
    </w:p>
    <w:bookmarkStart w:id="312" w:name="page313"/>
    <w:bookmarkEnd w:id="312"/>
    <w:p>
      <w:pPr>
        <w:ind w:right="200" w:firstLine="1428"/>
        <w:spacing w:after="0" w:line="258" w:lineRule="auto"/>
        <w:tabs>
          <w:tab w:leader="none" w:pos="164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declare, set aside, make or pay a dividend on, or make any other distribution or payment in respect of, any Equity Securities of the Company or repurchase, redeem or otherwise acquire any outstanding Equity Securities of the Company, other than repurchases, redemptions or other acquisitions of Equity Securities as required by or, in the case of any employees of the Group Companies following termination of his or her employment, permitted by the terms of the Contracts and Company Equity Plans that have been made available to MAAC and that are in effect on the date of this Agreement;</w:t>
      </w:r>
    </w:p>
    <w:p>
      <w:pPr>
        <w:spacing w:after="0" w:line="75" w:lineRule="exact"/>
        <w:rPr>
          <w:rFonts w:ascii="Times New Roman" w:cs="Times New Roman" w:eastAsia="Times New Roman" w:hAnsi="Times New Roman"/>
          <w:sz w:val="18"/>
          <w:szCs w:val="18"/>
          <w:color w:val="auto"/>
        </w:rPr>
      </w:pPr>
    </w:p>
    <w:p>
      <w:pPr>
        <w:ind w:firstLine="1428"/>
        <w:spacing w:after="0" w:line="261" w:lineRule="auto"/>
        <w:tabs>
          <w:tab w:leader="none" w:pos="169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merge, consolidate, combine or amalgamate the Company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 except,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for any such transaction that would not be material to the business of all of the Group Companies, taken as a whole;</w:t>
      </w:r>
    </w:p>
    <w:p>
      <w:pPr>
        <w:spacing w:after="0" w:line="71" w:lineRule="exact"/>
        <w:rPr>
          <w:rFonts w:ascii="Times New Roman" w:cs="Times New Roman" w:eastAsia="Times New Roman" w:hAnsi="Times New Roman"/>
          <w:sz w:val="18"/>
          <w:szCs w:val="18"/>
          <w:color w:val="auto"/>
        </w:rPr>
      </w:pPr>
    </w:p>
    <w:p>
      <w:pPr>
        <w:ind w:right="160" w:firstLine="1428"/>
        <w:spacing w:after="0" w:line="281" w:lineRule="auto"/>
        <w:tabs>
          <w:tab w:leader="none" w:pos="1747"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any amendments, supplements, restatements or modifications to the Company’s Governing Documents or the Company Shareholders Agreements that are material and adverse to the holders of MAAC Shares or that would adversely affect the ability of the Company to perform, or otherwise comply with, any of its covenants, agreements or obligations under this Agreement or any Ancillary Document or any Company Shareholder to perform, or otherwise comply with, any of its covenants, agreements or obligations under the Transaction Support Agreements;</w:t>
      </w:r>
    </w:p>
    <w:p>
      <w:pPr>
        <w:spacing w:after="0" w:line="56" w:lineRule="exact"/>
        <w:rPr>
          <w:rFonts w:ascii="Times New Roman" w:cs="Times New Roman" w:eastAsia="Times New Roman" w:hAnsi="Times New Roman"/>
          <w:sz w:val="17"/>
          <w:szCs w:val="17"/>
          <w:color w:val="auto"/>
        </w:rPr>
      </w:pPr>
    </w:p>
    <w:p>
      <w:pPr>
        <w:ind w:right="100" w:firstLine="1428"/>
        <w:spacing w:after="0" w:line="258" w:lineRule="auto"/>
        <w:tabs>
          <w:tab w:leader="none" w:pos="173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or pursuant to a Contract that is in effect as of the date hereof, (A) sell, assign, abandon, lease, exclusively license or otherwise dispose (other than through an issuance or sale of Equity Securities of a Private Group Company other than the Company) of any assets or properties of the Private Group Companies that are material to the business of all of the Group Companies, taken as a whole or (B) create, subject or incur any Lien (other than any Permitted Liens) on any assets or properties of the Private Group Companies that are material to the business of all of the Group Companies, taken as a whole;</w:t>
      </w:r>
    </w:p>
    <w:p>
      <w:pPr>
        <w:spacing w:after="0" w:line="75" w:lineRule="exact"/>
        <w:rPr>
          <w:rFonts w:ascii="Times New Roman" w:cs="Times New Roman" w:eastAsia="Times New Roman" w:hAnsi="Times New Roman"/>
          <w:sz w:val="18"/>
          <w:szCs w:val="18"/>
          <w:color w:val="auto"/>
        </w:rPr>
      </w:pPr>
    </w:p>
    <w:p>
      <w:pPr>
        <w:ind w:right="20" w:firstLine="1428"/>
        <w:spacing w:after="0" w:line="253" w:lineRule="auto"/>
        <w:tabs>
          <w:tab w:leader="none" w:pos="168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grant any equity incentive awards of any Private Group Company, other than (1) the grant or issuance of any such equity incentive awards by any Private Group Company to any employees, officers, directors or other services providers in the ordinary course of business and consistent with past valuation practices pursuant to any equity incentive plan in effect as of the date hereof up to the maximum number of shares reserved for issuance thereunder as of the date hereof, (2) the issuance by any Private Group Company of any of its Equity Securities upon the exercise or settlement of, as applicable, any equity incentive awards outstanding as of the date of this Agreement (or otherwise permitted to be granted or issued hereunder) in accordance with the terms of the applicable equity incentive plan and the underlying grant, award or similar agreement, (3) the grant or issuance by any Private Group Company of any of its Equity Securities pursuant to offer letters or similar Contracts with service providers entered into in the ordinary course of business and consistent with past valuation practices and (4) the grant or issuance by any Private Group Company of any of its Equity Securities to any employees, officers, directors or other services providers, which grant or issuance is approved by the board of directors (or similar governing body) of such Private Group Company, is consistent with past valuation practices and is made pursuant to any equity incentive plan in effect as of the date hereof up to the maximum number of shares reserved for issuance thereunder as of the date 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313" w:name="page314"/>
    <w:bookmarkEnd w:id="313"/>
    <w:p>
      <w:pPr>
        <w:ind w:left="1744" w:hanging="312"/>
        <w:spacing w:after="0"/>
        <w:tabs>
          <w:tab w:leader="none" w:pos="174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issue or grant any Equity Securities (other than as permitted by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of any Private Group Company, other than</w:t>
      </w:r>
    </w:p>
    <w:p>
      <w:pPr>
        <w:spacing w:after="0" w:line="27" w:lineRule="exact"/>
        <w:rPr>
          <w:rFonts w:ascii="Times New Roman" w:cs="Times New Roman" w:eastAsia="Times New Roman" w:hAnsi="Times New Roman"/>
          <w:sz w:val="18"/>
          <w:szCs w:val="18"/>
          <w:color w:val="auto"/>
        </w:rPr>
      </w:pPr>
    </w:p>
    <w:p>
      <w:pPr>
        <w:ind w:left="4" w:hanging="4"/>
        <w:spacing w:after="0" w:line="250" w:lineRule="auto"/>
        <w:tabs>
          <w:tab w:leader="none" w:pos="25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issuance of Equity Securities of the Company, the issuance of Equity Securities consistent with past valuation practices that represent less than one percent (1.0%) of the issued and outstanding Equity Securities of the Company as of the date hereof, (2) in the case of an issuance of Equity Securities of any Private Group Company other than the Company, if such issuance is to any Person (other than a Company Related Party) and would not be material to the business of, or material in amount to, all of the Group Companies, taken as a whole, (3) Equity Securities issued pursuant to offer letters or similar Contracts in effect as of the date hereof with service providers entered into in the ordinary course of business or pursuant to offer letters or similar Contracts entered into after the date hereof with service providers in the ordinary course of business that are not Designated Individuals or Affiliated Shareholders, (4) Equity Securities granted or issued to any Person as required under any Contract to which the Private Group Companies are party as of the date of this Agreement (on the terms of such Contract as they exist as of the date of this Agreement) and</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to a Group Company;</w:t>
      </w:r>
    </w:p>
    <w:p>
      <w:pPr>
        <w:spacing w:after="0" w:line="98"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or assume any indebtedness for borrowed money to a third party in excess of $200 million in the aggregate;</w:t>
      </w:r>
    </w:p>
    <w:p>
      <w:pPr>
        <w:spacing w:after="0" w:line="117" w:lineRule="exact"/>
        <w:rPr>
          <w:rFonts w:ascii="Times New Roman" w:cs="Times New Roman" w:eastAsia="Times New Roman" w:hAnsi="Times New Roman"/>
          <w:sz w:val="18"/>
          <w:szCs w:val="18"/>
          <w:color w:val="auto"/>
        </w:rPr>
      </w:pPr>
    </w:p>
    <w:p>
      <w:pPr>
        <w:ind w:left="4" w:right="20" w:firstLine="1428"/>
        <w:spacing w:after="0" w:line="256" w:lineRule="auto"/>
        <w:tabs>
          <w:tab w:leader="none" w:pos="184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enter into, or amend or modify in any manner that would be adverse to the MAAC Shareholders in any material respect following the Closing (including, for the avoidance of doubt, by reason of any additional payments or consideration that occur prior to the Closing) or that would adversely affect the ability of the Company to perform, or otherwise comply with, any of its covenants, agreements or obligations under this Agreement or any Ancillary Document, any Contract required to be or that, if existing on the date hereof, would be required to be, disclosed on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Company Disclosure Schedules or (B) consummate any other transaction or make any other payments that, if reflected in a Contract and existing on the date hereof, would be required to be disclosed on disclosed on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Company Disclosure Schedules;</w:t>
      </w:r>
    </w:p>
    <w:p>
      <w:pPr>
        <w:spacing w:after="0" w:line="79" w:lineRule="exact"/>
        <w:rPr>
          <w:rFonts w:ascii="Times New Roman" w:cs="Times New Roman" w:eastAsia="Times New Roman" w:hAnsi="Times New Roman"/>
          <w:sz w:val="18"/>
          <w:szCs w:val="18"/>
          <w:color w:val="auto"/>
        </w:rPr>
      </w:pPr>
    </w:p>
    <w:p>
      <w:pPr>
        <w:ind w:left="4" w:right="40" w:firstLine="1428"/>
        <w:spacing w:after="0" w:line="256" w:lineRule="auto"/>
        <w:tabs>
          <w:tab w:leader="none" w:pos="174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 as set forth on </w:t>
      </w:r>
      <w:r>
        <w:rPr>
          <w:rFonts w:ascii="Times New Roman" w:cs="Times New Roman" w:eastAsia="Times New Roman" w:hAnsi="Times New Roman"/>
          <w:sz w:val="18"/>
          <w:szCs w:val="18"/>
          <w:u w:val="single" w:color="auto"/>
          <w:color w:val="auto"/>
        </w:rPr>
        <w:t>Section 5.1(b)(ix)</w:t>
      </w:r>
      <w:r>
        <w:rPr>
          <w:rFonts w:ascii="Times New Roman" w:cs="Times New Roman" w:eastAsia="Times New Roman" w:hAnsi="Times New Roman"/>
          <w:sz w:val="18"/>
          <w:szCs w:val="18"/>
          <w:color w:val="auto"/>
        </w:rPr>
        <w:t xml:space="preserve"> of the Company Disclosure Schedules or (B) as approved by the board of directors (or similar governing body) of the applicable Private Group Company in an aggregate amount not to exceed $10 million, enter into or provide for, or amend or modify in a manner that would result in material additional payments or other amounts under (either individually or in the aggregate), any retention, transaction bonus or other similar payments or amounts (other than, for the avoidance of doubt, the grant or issuance of any Equity Securities of any Private Company permitted by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 to any Person that would (either alone or combined with one or more additional circumstances, matters or events) become payable as a result of the transactions contemplated by this Agreement;</w:t>
      </w:r>
    </w:p>
    <w:p>
      <w:pPr>
        <w:spacing w:after="0" w:line="79" w:lineRule="exact"/>
        <w:rPr>
          <w:rFonts w:ascii="Times New Roman" w:cs="Times New Roman" w:eastAsia="Times New Roman" w:hAnsi="Times New Roman"/>
          <w:sz w:val="18"/>
          <w:szCs w:val="18"/>
          <w:color w:val="auto"/>
        </w:rPr>
      </w:pPr>
    </w:p>
    <w:p>
      <w:pPr>
        <w:jc w:val="both"/>
        <w:ind w:left="4" w:right="80" w:firstLine="1428"/>
        <w:spacing w:after="0" w:line="289" w:lineRule="auto"/>
        <w:tabs>
          <w:tab w:leader="none" w:pos="1691"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the ordinary course of business, make any loans, advances or capital contributions to, or guarantees for the benefit of, any Person in an amount in excess of $25 million in the aggregate, other than (A) between the Company and any of its Subsidiaries or between any Subsidiaries of the Company and (B) the reimbursement of expenses of employees and other service providers in the ordinary course of business;</w:t>
      </w:r>
    </w:p>
    <w:p>
      <w:pPr>
        <w:spacing w:after="0" w:line="9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44"/>
          </w:cols>
          <w:pgMar w:left="436" w:top="270" w:right="519" w:bottom="1440" w:gutter="0" w:footer="0" w:header="0"/>
        </w:sectPr>
      </w:pPr>
    </w:p>
    <w:bookmarkStart w:id="314" w:name="page315"/>
    <w:bookmarkEnd w:id="314"/>
    <w:p>
      <w:pPr>
        <w:ind w:left="4" w:right="380" w:firstLine="1428"/>
        <w:spacing w:after="0" w:line="266" w:lineRule="auto"/>
        <w:tabs>
          <w:tab w:leader="none" w:pos="1741"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 into any settlement agreement or similar Contract the performance of which would involve the payment by a Private Group Company in excess of $2 million individually or $10 million in the aggregate, or that imposes, or by its terms will impose at any point in the future, any material, non-monetary obligations on any Private Group Company;</w:t>
      </w:r>
    </w:p>
    <w:p>
      <w:pPr>
        <w:spacing w:after="0" w:line="67" w:lineRule="exact"/>
        <w:rPr>
          <w:rFonts w:ascii="Times New Roman" w:cs="Times New Roman" w:eastAsia="Times New Roman" w:hAnsi="Times New Roman"/>
          <w:sz w:val="18"/>
          <w:szCs w:val="18"/>
          <w:color w:val="auto"/>
        </w:rPr>
      </w:pPr>
    </w:p>
    <w:p>
      <w:pPr>
        <w:ind w:left="4" w:right="320" w:firstLine="1428"/>
        <w:spacing w:after="0" w:line="276" w:lineRule="auto"/>
        <w:tabs>
          <w:tab w:leader="none" w:pos="1791" w:val="left"/>
        </w:tabs>
        <w:numPr>
          <w:ilvl w:val="2"/>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recommend, propose or announce an intention to adopt, or otherwise effect, a plan of (A) complete or partial liquidation, dissolution or restructuring involving any Private Group Company (other than a Private Group Company with no material operations) or</w:t>
      </w:r>
    </w:p>
    <w:p>
      <w:pPr>
        <w:ind w:left="284" w:hanging="284"/>
        <w:spacing w:after="0"/>
        <w:tabs>
          <w:tab w:leader="none" w:pos="28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reorganization or similar transaction involving any Private Group Company (other than the Company Pre-Closing Steps);</w:t>
      </w:r>
    </w:p>
    <w:p>
      <w:pPr>
        <w:spacing w:after="0" w:line="98" w:lineRule="exact"/>
        <w:rPr>
          <w:rFonts w:ascii="Times New Roman" w:cs="Times New Roman" w:eastAsia="Times New Roman" w:hAnsi="Times New Roman"/>
          <w:sz w:val="18"/>
          <w:szCs w:val="18"/>
          <w:color w:val="auto"/>
        </w:rPr>
      </w:pPr>
    </w:p>
    <w:p>
      <w:pPr>
        <w:ind w:left="4" w:right="80" w:firstLine="1428"/>
        <w:spacing w:after="0" w:line="282" w:lineRule="auto"/>
        <w:tabs>
          <w:tab w:leader="none" w:pos="1841"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Private Group Company’s methods of accounting in any material respect, other than changes required by a change in GAAP or Law or that are made in accordance with PCAOB standards;</w:t>
      </w:r>
    </w:p>
    <w:p>
      <w:pPr>
        <w:spacing w:after="0" w:line="53" w:lineRule="exact"/>
        <w:rPr>
          <w:rFonts w:ascii="Times New Roman" w:cs="Times New Roman" w:eastAsia="Times New Roman" w:hAnsi="Times New Roman"/>
          <w:sz w:val="18"/>
          <w:szCs w:val="18"/>
          <w:color w:val="auto"/>
        </w:rPr>
      </w:pPr>
    </w:p>
    <w:p>
      <w:pPr>
        <w:jc w:val="both"/>
        <w:ind w:left="4" w:firstLine="1428"/>
        <w:spacing w:after="0" w:line="312" w:lineRule="auto"/>
        <w:tabs>
          <w:tab w:leader="none" w:pos="1831" w:val="left"/>
        </w:tabs>
        <w:numPr>
          <w:ilvl w:val="2"/>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Contract with any broker, finder, investment banker or other Person under which such Person is or will be entitled to any brokerage fee, finders’ fee or other commission in connection with the transactions contemplated by this Agreement or any Ancillary Documents; or</w:t>
      </w:r>
    </w:p>
    <w:p>
      <w:pPr>
        <w:spacing w:after="0" w:line="31" w:lineRule="exact"/>
        <w:rPr>
          <w:rFonts w:ascii="Times New Roman" w:cs="Times New Roman" w:eastAsia="Times New Roman" w:hAnsi="Times New Roman"/>
          <w:sz w:val="17"/>
          <w:szCs w:val="17"/>
          <w:color w:val="auto"/>
        </w:rPr>
      </w:pPr>
    </w:p>
    <w:p>
      <w:pPr>
        <w:ind w:left="1784" w:hanging="352"/>
        <w:spacing w:after="0"/>
        <w:tabs>
          <w:tab w:leader="none" w:pos="1784"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to take, or cause to be taken, any of the actions prohibited by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87"/>
        <w:spacing w:after="0" w:line="252" w:lineRule="auto"/>
        <w:tabs>
          <w:tab w:leader="none" w:pos="12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this Agreement to the contrary, (i) nothing set forth in this Agreement shall give MAAC, directly or indirectly, the right to control or direct the operations of the Group Companies prior to the Closing, (ii) any action taken, or omitted to be taken, by any Group Company to the extent such act or omission is reasonably determined by the Company, based on the advice of outside legal counsel, to be necessary to comply with any Law, Order, directive, pronouncement or guideline issued by a Governmental Entity providing for business closures, “sheltering-in-place” or other restrictions that relates to, or arises out of, COVID-19 shall in no event be deemed to constitute a breach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(iii) any action taken, or omitted to be taken, by any Group Company to the extent determined by a Group Company to be reasonable and advisable in response to COVID-19 shall not be deemed to constitute a breach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in the case of each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 Company shall use reasonable best efforts to give MAAC prior written notice of any such act or omission, to the extent permitted by applicable Law and reasonably practicable, which notice shall describe in reasonable detail the act or omission and the reason(s) that such act or omission is being taken, or omitted to be taken,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in the event that it is permitted by applicable Law but not reasonably practicable for the Company to give the prior written notice described in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the Company shall instead give such written notice to MAAC as promptly as practicable after such act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failure by the Company to provide the prior written notice contemplated by this clause (x) that is not in made in bad faith shall not, in and of itself, constitute a breach or default of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or a failure to satisfy the condition precedent set forth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(y) in no event shall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be applicable to any act or omission of the type described</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70" w:right="459" w:bottom="1440" w:gutter="0" w:footer="0" w:header="0"/>
        </w:sectPr>
      </w:pPr>
    </w:p>
    <w:bookmarkStart w:id="315" w:name="page316"/>
    <w:bookmarkEnd w:id="31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t>
      </w:r>
      <w:r>
        <w:rPr>
          <w:rFonts w:ascii="Times New Roman" w:cs="Times New Roman" w:eastAsia="Times New Roman" w:hAnsi="Times New Roman"/>
          <w:sz w:val="18"/>
          <w:szCs w:val="18"/>
          <w:u w:val="single" w:color="auto"/>
          <w:color w:val="auto"/>
        </w:rPr>
        <w:t>Sections 5.1(b)(i)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5.1(b)(xv)</w:t>
      </w:r>
      <w:r>
        <w:rPr>
          <w:rFonts w:ascii="Times New Roman" w:cs="Times New Roman" w:eastAsia="Times New Roman" w:hAnsi="Times New Roman"/>
          <w:sz w:val="18"/>
          <w:szCs w:val="18"/>
          <w:color w:val="auto"/>
        </w:rPr>
        <w:t xml:space="preserve"> (such covenants or agreements, the “</w:t>
      </w:r>
      <w:r>
        <w:rPr>
          <w:rFonts w:ascii="Times New Roman" w:cs="Times New Roman" w:eastAsia="Times New Roman" w:hAnsi="Times New Roman"/>
          <w:sz w:val="18"/>
          <w:szCs w:val="18"/>
          <w:u w:val="single" w:color="auto"/>
          <w:color w:val="auto"/>
        </w:rPr>
        <w:t>Company Specified Interim Operating Covenants</w:t>
      </w:r>
      <w:r>
        <w:rPr>
          <w:rFonts w:ascii="Times New Roman" w:cs="Times New Roman" w:eastAsia="Times New Roman" w:hAnsi="Times New Roman"/>
          <w:sz w:val="18"/>
          <w:szCs w:val="18"/>
          <w:color w:val="auto"/>
        </w:rPr>
        <w:t xml:space="preserve">”), and (iv)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(and not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govern and control with respect Merger Sub’s activities, businesses and other actions from and after the date of this Agreement until the earlier of the Closing or the termination of this Agreement in accordance with its terms and, in the event that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conflicts with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shall govern and control to the extent of such conflict.</w:t>
      </w:r>
    </w:p>
    <w:p>
      <w:pPr>
        <w:spacing w:after="0" w:line="75" w:lineRule="exact"/>
        <w:rPr>
          <w:sz w:val="20"/>
          <w:szCs w:val="20"/>
          <w:color w:val="auto"/>
        </w:rPr>
      </w:pPr>
    </w:p>
    <w:p>
      <w:pPr>
        <w:ind w:right="120" w:firstLine="987"/>
        <w:spacing w:after="0" w:line="274" w:lineRule="auto"/>
        <w:tabs>
          <w:tab w:leader="none" w:pos="1246"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date of this Agreement until the earlier of the Closing or the termination of this Agreement in accordance with its terms, the Company shall not, and shall cause the other Private Group Companies that may hold Equity Securities of Datavant not to, take any action in furtherance of, approve or consent to any dividend, distribution or other payment by Datavant to any Company Related Party (including, if applicable, by voting its Equity Securities of Datavant against any proposal to make any such dividend, distribution or other payment), except for a dividend, distribution or other payment to the direct holders of Equity Securities of Datavant that is made in accordance with the Datavant Governing Documents and applicable Contracts governing such Equity Securities (in each case, as in effect as of the date hereof) without the prior written consent of MAAC.</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Efforts to Consummate; Transaction Litigation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3" w:lineRule="auto"/>
        <w:tabs>
          <w:tab w:leader="none" w:pos="123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 provided, each of the Parties shall use reasonable best efforts to take, or cause to be taken, all actions and to do, or cause to be done, all things reasonably necessary or advisable to consummate and make effective as promptly as reasonably practicable the transactions contemplated by this Agreement (including (i) the satisfaction, but not waiver, of the closing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and, in the case of any Ancillary Document to which such Party will be a party after the date of this Agreement, to execute and deliver such Ancillary Document when required pursuant to this Agreement or otherwise, and (ii) using reasonable best efforts to obtain the PIPE Financing on the terms and subject to the conditions set forth in the PIPE Subscription Agreements). Without limiting the generality of the foregoing, each of the Parties shall use reasonable best efforts to obtain, file with or deliver to, as applicable, any Consents of any Governmental Entities or other Persons necessary, proper or advisable to consummate the transactions contemplated by this Agreement or the Ancillary Documents. Nothing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obligates any Party or any of its Affiliates to agree to (A) sell, license or otherwise dispose of, or hold separate and agree to sell, license or otherwise dispose of, any entities, assets or facilities of any Group Company or any entity, facility or asset of such Party or any of its Affiliates, (B) terminate, amend or assign existing relationships and contractual rights or obligations, (C) amend, assign or terminate existing licenses or other agreements, or (D) enter into new licenses or other agreements. No Party shall agree to any of the foregoing measures, except with MAAC’s and the Company’s prior written consent.</w:t>
      </w:r>
    </w:p>
    <w:p>
      <w:pPr>
        <w:spacing w:after="0" w:line="81" w:lineRule="exact"/>
        <w:rPr>
          <w:rFonts w:ascii="Times New Roman" w:cs="Times New Roman" w:eastAsia="Times New Roman" w:hAnsi="Times New Roman"/>
          <w:sz w:val="18"/>
          <w:szCs w:val="18"/>
          <w:color w:val="auto"/>
        </w:rPr>
      </w:pPr>
    </w:p>
    <w:p>
      <w:pPr>
        <w:ind w:right="200" w:firstLine="987"/>
        <w:spacing w:after="0" w:line="261" w:lineRule="auto"/>
        <w:tabs>
          <w:tab w:leader="none" w:pos="124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MAAC shall promptly inform the Company of any communication received by MAAC from any Governmental Entity and the Company shall promptly inform MAAC of any communication received by the Company from any Governmental Entity, in either case, regarding any of the transactions contemplated by this Agreement or any Ancillary Document. From and after the date of this Agreement until the earlier of the Closing or termination of this Agreement in accordance with its terms, MAAC, on the one hand, and the Company and Merger Sub, on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440" w:top="270" w:right="439" w:bottom="1440" w:gutter="0" w:footer="0" w:header="0"/>
        </w:sectPr>
      </w:pPr>
    </w:p>
    <w:bookmarkStart w:id="316" w:name="page317"/>
    <w:bookmarkEnd w:id="316"/>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hand, shall give counsel for the Company (in the case of MAAC) or MAAC (in the case of the Company), a reasonable opportunity to review in advance, and consider in good faith the views of the other in connection with, any proposed written communication to any Governmental Entity relating to the transactions contemplated by this Agreement or the Ancillary Documents. Each of the Parties agrees not to participate in any substantive meeting or discussion, either in person or by telephone with any Governmental Entity in connection with the transactions contemplated by this Agreement, unless it consults with, in the case of MAAC, the Company, or, in the case of the Company or Merger Sub, MAAC in advance and, to the extent not prohibited by such Governmental Entity, gives, in the case of MAAC, the Company, or, in the case of the Company or Merger Sub, MAAC, the opportunity to attend and participate in such meeting or discussion.</w:t>
      </w:r>
    </w:p>
    <w:p>
      <w:pPr>
        <w:spacing w:after="0" w:line="81" w:lineRule="exact"/>
        <w:rPr>
          <w:sz w:val="20"/>
          <w:szCs w:val="20"/>
          <w:color w:val="auto"/>
        </w:rPr>
      </w:pPr>
    </w:p>
    <w:p>
      <w:pPr>
        <w:ind w:left="4" w:right="280" w:firstLine="987"/>
        <w:spacing w:after="0" w:line="266" w:lineRule="auto"/>
        <w:tabs>
          <w:tab w:leader="none" w:pos="12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Agreement, in the event that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conflicts with any other covenant or agreement in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that is intended to specifically address any subject matter, then such other covenant or agreement shall govern and control solely to the extent of such conflict.</w:t>
      </w:r>
    </w:p>
    <w:p>
      <w:pPr>
        <w:spacing w:after="0" w:line="67"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this Agreement until the earlier of the Closing or termination of this Agreement in accordance with its terms, MAAC, on the one hand, and the Company, on the other hand, shall each notify the other in writing promptly after learning of any shareholder demands or other shareholder Proceedings (including derivative claims) relating to this Agreement, any Ancillary Document or any matters relating thereto (collectively, the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commenced against, in the case of MAAC, MAAC or any of its Representatives (in their capacity as a Representative of MAAC) or, in the case of the Company, any Group Company or any of their respective Representatives (in their capacity as a Representative of a Group Company). MAAC and the Company shall each (i) keep the other reasonably informed regarding any Transaction Litigation,</w:t>
      </w:r>
    </w:p>
    <w:p>
      <w:pPr>
        <w:spacing w:after="0" w:line="5" w:lineRule="exact"/>
        <w:rPr>
          <w:rFonts w:ascii="Times New Roman" w:cs="Times New Roman" w:eastAsia="Times New Roman" w:hAnsi="Times New Roman"/>
          <w:sz w:val="18"/>
          <w:szCs w:val="18"/>
          <w:color w:val="auto"/>
        </w:rPr>
      </w:pPr>
    </w:p>
    <w:p>
      <w:pPr>
        <w:ind w:left="4" w:right="500" w:hanging="4"/>
        <w:spacing w:after="0" w:line="265" w:lineRule="auto"/>
        <w:tabs>
          <w:tab w:leader="none" w:pos="269"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w:t>
      </w:r>
    </w:p>
    <w:p>
      <w:pPr>
        <w:ind w:left="4" w:right="200" w:hanging="4"/>
        <w:spacing w:after="0" w:line="253" w:lineRule="auto"/>
        <w:tabs>
          <w:tab w:leader="none" w:pos="31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consider in good faith the other’s advice with respect to any such Transaction Litigation and (iv) reasonably cooperate with each other;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(x) MAAC or any of its Representatives settle or compromise any Transaction Litigation without the prior written consent of the Company (not to be unreasonably withheld, conditioned or delayed), or (y) any Group Company or any of their respective Representatives settle or compromise any Transaction Litigation without the prior written consent of MAAC (not to be unreasonably withheld, conditioned or delayed).</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Confidentiality and Access to Information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240" w:firstLine="987"/>
        <w:spacing w:after="0" w:line="256" w:lineRule="auto"/>
        <w:tabs>
          <w:tab w:leader="none" w:pos="12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317" w:name="page318"/>
    <w:bookmarkEnd w:id="317"/>
    <w:p>
      <w:pPr>
        <w:ind w:left="4" w:right="20" w:firstLine="987"/>
        <w:spacing w:after="0" w:line="252" w:lineRule="auto"/>
        <w:tabs>
          <w:tab w:leader="none" w:pos="125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and after the date of this Agreement until the earlier of the Closing Date or the termination of this Agreement in accordance with its terms, upon reasonable advance written notice, the Company shall use reasonable best efforts to provide, or cause to be provided, to MAAC and its Representatives during normal business hours reasonable access to the directors, officers, books and records and properties of the Private Group Companies (in a manner so as to not interfere with the normal business operations of the Private Group Companies). Notwithstanding the foregoing, none of the Private Group Companies shall be required to provide, or cause to be provided to, MAAC or any of its Representatives any information (i) if and to the extent doing so would (A) violate any Law to which any Private Group Company is subject, (B) result in the disclosure of any trade secrets of third parties in breach of any Contract with such third party, (C) violate any legally-binding obligation of any Private Group Company with respect to confidentiality, non-disclosure or privacy, (D) jeopardize protections afforded to any Private Group Company under the attorney-client privilege or the attorney work product doctrine or (E) in the case of any in-person access, be contrary to, or would not be reasonably practicable in light of, any action taken, or omitted to be taken, by any Group Company to the extent determined to be reasonable and advisable in response to COVID-19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Company shall, and shall cause the other Private Group Companies to, use reasonable best efforts to</w:t>
      </w:r>
    </w:p>
    <w:p>
      <w:pPr>
        <w:spacing w:after="0" w:line="3"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any Group Company or any Company Non-Party Affiliate, on the one hand, and MAAC, any MAAC Non-Party Affiliate or any of their respective Representatives, on the other hand, are adverse parties (or would, in light of then existing facts and circumstances, reasonably be expected to be potentially adverse parties) in a litigation or dispute and such information is or would reasonably be expected to be pertinent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provide prompt written notice of the withholding of access or information on any such basis, unless such written notice is prohibited by applicable Law.</w:t>
      </w:r>
    </w:p>
    <w:p>
      <w:pPr>
        <w:spacing w:after="0" w:line="80"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4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this Agreement until the earlier of the Closing Date or the termination of this Agreement in accordance with its terms, upon reasonable advance written notice, MAAC shall use reasonable best efforts to provide, or cause to be provided, to the Company and its Representatives during normal business hours reasonable access to the directors, officers, books and records of MAAC (in a manner so as to not interfere with the normal business operations of MAAC). Notwithstanding the foregoing, MAAC shall not be required to provide, or cause to be provided to, the Company or any of its Representatives any information (i) if and to the extent doing so would (A) violate any Law to which MAAC is subject, (B) result in the disclosure of any trade secrets of third parties in breach of any Contract with such third party, (C) violate any legally-binding obligation of MAAC with respect to confidentiality, non-disclosure or privacy, (D) jeopardize protections afforded to MAAC under the attorney-client privilege or the attorney work product doctrine or (E) in the case of any in-person access, be contrary to, or would not be reasonably practicable in light of, any action taken, or omitted to be taken, by MAAC to the extent determined to be reasonable and advisable in response to COVID-19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MAAC shall use, and shall cause the other MAAC to use, reasonable best efforts to (x) provide such access as can be provided (or otherwise convey such information regarding the applicable matter as can be conveyed) without violating such privilege, doctrine, Contract, obligation or Law and (y) provide such information in a manner without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318" w:name="page319"/>
    <w:bookmarkEnd w:id="318"/>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violating such privilege, doctrine, Contract, obligation or Law), or (ii) if MAAC or any MAAC Non-Party Affiliate, on the one hand, and any Group Company, any Company Non-Party Affiliate or any of their respective Representatives, on the other hand, are adverse parties (or would, in light of then existing facts and circumstances, reasonably be expected to be potentially adverse parties) in a litigation or dispute and such information is or would reasonably be expected to be pertinent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MAAC shall,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provide prompt written notice of the withholding of access or information on any such basis, unless such written notice is prohibited by applicable Law.</w:t>
      </w:r>
    </w:p>
    <w:p>
      <w:pPr>
        <w:spacing w:after="0" w:line="75" w:lineRule="exact"/>
        <w:rPr>
          <w:sz w:val="20"/>
          <w:szCs w:val="20"/>
          <w:color w:val="auto"/>
        </w:rPr>
      </w:pPr>
    </w:p>
    <w:p>
      <w:pPr>
        <w:ind w:right="360" w:firstLine="987"/>
        <w:spacing w:after="0" w:line="282" w:lineRule="auto"/>
        <w:tabs>
          <w:tab w:leader="none" w:pos="124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acknowledge and agree that the Confidentiality Agreement shall be automatically terminated effective as of the Closing without any further action by any Party or any other Person.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Public Announcements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2" w:lineRule="auto"/>
        <w:tabs>
          <w:tab w:leader="none" w:pos="123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prior to the Closing, none of the Parties shall, and the Parties shall cause their respective controlled Affiliates and its and their respective officers and directors not to and shall use reasonable best efforts to cause their respective other Representatives not to, issue any press releases or make any public announcements with respect to this Agreement or the transactions contemplated hereby without the prior written consent of the Company and MAAC;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Party, the MAAC Sponsor and each of their respective Representatives may issue or make, as applicable, any such press release, public announcement or other communication (i) if such press release, public announcement or other communication is required by applicable Law, in which case the disclosing Party or its applicable Representatives shall, to the extent reasonably practicable and, unless and to the extent prohibited by such applicable Law, (x) if the disclosing Person is MAAC or a Representative of MAAC, reasonably consult with the Company in connection therewith and provide the Company with an opportunity to review and comment on such press release, public announcement or communication and shall consider any such comments in good faith, or (y) if the disclosing Party is the Company, Merger Sub or a Representative of any of the foregoing, reasonably consult with MAAC in connection therewith and provide MAAC with an opportunity to review and comment on such press release, public announcement or communication and shall consider any such comments in good faith, (ii) to the extent such press release, public announcements or other communications contain only information previously disclosed in a press release, public announcement or other communication previously made in accordance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(iii) to Governmental Entities in connection with any Consents required to be made under this Agreement, the Ancillary Documents or in connection with the transactions contemplated hereby or thereby. Notwithstanding anything to the contrary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otherwise in this Agreement, the Parties agree that the MAAC Sponsor and its Representatives may provide general information about the subject matter of this Agreement and the transactions contemplated hereby to any direct or indirect former, current or prospective investor or in connection with normal fund raising or related marketing or informational or reporting activities;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recipients of such information are subject to customary confidentiality obligations prior to the receipt of such information.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319" w:name="page320"/>
    <w:bookmarkEnd w:id="319"/>
    <w:p>
      <w:pPr>
        <w:ind w:left="4" w:right="60" w:firstLine="987"/>
        <w:spacing w:after="0" w:line="267" w:lineRule="auto"/>
        <w:tabs>
          <w:tab w:leader="none" w:pos="1250"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initial press release concerning this Agreement and the transactions contemplated hereby shall be a joint press release in the form agreed by the Company and MAAC prior to the execution of this Agreement and such initial press release (the “</w:t>
      </w:r>
      <w:r>
        <w:rPr>
          <w:rFonts w:ascii="Times New Roman" w:cs="Times New Roman" w:eastAsia="Times New Roman" w:hAnsi="Times New Roman"/>
          <w:sz w:val="17"/>
          <w:szCs w:val="17"/>
          <w:u w:val="single" w:color="auto"/>
          <w:color w:val="auto"/>
        </w:rPr>
        <w:t>Signing Press Release</w:t>
      </w:r>
      <w:r>
        <w:rPr>
          <w:rFonts w:ascii="Times New Roman" w:cs="Times New Roman" w:eastAsia="Times New Roman" w:hAnsi="Times New Roman"/>
          <w:sz w:val="17"/>
          <w:szCs w:val="17"/>
          <w:color w:val="auto"/>
        </w:rPr>
        <w:t>”) shall be released as promptly as reasonably practicable after the execution of this Agreement on the day thereof. Promptly after the execution of this Agreement, MAAC shall file a current report on Form 8-K (the “</w:t>
      </w:r>
      <w:r>
        <w:rPr>
          <w:rFonts w:ascii="Times New Roman" w:cs="Times New Roman" w:eastAsia="Times New Roman" w:hAnsi="Times New Roman"/>
          <w:sz w:val="17"/>
          <w:szCs w:val="17"/>
          <w:u w:val="single" w:color="auto"/>
          <w:color w:val="auto"/>
        </w:rPr>
        <w:t>Signing Filing</w:t>
      </w:r>
      <w:r>
        <w:rPr>
          <w:rFonts w:ascii="Times New Roman" w:cs="Times New Roman" w:eastAsia="Times New Roman" w:hAnsi="Times New Roman"/>
          <w:sz w:val="17"/>
          <w:szCs w:val="17"/>
          <w:color w:val="auto"/>
        </w:rPr>
        <w:t>”) with the Signing Press Release and a description of this Agreement as required by, and in compliance with, the Securities Laws, which Signing Filing shall be mutually agreed upon by the MAAC and the Company prior to such filing (such agreement not to be unreasonably withheld, conditioned or delayed by either MAAC or the Company, as applicable). The Company, on the one hand, and MAAC, on the other hand, shall mutually agree upon (such agreement not to be unreasonably withheld, conditioned or delayed by either the Company or MAAC, as applicable) a press release announcing the consummation of the transactions contemplated by this Agreement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Press Release</w:t>
      </w:r>
      <w:r>
        <w:rPr>
          <w:rFonts w:ascii="Times New Roman" w:cs="Times New Roman" w:eastAsia="Times New Roman" w:hAnsi="Times New Roman"/>
          <w:sz w:val="17"/>
          <w:szCs w:val="17"/>
          <w:color w:val="auto"/>
        </w:rPr>
        <w:t>”) prior to the Closing, and, on the Closing Date (or such other date as may be mutually agreed to in writing by MAAC and the Company prior to the Closing), the Parties shall cause the Closing Press Release to be released. Promptly after the Closing (but in any event within four</w:t>
      </w:r>
    </w:p>
    <w:p>
      <w:pPr>
        <w:spacing w:after="0" w:line="3" w:lineRule="exact"/>
        <w:rPr>
          <w:rFonts w:ascii="Times New Roman" w:cs="Times New Roman" w:eastAsia="Times New Roman" w:hAnsi="Times New Roman"/>
          <w:sz w:val="17"/>
          <w:szCs w:val="17"/>
          <w:color w:val="auto"/>
        </w:rPr>
      </w:pPr>
    </w:p>
    <w:p>
      <w:pPr>
        <w:ind w:left="4" w:right="40" w:hanging="4"/>
        <w:spacing w:after="0" w:line="252" w:lineRule="auto"/>
        <w:tabs>
          <w:tab w:leader="none" w:pos="25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Closing), the Company shall file a current report on Form 8-K (the “</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with the Closing Press Release and a description of the Closing as required by Securities Laws, which Closing Filing shall be mutually agreed upon by the Company and MAAC prior to the Closing (such agreement not to be unreasonably withheld, conditioned or delayed by either the Company or MAAC,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in each case, as may be reasonably necessary for such press release or filing.</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1428"/>
        <w:spacing w:after="0" w:line="253" w:lineRule="auto"/>
        <w:tabs>
          <w:tab w:leader="none" w:pos="164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intend that the Merger will qualify as a “reorganization” within the meaning of Section 368(a) of the Code, and, for the period beginning on the date hereof until and including the Closing Date, each Party shall use commercially reasonable efforts not to take any action that would reasonably be expected to cause the Merger to fail to so qualify;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Parties shall not be required to restructure, or otherwise alter the terms of, the transaction as provided for in this Agreement. The Parties have no plan or intention as of the date hereof and as of the Closing Date to take any action that would reasonably be expected to cause the Mergers to fail to qualify as a “reorganization” within the meaning of Section 368(a) of the Code. For two years following the Closing, (i) the Company shall use commercially reasonable efforts to cause MAAC not to liquidate (including a deemed liquidation for U.S. federal income tax purposes), and (ii) the Company’s “qualified group” (within the meaning of Treasury Regulations Section 1.368-1(d)(4)(ii)) shall use commercially reasonable efforts to use at least fifty percent (50%) of the cash and cash equivalents in the Trust Account (but not taking into account any cash acquired in connection with the PIPE Financing) as of immediately prior to the Closing (and prior to the MAAC Shareholder Redemption) (such cash and cash equivalents, the “Relevant Pre-Redemption Assets”) in the Company’s business within the meaning of Treasury Regulations Section 1.368-1(d) (such business, the “Roivant Business”); provided that if, immediately following and as a result of the MAAC Shareholder Redemption, MAAC holds less than fifty percent (50%) but at least one-third of the Relevant Pre-Redemption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320" w:name="page321"/>
    <w:bookmarkEnd w:id="32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Assets, then the Company’s “qualified group” (within the meaning of Treasury Regulations Section 1.368-1(d)(4)(ii)) shall use commercially reasonable efforts to use one hundred percent (100%) of the cash and cash equivalents in the Trust Account (but not taking into account any cash acquired in connection with the PIPE Financing) in the Roivant Business; </w:t>
      </w:r>
      <w:r>
        <w:rPr>
          <w:rFonts w:ascii="Times New Roman" w:cs="Times New Roman" w:eastAsia="Times New Roman" w:hAnsi="Times New Roman"/>
          <w:sz w:val="18"/>
          <w:szCs w:val="18"/>
          <w:u w:val="single" w:color="auto"/>
          <w:color w:val="auto"/>
        </w:rPr>
        <w:t>provided, further, that</w:t>
      </w:r>
      <w:r>
        <w:rPr>
          <w:rFonts w:ascii="Times New Roman" w:cs="Times New Roman" w:eastAsia="Times New Roman" w:hAnsi="Times New Roman"/>
          <w:sz w:val="18"/>
          <w:szCs w:val="18"/>
          <w:color w:val="auto"/>
        </w:rPr>
        <w:t xml:space="preserve"> if, immediately following and as a result of the MAAC Shareholder Redemption, MAAC holds less than one-third of the Relevant Pre-Redemption Assets, then there shall be no limitation or requirement imposed on the Company with respect to the use of MAAC’s assets under this clause (ii)); </w:t>
      </w:r>
      <w:r>
        <w:rPr>
          <w:rFonts w:ascii="Times New Roman" w:cs="Times New Roman" w:eastAsia="Times New Roman" w:hAnsi="Times New Roman"/>
          <w:sz w:val="18"/>
          <w:szCs w:val="18"/>
          <w:u w:val="single" w:color="auto"/>
          <w:color w:val="auto"/>
        </w:rPr>
        <w:t>provided, further, that</w:t>
      </w:r>
      <w:r>
        <w:rPr>
          <w:rFonts w:ascii="Times New Roman" w:cs="Times New Roman" w:eastAsia="Times New Roman" w:hAnsi="Times New Roman"/>
          <w:sz w:val="18"/>
          <w:szCs w:val="18"/>
          <w:color w:val="auto"/>
        </w:rPr>
        <w:t xml:space="preserve">, for purposes of this sentence, use in the Company’s business or use in the Roivant Business shall include, without limitation, retention of Relevant Pre-Redemption Assets for future use in the business operations of members of the Company’s “qualified group”, loans of Relevant Pre-Redemption Assets to other members of the Company’s “qualified group” for current or future use of such Relevant Pre-Redemption Assets in the business operations of such members, and acquisitions of operating assets or controlling interests in operating entities in exchange for Relevant Pre-Redemption Assets, in each case, by any members of the Company’s “qualified group” (including MAAC). Each Party shall file all Tax Returns consistent with, and take no position inconsistent with (whether in audits, Tax Returns or otherwise), such treatment unless (x) such Party requests that each of Kirkland &amp; Ellis LLP and Davis Polk &amp; Wardwell LLP provides written confirmation to the effect that the Merger is more likely than not to qualify as a reorganization within the meaning of Section 368(a) of the Code and each such law firm fails to provide such confirmation prior to the later of (A) thirty (30) days following such request is made and (B) sixty (60) days prior to the date on which the relevant Tax Return is due (taking into account applicable extensions);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shall provide customary factual representations to such law firm;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for the avoidance of doubt, the Parties shall not be required to restructure, or otherwise alter the terms of, the transaction as provided for in this Agreement; or (y) otherwise required by a final “determination” within the meaning of Section 1313(a) of the Code.</w:t>
      </w:r>
    </w:p>
    <w:p>
      <w:pPr>
        <w:spacing w:after="0" w:line="85" w:lineRule="exact"/>
        <w:rPr>
          <w:sz w:val="20"/>
          <w:szCs w:val="20"/>
          <w:color w:val="auto"/>
        </w:rPr>
      </w:pPr>
    </w:p>
    <w:p>
      <w:pPr>
        <w:ind w:firstLine="1428"/>
        <w:spacing w:after="0" w:line="282" w:lineRule="auto"/>
        <w:tabs>
          <w:tab w:leader="none" w:pos="1697"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MAAC and the Company hereby adopt this Agreement as a “plan of reorganization” within the meaning of Treasury Regulations Sections 1.368-2(g) and 1.368-3(a).</w:t>
      </w:r>
    </w:p>
    <w:p>
      <w:pPr>
        <w:spacing w:after="0" w:line="53" w:lineRule="exact"/>
        <w:rPr>
          <w:rFonts w:ascii="Times New Roman" w:cs="Times New Roman" w:eastAsia="Times New Roman" w:hAnsi="Times New Roman"/>
          <w:sz w:val="18"/>
          <w:szCs w:val="18"/>
          <w:color w:val="auto"/>
        </w:rPr>
      </w:pPr>
    </w:p>
    <w:p>
      <w:pPr>
        <w:jc w:val="both"/>
        <w:ind w:right="100" w:firstLine="1428"/>
        <w:spacing w:after="0" w:line="258" w:lineRule="auto"/>
        <w:tabs>
          <w:tab w:leader="none" w:pos="1747"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the preparation and filing of the Registration Statement / Proxy Statement, the SEC requests or requires that a tax opinion be prepared and submitted, MAAC and the Company shall deliver to Kirkland &amp; Ellis LLP and/or Davis Polk &amp; Wardwell LLP, as relevant, customary Tax representation letters reasonably satisfactory to such counsel and reasonably acceptable to the Company, dated and executed as of the date the Registration Statement / Proxy Statement shall have been declared effective by the SEC and such other date(s) as determined reasonably necessary by such counsel in connection with the preparation and filing of the Registration Statement / Proxy Statement.</w:t>
      </w:r>
    </w:p>
    <w:p>
      <w:pPr>
        <w:spacing w:after="0" w:line="75" w:lineRule="exact"/>
        <w:rPr>
          <w:rFonts w:ascii="Times New Roman" w:cs="Times New Roman" w:eastAsia="Times New Roman" w:hAnsi="Times New Roman"/>
          <w:sz w:val="18"/>
          <w:szCs w:val="18"/>
          <w:color w:val="auto"/>
        </w:rPr>
      </w:pPr>
    </w:p>
    <w:p>
      <w:pPr>
        <w:ind w:right="180" w:firstLine="987"/>
        <w:spacing w:after="0" w:line="258" w:lineRule="auto"/>
        <w:tabs>
          <w:tab w:leader="none" w:pos="124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 Cooperation</w:t>
      </w:r>
      <w:r>
        <w:rPr>
          <w:rFonts w:ascii="Times New Roman" w:cs="Times New Roman" w:eastAsia="Times New Roman" w:hAnsi="Times New Roman"/>
          <w:sz w:val="18"/>
          <w:szCs w:val="18"/>
          <w:color w:val="auto"/>
        </w:rPr>
        <w:t>. Each of the Parties shall (and shall cause their respective Affiliates (other than in the case of the Company, the Public Group Companies)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321" w:name="page322"/>
    <w:bookmarkEnd w:id="321"/>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material provided hereunder. Without limiting the generality of the foregoing, but subject to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following the Closing, MAAC shall, and the Company shall cause MAAC to, (i) comply with the reporting requirements of Treasury Regulations Section 1.367(a)-3(c)(6) and the recordkeeping requirements of Treasury Regulations Section 1.368-3 and (ii) attach to its timely filed U.S. federal income Tax Return for the taxable year in which the Closing occurs, statements meeting the requirements specified in Treasury Regulations Sections 1.367(a)-3(c)(6) and 1.368-3(a).</w:t>
      </w:r>
    </w:p>
    <w:p>
      <w:pPr>
        <w:spacing w:after="0" w:line="72" w:lineRule="exact"/>
        <w:rPr>
          <w:sz w:val="20"/>
          <w:szCs w:val="20"/>
          <w:color w:val="auto"/>
        </w:rPr>
      </w:pPr>
    </w:p>
    <w:p>
      <w:pPr>
        <w:ind w:right="60" w:firstLine="987"/>
        <w:spacing w:after="0" w:line="281" w:lineRule="auto"/>
        <w:tabs>
          <w:tab w:leader="none" w:pos="1236"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QEF Election</w:t>
      </w:r>
      <w:r>
        <w:rPr>
          <w:rFonts w:ascii="Times New Roman" w:cs="Times New Roman" w:eastAsia="Times New Roman" w:hAnsi="Times New Roman"/>
          <w:sz w:val="17"/>
          <w:szCs w:val="17"/>
          <w:color w:val="auto"/>
        </w:rPr>
        <w:t>. If the Company provides to any Company Shareholders information that is reasonably required in order for such Company Shareholders to make an election as contemplated by Section 1295 of the Code (and the Treasury Regulations promulgated thereunder) with respect to the Company for any year that the Company is considered a PFIC, including through provision of the Annual Information Statement described in Treasury Regulations Section 1.1295-1(g), the Company shall provide the same such information to the Pre-Closing MAAC Shareholders.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Exclusive Dealing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87"/>
        <w:spacing w:after="0" w:line="253" w:lineRule="auto"/>
        <w:tabs>
          <w:tab w:leader="none" w:pos="123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Agreement until the earlier of the Closing or the termination of this Agreement in accordance with its terms, the Company shall not, and shall cause the Private Group Companies and its and their respective officers and directors not to and shall use reasonable best efforts to cause its other Representatives not to, directly or indirectly: (i) solicit, initiate, knowingly encourage (including by means of furnishing or disclosing information), knowingly facilitate, discuss or negotiate, directly or indirectly, any inquiry, proposal or offer (written or oral) with respect to a Company Acquisition Proposal; (ii) furnish or disclose any non-public information to any Person in connection with, or that would reasonably be expected to lead to, a Company Acquisition Proposal; (iii) enter into any Contract or other arrangement or understanding regarding a Company Acquisition Proposal; (iv) make any filings with the SEC in connection with a public offering of any Equity Securities or other securities of the Company (or any successor or parent company of the Company), other than in connection with the transactions contemplated by, and in accordance with, this Agreement and the Ancillary Documents; or (v) otherwise cooperate in any way with, or assist or participate in, or knowingly facilitate or knowingly encourage any effort or attempt by any Person to do or seek to do any of the foregoing. The Company agrees to (A) notify MAAC promptly upon receipt of any Company Acquisition Proposal by any Group Company, and to describe the material terms and conditions of any such Company Acquisition Proposal in reasonable detail (excluding the identity of the Persons making such Company Acquisition Proposal) and (B) keep MAAC reasonably informed on a current basis of any material modifications to such offer or information.</w:t>
      </w:r>
    </w:p>
    <w:p>
      <w:pPr>
        <w:spacing w:after="0" w:line="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Agreement until the earlier of the Closing or the termination of this Agreement in accordance with its terms, MAAC shall not, and shall cause MAAC Sponsor and its and their respective officers and directors not to and shall use reasonable best efforts to cause its other Representatives not to, directly or indirectly: (i) solicit, initiate, knowingly encourage (including by means of furnishing or disclosing information), knowingly facilitate, discuss or negotiate, directly or indirectly, any inquiry, proposal or offer (written or oral) with respect to a MAAC Acquisition Proposal; (ii) furnish or disclose any non-public information to any Person in connection with, or that would reasonably be expected to lead to, a MAAC</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40"/>
          </w:cols>
          <w:pgMar w:left="440" w:top="270" w:right="519" w:bottom="1440" w:gutter="0" w:footer="0" w:header="0"/>
        </w:sectPr>
      </w:pPr>
    </w:p>
    <w:bookmarkStart w:id="322" w:name="page323"/>
    <w:bookmarkEnd w:id="322"/>
    <w:p>
      <w:pPr>
        <w:ind w:left="4"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Proposal; (iii) enter into any Contract or other arrangement or understanding regarding a MAAC Acquisition Proposal; or (iv) otherwise cooperate in any way with, or assist or participate in, or knowingly facilitate or knowingly encourage any effort or attempt by any Person to do or seek to do any of the foregoing. MAAC agrees to (A) notify the Company promptly upon receipt of any MAAC Acquisition Proposal by MAAC, and to describe the material terms and conditions of any such MAAC Acquisition Proposal in reasonable detail (excluding the identity of any person or entity making such MAAC Acquisition Proposal) and (B) keep the Company reasonably informed on a current basis of any material modifications to such offer or information.</w:t>
      </w:r>
    </w:p>
    <w:p>
      <w:pPr>
        <w:spacing w:after="0" w:line="187"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it is understood and agreed that the covenants and agreements contained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not prohibit the Company, MAAC or any of their respective Representatives from taking any actions in the ordinary course that are not otherwise in violation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(such as answering phone calls) or informing any Person inquiring about a possible Company Acquisition Proposal or MAAC Acquisition Proposal, as applicable, of the existence of the covenants and agreements contained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Preparation of Registration Statement / Proxy Statement</w:t>
      </w:r>
      <w:r>
        <w:rPr>
          <w:rFonts w:ascii="Times New Roman" w:cs="Times New Roman" w:eastAsia="Times New Roman" w:hAnsi="Times New Roman"/>
          <w:sz w:val="18"/>
          <w:szCs w:val="18"/>
          <w:color w:val="auto"/>
        </w:rPr>
        <w:t>. As promptly as reasonably practicable following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MAAC and the Company shall prepare and mutually agree upon (such agreement not to be unreasonably withheld, conditioned or delayed by either of MAAC or the Company, as applicable), and the Company shall file with the SEC, the Registration Statement / Proxy Statement (it being understood that the Registration Statement / Proxy Statement shall include a proxy statement of MAAC which will be included therein and which will be used for the MAAC Shareholders Meeting to solicit the adoption and approval of the Transaction Proposals, provide its applicable shareholders with the opportunity to elect to effect the MAAC Shareholder Redemption, and other matters reasonably related to the Transaction Proposals, all in accordance with and as required by MAAC’s Governing Documents, applicable Law, and any applicable rules and regulations of the SEC and Nasdaq). Each of MAAC and the Company shall use its reasonable best efforts to (a) cause the Registration Statement / Proxy Statement to comply in all material respects with the applicable rules and regulations promulgated by the SEC (including, with respect to the Company, the provision of financial statements and pro forma financial statements, and any other information with respect to the Group Companies for all periods and in the form, required to be included in the Registration Statement / Proxy Statement under Securities Laws (after giving effect to any waivers received), or in response to any comments or requests from the SEC); (b) promptly notify the others of, reasonably cooperate with each other with respect to and respond promptly to, any comments or requests of the SEC or its staff and, in the case of the Company, provide copies of any written correspondence with the SEC;</w:t>
      </w:r>
    </w:p>
    <w:p>
      <w:pPr>
        <w:spacing w:after="0" w:line="5" w:lineRule="exact"/>
        <w:rPr>
          <w:sz w:val="20"/>
          <w:szCs w:val="20"/>
          <w:color w:val="auto"/>
        </w:rPr>
      </w:pPr>
    </w:p>
    <w:p>
      <w:pPr>
        <w:ind w:left="4" w:right="200" w:hanging="4"/>
        <w:spacing w:after="0" w:line="269" w:lineRule="auto"/>
        <w:tabs>
          <w:tab w:leader="none" w:pos="249"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prepare and mutually agree upon (such agreement not to be unreasonably withheld, conditioned or delayed by either of MAAC or the Company, as applicable) any amendments or supplements to the Registration Statement / Proxy Statement in order to address comments or requests from the SEC or its staff (which amendments or supplements shall be promptly filed by the Company); (d) have the Registration Statement / Proxy Statement declared effective under the Securities Act as promptly as reasonably practicable after it is filed with the SEC; and (e) keep the Registration Statement / Proxy Statement effective through the Closing in order to permit the consummation of the transactions contemplated by this Agreement. MAAC, on the one hand, and the Company and Merger Sub, on the other hand, shall promptly furnish, or cause to be furnished, to the other all information concerning such Party and its Non-Party Affiliates and their respective Representatives and, in the case of the Company, the Company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323" w:name="page324"/>
    <w:bookmarkEnd w:id="32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Equityholders,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or for inclusion in any other statement, filing, notice or application made by or on behalf of MAAC or the Company to the SEC or Nasdaq in connection with the transactions contemplated by this Agreement or the Ancillary Documents, including delivering customary tax representation letters to counsel to enable counsel to deliver any tax opinions requested or required by the SEC to be submitted in connection therewith as described in </w:t>
      </w:r>
      <w:r>
        <w:rPr>
          <w:rFonts w:ascii="Times New Roman" w:cs="Times New Roman" w:eastAsia="Times New Roman" w:hAnsi="Times New Roman"/>
          <w:sz w:val="18"/>
          <w:szCs w:val="18"/>
          <w:u w:val="single" w:color="auto"/>
          <w:color w:val="auto"/>
        </w:rPr>
        <w:t>Section 5.5(a)(iii)</w:t>
      </w:r>
      <w:r>
        <w:rPr>
          <w:rFonts w:ascii="Times New Roman" w:cs="Times New Roman" w:eastAsia="Times New Roman" w:hAnsi="Times New Roman"/>
          <w:sz w:val="18"/>
          <w:szCs w:val="18"/>
          <w:color w:val="auto"/>
        </w:rPr>
        <w:t>. In the event there is any tax opinion, comfort letter or other opinion required to be provided in connection with the Registration Statement / Proxy Statement, notwithstanding anything herein to the contrary, neither this provision nor any other provision in this Agreement shall require counsel to the Company or MAAC or their respective tax advisors to provide any opinion regarding the qualification of the Merger as a reorganization within the meaning of Section 368(a) of the Code or otherwise qualifies for the Intended Tax Treatment, unless required by applicable Securities Laws or regulations, including SEC Staff Legal Bulletin No. 19. If any Party becomes aware of any information that is, in the opinion of such Party, required or desirable to be disclosed in an amendment or supplement to the Registration Statement / Proxy Statement, then (i) such Party shall promptly inform, in the case of MAAC, the Company, or, in the case of the Company or Merger Sub, MAAC, thereof, (ii) the Company and MAAC shall prepare and mutually agree upon (such agreement not to be unreasonably withheld, conditioned or delayed in the case of either the Company or MAAC) an amendment or supplement to the Registration Statement / Proxy Statement, (iii) the Company shall file such mutually agreed upon amendment or supplement with the SEC and (iv) if requested by MAAC, the Parties shall reasonably cooperate in mailing such amendment or supplement to the Pre-Closing MAAC Shareholders. The Company shall as promptly as reasonably practicable advise MAAC of effectiveness of the Registration Statement / Proxy Statement, of its becoming aware of the issuance of any stop order relating thereto or the suspension of the qualification of the Company Common Shares for offering or sale in any jurisdiction, and MAAC and the Company shall each use its reasonable best efforts to have any such stop order or suspension lifted, reversed or otherwise terminated. Each of the Parties shall use reasonable best efforts to ensure that none of the information related to him, her or it or any of his, her or its Non-Party Affiliates or its or their respective Representatives or, in the case of the Company, the Company Equityholders, supplied by or on his, her or its behalf for inclusion or incorporation by reference in the Registration Statement / Proxy Statement will, at the time the Registration Statement / Proxy Statement is initially filed with the SEC, at each time at which it is amended, and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20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MAAC Shareholder Approval</w:t>
      </w:r>
      <w:r>
        <w:rPr>
          <w:rFonts w:ascii="Times New Roman" w:cs="Times New Roman" w:eastAsia="Times New Roman" w:hAnsi="Times New Roman"/>
          <w:sz w:val="18"/>
          <w:szCs w:val="18"/>
          <w:color w:val="auto"/>
        </w:rPr>
        <w:t>. As promptly as reasonably practicable following the time at which the Registration Statement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is declared effective under the Securities Act, (A) MAAC shall duly give notice of, and use reasonable best efforts to duly convene and hold, a meeting of its shareholders (the “</w:t>
      </w:r>
      <w:r>
        <w:rPr>
          <w:rFonts w:ascii="Times New Roman" w:cs="Times New Roman" w:eastAsia="Times New Roman" w:hAnsi="Times New Roman"/>
          <w:sz w:val="18"/>
          <w:szCs w:val="18"/>
          <w:u w:val="single" w:color="auto"/>
          <w:color w:val="auto"/>
        </w:rPr>
        <w:t>MAAC Shareholders Meeting</w:t>
      </w:r>
      <w:r>
        <w:rPr>
          <w:rFonts w:ascii="Times New Roman" w:cs="Times New Roman" w:eastAsia="Times New Roman" w:hAnsi="Times New Roman"/>
          <w:sz w:val="18"/>
          <w:szCs w:val="18"/>
          <w:color w:val="auto"/>
        </w:rPr>
        <w:t>”) in accordance with the Governing Documents of MAAC (including by causing the Registration Statement / Proxy Statement to be mailed to the holders of MAAC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for the purposes of obtaining the MAAC Shareholder Approval and, if applicable, any approvals related thereto and providing its applicable shareholders with the opportunity to elect to effect a MAAC Shareholder Redemption and (B) use reasonable best efforts to solicit proxies from the holders of MAAC Shares to vote in favor of each of the Transaction Proposals. Except as otherwise required by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324" w:name="page325"/>
    <w:bookmarkEnd w:id="32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Law, (i) MAAC shall, through unanimous approval of the MAAC Board, recommend (the “</w:t>
      </w:r>
      <w:r>
        <w:rPr>
          <w:rFonts w:ascii="Times New Roman" w:cs="Times New Roman" w:eastAsia="Times New Roman" w:hAnsi="Times New Roman"/>
          <w:sz w:val="18"/>
          <w:szCs w:val="18"/>
          <w:u w:val="single" w:color="auto"/>
          <w:color w:val="auto"/>
        </w:rPr>
        <w:t>MAAC Board Recommendation</w:t>
      </w:r>
      <w:r>
        <w:rPr>
          <w:rFonts w:ascii="Times New Roman" w:cs="Times New Roman" w:eastAsia="Times New Roman" w:hAnsi="Times New Roman"/>
          <w:sz w:val="18"/>
          <w:szCs w:val="18"/>
          <w:color w:val="auto"/>
        </w:rPr>
        <w:t>”) to its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shareholders that such shareholders approve and adopt (A) this Agreement and the transactions contemplated hereby (including the Merger)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(B) the issuance of MAAC Shares to the PIPE Investors as required by Nasdaq listing requirements (the “</w:t>
      </w:r>
      <w:r>
        <w:rPr>
          <w:rFonts w:ascii="Times New Roman" w:cs="Times New Roman" w:eastAsia="Times New Roman" w:hAnsi="Times New Roman"/>
          <w:sz w:val="18"/>
          <w:szCs w:val="18"/>
          <w:u w:val="single" w:color="auto"/>
          <w:color w:val="auto"/>
        </w:rPr>
        <w:t>Nasdaq</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(C) each other proposal that either the SEC or Nasdaq (or the respective staff members thereof) indicates is necessary in its comments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Registration Statement / Proxy Statement or in correspondence related thereto; (D) each other proposal reasonably agreed to by MAAC and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as necessary or appropriate in connection with the consummation of the transactions contemplated by this Agreement or the Ancillary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Documents; and (E) a proposal for the postponement or adjournment of the MAAC Shareholders Meeting, if necessary, to permit further solicitation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proxies because there are not sufficient votes to approve and adopt any of the foregoing (such proposals in (A) through (E), collectively,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and (ii) MAAC shall include the MAAC Board Recommendation in the Registration Statement / Proxy Statement.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Notwithstanding the foregoing or anything to the contrary herein, MAAC may postpone or adjourn the MAAC Shareholders Meeting (and MAAC shall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adjourn the MAAC Shareholder Meeting if an adjournment is reasonably requested by the Company in writing) (1) to solicit additional proxies because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 are not sufficient votes to constitute the MAAC Shareholder Approval, (2) for the absence of a quorum, (3) to allow reasonable additional time for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filing or mailing of any supplemental or amended disclosures that MAAC (or the Company) has reasonably determined, based on the advice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outside legal counsel, is reasonably likely to be required under applicable Law and for such supplemental or amended disclosure to be disseminated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reviewed by the Pre-Closing MAAC Shareholders prior to the MAAC Shareholders Meeting or (4) if the holders of MAAC Class A Shares have elected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xml:space="preserve">to redeem a number of MAAC Class A Shares as of such time that would reasonably be expected to result in the condition set forth in </w:t>
      </w:r>
      <w:r>
        <w:rPr>
          <w:rFonts w:ascii="Times New Roman" w:cs="Times New Roman" w:eastAsia="Times New Roman" w:hAnsi="Times New Roman"/>
          <w:sz w:val="17"/>
          <w:szCs w:val="17"/>
          <w:u w:val="single" w:color="auto"/>
          <w:color w:val="auto"/>
        </w:rPr>
        <w:t>Section 6.3(d)</w:t>
      </w:r>
      <w:r>
        <w:rPr>
          <w:rFonts w:ascii="Times New Roman" w:cs="Times New Roman" w:eastAsia="Times New Roman" w:hAnsi="Times New Roman"/>
          <w:sz w:val="17"/>
          <w:szCs w:val="17"/>
          <w:color w:val="auto"/>
        </w:rPr>
        <w:t xml:space="preserve"> not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being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the consent of the Company, in no event shall MAAC postpone or adjourn the MAAC Shareholders Meeting for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more than fifteen (15) Business Days later than the most recently postponed or adjourned meeting or to a date that is beyond the date that is five</w:t>
      </w:r>
    </w:p>
    <w:p>
      <w:pPr>
        <w:spacing w:after="0" w:line="9" w:lineRule="exact"/>
        <w:rPr>
          <w:sz w:val="20"/>
          <w:szCs w:val="20"/>
          <w:color w:val="auto"/>
        </w:rPr>
      </w:pPr>
    </w:p>
    <w:p>
      <w:pPr>
        <w:ind w:left="4" w:hanging="4"/>
        <w:spacing w:after="0" w:line="252" w:lineRule="auto"/>
        <w:tabs>
          <w:tab w:leader="none" w:pos="25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Termination Date. Except as otherwise required by applicable Law, MAAC covenants that none of the MAAC Board, MAAC or any committee of the MAAC Board shall (i) change, withdraw, withhold, qualify, amend or modify, or publicly propose to change, withdraw, withhold, qualify, amend or modify, in a manner adverse to the Company, the MAAC Board Recommendation or any other recommendation by the MAAC Board or MAAC of the proposals set forth in the Registration Statement / Proxy Statement, (ii) adopt, approve, recommend or declare advisable to the Pre-Closing MAAC Shareholders, or publicly propose to adopt, approve, recommend or declare advisable, any MAAC Acquisition Proposal or (iii) fail to include the MAAC Board Recommendation in the Registration Statement / Proxy Statement.</w:t>
      </w:r>
    </w:p>
    <w:p>
      <w:pPr>
        <w:spacing w:after="0" w:line="186" w:lineRule="exact"/>
        <w:rPr>
          <w:sz w:val="20"/>
          <w:szCs w:val="20"/>
          <w:color w:val="auto"/>
        </w:rPr>
      </w:pPr>
    </w:p>
    <w:p>
      <w:pPr>
        <w:ind w:left="4"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Merger Sub Shareholder Approval</w:t>
      </w:r>
      <w:r>
        <w:rPr>
          <w:rFonts w:ascii="Times New Roman" w:cs="Times New Roman" w:eastAsia="Times New Roman" w:hAnsi="Times New Roman"/>
          <w:sz w:val="18"/>
          <w:szCs w:val="18"/>
          <w:color w:val="auto"/>
        </w:rPr>
        <w:t>. As promptly as reasonably practicable (and in any event within one (1) 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following the date of this Agreement (the </w:t>
      </w:r>
      <w:r>
        <w:rPr>
          <w:rFonts w:ascii="Times New Roman" w:cs="Times New Roman" w:eastAsia="Times New Roman" w:hAnsi="Times New Roman"/>
          <w:sz w:val="18"/>
          <w:szCs w:val="18"/>
          <w:u w:val="single" w:color="auto"/>
          <w:color w:val="auto"/>
        </w:rPr>
        <w:t>“Merger Sub Shareholder Approval Deadline”</w:t>
      </w:r>
      <w:r>
        <w:rPr>
          <w:rFonts w:ascii="Times New Roman" w:cs="Times New Roman" w:eastAsia="Times New Roman" w:hAnsi="Times New Roman"/>
          <w:sz w:val="18"/>
          <w:szCs w:val="18"/>
          <w:color w:val="auto"/>
        </w:rPr>
        <w:t>), the Company, as the sole stockholder of Merger Sub, will approve and adopt this Agreement, the Ancillary Documents to which Merger Sub is or will be a party and the transactions contemplated hereby and thereby (including the Merger) (the “</w:t>
      </w:r>
      <w:r>
        <w:rPr>
          <w:rFonts w:ascii="Times New Roman" w:cs="Times New Roman" w:eastAsia="Times New Roman" w:hAnsi="Times New Roman"/>
          <w:sz w:val="18"/>
          <w:szCs w:val="18"/>
          <w:u w:val="single" w:color="auto"/>
          <w:color w:val="auto"/>
        </w:rPr>
        <w:t>Merger Sub Shareholder Approval</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64"/>
          </w:cols>
          <w:pgMar w:left="436" w:top="270" w:right="499" w:bottom="1440" w:gutter="0" w:footer="0" w:header="0"/>
        </w:sectPr>
      </w:pPr>
    </w:p>
    <w:bookmarkStart w:id="325" w:name="page326"/>
    <w:bookmarkEnd w:id="325"/>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5.10 </w:t>
      </w:r>
      <w:r>
        <w:rPr>
          <w:rFonts w:ascii="Times New Roman" w:cs="Times New Roman" w:eastAsia="Times New Roman" w:hAnsi="Times New Roman"/>
          <w:sz w:val="18"/>
          <w:szCs w:val="18"/>
          <w:b w:val="1"/>
          <w:bCs w:val="1"/>
          <w:u w:val="single" w:color="auto"/>
          <w:color w:val="auto"/>
        </w:rPr>
        <w:t>Conduct of Business of MAAC</w:t>
      </w:r>
      <w:r>
        <w:rPr>
          <w:rFonts w:ascii="Times New Roman" w:cs="Times New Roman" w:eastAsia="Times New Roman" w:hAnsi="Times New Roman"/>
          <w:sz w:val="18"/>
          <w:szCs w:val="18"/>
          <w:color w:val="auto"/>
        </w:rPr>
        <w:t>. From and after the date of this Agreement until the earlier of the Closing or the termination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in accordance with its terms, MAAC shall not, and shall cause its Subsidiaries not to, as applicable, except as expressly contemplated by this Agreement or any Ancillary Document (including, for the avoidance of doubt, in connection with the PIPE Financing or the transactions contemplated by the Sponsor Support Agreement), as required by applicable Law, as set forth on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MAAC Disclosure Schedules or as consented to in writing by the Company (such consent not to be unreasonably withheld, conditioned or delayed), do any of the following:</w:t>
      </w:r>
    </w:p>
    <w:p>
      <w:pPr>
        <w:spacing w:after="0" w:line="183" w:lineRule="exact"/>
        <w:rPr>
          <w:sz w:val="20"/>
          <w:szCs w:val="20"/>
          <w:color w:val="auto"/>
        </w:rPr>
      </w:pPr>
    </w:p>
    <w:p>
      <w:pPr>
        <w:ind w:left="4" w:right="340" w:firstLine="987"/>
        <w:spacing w:after="0" w:line="282" w:lineRule="auto"/>
        <w:tabs>
          <w:tab w:leader="none" w:pos="124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amendments, supplements, restatements or modifications to the Trust Agreement, the MAAC Warrant Agreement or the Governing Documents of MAAC;</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form any Subsidiary;</w:t>
      </w:r>
    </w:p>
    <w:p>
      <w:pPr>
        <w:spacing w:after="0" w:line="225" w:lineRule="exact"/>
        <w:rPr>
          <w:rFonts w:ascii="Times New Roman" w:cs="Times New Roman" w:eastAsia="Times New Roman" w:hAnsi="Times New Roman"/>
          <w:sz w:val="18"/>
          <w:szCs w:val="18"/>
          <w:color w:val="auto"/>
        </w:rPr>
      </w:pPr>
    </w:p>
    <w:p>
      <w:pPr>
        <w:jc w:val="both"/>
        <w:ind w:left="4" w:right="240" w:firstLine="987"/>
        <w:spacing w:after="0" w:line="266" w:lineRule="auto"/>
        <w:tabs>
          <w:tab w:leader="none" w:pos="124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without limitation, by merger, consolidation, or acquisition of stock or assets or any other business combination) any corporation, partnership, other business organization or enter into any strategic joint ventures, partnerships or alliances with any other person, or make any loans, advances or capital contributions to, or guarantees for the benefit of, or any investments in, any Person;</w:t>
      </w:r>
    </w:p>
    <w:p>
      <w:pPr>
        <w:spacing w:after="0" w:line="175" w:lineRule="exact"/>
        <w:rPr>
          <w:rFonts w:ascii="Times New Roman" w:cs="Times New Roman" w:eastAsia="Times New Roman" w:hAnsi="Times New Roman"/>
          <w:sz w:val="18"/>
          <w:szCs w:val="18"/>
          <w:color w:val="auto"/>
        </w:rPr>
      </w:pPr>
    </w:p>
    <w:p>
      <w:pPr>
        <w:ind w:left="4" w:right="660" w:firstLine="987"/>
        <w:spacing w:after="0" w:line="282" w:lineRule="auto"/>
        <w:tabs>
          <w:tab w:leader="none" w:pos="125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 dividend on, or make any other distribution or payment in respect of, its Equity Securities, or repurchase, redeem or otherwise acquire, or offer to repurchase, redeem or otherwise acquire, any outstanding of its Equity Securities;</w:t>
      </w:r>
    </w:p>
    <w:p>
      <w:pPr>
        <w:spacing w:after="0" w:line="161"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4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any of its capital stock or other Equity Securities or issue any other security in respect of, in lieu of or in substitution for shares of its capital stock;</w:t>
      </w:r>
    </w:p>
    <w:p>
      <w:pPr>
        <w:spacing w:after="0" w:line="161" w:lineRule="exact"/>
        <w:rPr>
          <w:rFonts w:ascii="Times New Roman" w:cs="Times New Roman" w:eastAsia="Times New Roman" w:hAnsi="Times New Roman"/>
          <w:sz w:val="18"/>
          <w:szCs w:val="18"/>
          <w:color w:val="auto"/>
        </w:rPr>
      </w:pPr>
    </w:p>
    <w:p>
      <w:pPr>
        <w:jc w:val="both"/>
        <w:ind w:left="4" w:right="340" w:firstLine="987"/>
        <w:spacing w:after="0" w:line="276" w:lineRule="auto"/>
        <w:tabs>
          <w:tab w:leader="none" w:pos="122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incur, create or assume any indebtedness for borrowed money (other than working capital loans from the MAAC Sponsor in an amount not to exceed $3 million (it being agreed that no loans from the MAAC Sponsor or any of its Affiliates shall be converted into warrants)) or</w:t>
      </w:r>
    </w:p>
    <w:p>
      <w:pPr>
        <w:ind w:left="264" w:hanging="264"/>
        <w:spacing w:after="0"/>
        <w:tabs>
          <w:tab w:leader="none" w:pos="26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any Liability of any Person;</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or capital contributions in, any other Person, other than to, or in, MAAC or any of its Subsidiaries;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Equity Securities or grant any options, warrants or stock appreciation rights with respect to its Equity Securities;</w:t>
      </w:r>
    </w:p>
    <w:p>
      <w:pPr>
        <w:spacing w:after="0" w:line="225"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1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amend, modify or renew any MAAC Related Party Transaction, other than (A) the entry into any Contract with a MAAC Related Party with respect to the incurrence of indebtedness for borrowed money permitted by </w:t>
      </w:r>
      <w:r>
        <w:rPr>
          <w:rFonts w:ascii="Times New Roman" w:cs="Times New Roman" w:eastAsia="Times New Roman" w:hAnsi="Times New Roman"/>
          <w:sz w:val="18"/>
          <w:szCs w:val="18"/>
          <w:u w:val="single" w:color="auto"/>
          <w:color w:val="auto"/>
        </w:rPr>
        <w:t>Section 5.10(f)</w:t>
      </w:r>
      <w:r>
        <w:rPr>
          <w:rFonts w:ascii="Times New Roman" w:cs="Times New Roman" w:eastAsia="Times New Roman" w:hAnsi="Times New Roman"/>
          <w:sz w:val="18"/>
          <w:szCs w:val="18"/>
          <w:color w:val="auto"/>
        </w:rPr>
        <w:t xml:space="preserve"> or (B) for the avoidance of doubt, any expiration or automatic extension or renewal of any Contract pursuant to its terms, (ii) enter into any Contract that would constitute a MAAC Related Party Transaction or (iii) make any material payment to any MAAC Related Party;</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4"/>
          </w:cols>
          <w:pgMar w:left="436" w:top="266" w:right="479" w:bottom="1440" w:gutter="0" w:footer="0" w:header="0"/>
        </w:sectPr>
      </w:pPr>
    </w:p>
    <w:bookmarkStart w:id="326" w:name="page327"/>
    <w:bookmarkEnd w:id="326"/>
    <w:p>
      <w:pPr>
        <w:ind w:right="60" w:firstLine="987"/>
        <w:spacing w:after="0" w:line="258" w:lineRule="auto"/>
        <w:tabs>
          <w:tab w:leader="none" w:pos="120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engage in any activities or business, or incur any Liabilities, other than (i) any activities, businesses or Liabilities that are contemplated by, incurred in connection with or that are otherwise incidental or attendant to this Agreement or any Ancillary Document, the performance of any covenants or agreements hereunder or thereunder or the consummation of the transactions contemplated hereby or thereby or (ii) the engagement in any activities or businesses, or the incurrence of any Liabilities, permitted by another subsection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(as modified, for the avoidance of doubt, by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MAAC Disclosure Schedules);</w:t>
      </w:r>
    </w:p>
    <w:p>
      <w:pPr>
        <w:spacing w:after="0" w:line="183" w:lineRule="exact"/>
        <w:rPr>
          <w:rFonts w:ascii="Times New Roman" w:cs="Times New Roman" w:eastAsia="Times New Roman" w:hAnsi="Times New Roman"/>
          <w:sz w:val="18"/>
          <w:szCs w:val="18"/>
          <w:color w:val="auto"/>
        </w:rPr>
      </w:pPr>
    </w:p>
    <w:p>
      <w:pPr>
        <w:ind w:right="560" w:firstLine="987"/>
        <w:spacing w:after="0" w:line="261" w:lineRule="auto"/>
        <w:tabs>
          <w:tab w:leader="none" w:pos="12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or amend or modify any material term of (in a manner adverse to MAAC), terminate (excluding any expiration in accordance with its terms), or waive or release any material rights, claims or benefits under, any Contract of a type required to be listed on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of the MAAC Disclosure Schedules (or any Contract, that if existing on the date hereof, would have been required to be listed on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of the MAAC Disclosure Schedules);</w:t>
      </w:r>
    </w:p>
    <w:p>
      <w:pPr>
        <w:spacing w:after="0" w:line="1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agreement, except as required by Law;</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29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recommend, propose or announce an intention to adopt a plan of complete or partial liquidation, dissolution, restructuring, recapitalization, reorganization or similar transaction involving MAAC;</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election concerning Taxes,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methods of accounting in any material respect, other than changes required by a change in GAAP or Law or that are made in accordance with PCAOB standards;</w:t>
      </w:r>
    </w:p>
    <w:p>
      <w:pPr>
        <w:spacing w:after="0" w:line="161" w:lineRule="exact"/>
        <w:rPr>
          <w:rFonts w:ascii="Times New Roman" w:cs="Times New Roman" w:eastAsia="Times New Roman" w:hAnsi="Times New Roman"/>
          <w:sz w:val="18"/>
          <w:szCs w:val="18"/>
          <w:color w:val="auto"/>
        </w:rPr>
      </w:pPr>
    </w:p>
    <w:p>
      <w:pPr>
        <w:jc w:val="both"/>
        <w:ind w:right="340" w:firstLine="987"/>
        <w:spacing w:after="0" w:line="266" w:lineRule="auto"/>
        <w:tabs>
          <w:tab w:leader="none" w:pos="12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175" w:lineRule="exact"/>
        <w:rPr>
          <w:rFonts w:ascii="Times New Roman" w:cs="Times New Roman" w:eastAsia="Times New Roman" w:hAnsi="Times New Roman"/>
          <w:sz w:val="18"/>
          <w:szCs w:val="18"/>
          <w:color w:val="auto"/>
        </w:rPr>
      </w:pPr>
    </w:p>
    <w:p>
      <w:pPr>
        <w:ind w:firstLine="987"/>
        <w:spacing w:after="0" w:line="271" w:lineRule="auto"/>
        <w:tabs>
          <w:tab w:leader="none" w:pos="1246"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establish, adopt, modify, amend or terminate any “employee benefit plan” (as such term is defined in Section 3(3) of ERISA, whether or not subject to ERISA), equity or equity-based, deferred compensation, severance, retention, bonus, incentive, retirement, retiree or post-employment welfare, vacation, and other benefit or compensatory plan, program, policy, arrangement or Contract, (ii) grant or increase (or accelerate the timing of payment or funding of) any compensation or benefits (including, without limitation, any severance or change in control or retention payments) to any employee or independent contractor or (iii) (A) hire any employee or (B) engage any individual independent contractor or consultant for fees (other than, in the case of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for purposes related, incidental or attendant to this Agreement or any Ancillary Document, the performance or enforcement of, or compliance with, any covenants or agreements hereunder or thereunder or the consummation of the transactions contemplated hereby or thereby (including, for the avoidance of doubt, purposes related, incidental or attendant to compliance with applicable Laws or applicable listing or corporate governance rules or regulations of Nasdaq or purposes related, incidental or attendant to its continuing (or similar) existence);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327" w:name="page328"/>
    <w:bookmarkEnd w:id="327"/>
    <w:p>
      <w:pPr>
        <w:ind w:left="1220" w:hanging="233"/>
        <w:spacing w:after="0"/>
        <w:tabs>
          <w:tab w:leader="none" w:pos="12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Transaction Payment; or</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to take, or cause to be taken, any of the actions set forth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this Agreement to the contrary, (i) nothing set forth in this Agreement shall give the Company, directly or indirectly, the right to control or direct the operations of MAAC, and (ii) nothing set forth in this Agreement shall prohibit, or otherwise restrict the ability of, MAAC from using the funds held by MAAC outside the Trust Account to pay any MAAC Expenses or Liabilities of MAAC or from otherwise distributing or paying over any funds held by MAAC outside the Trust Account to the MAAC Sponsor or any of its Affiliates, in each case, prior to the Closing.</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Nasdaq Listing; MAAC Public Filings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987"/>
        <w:spacing w:after="0" w:line="256" w:lineRule="auto"/>
        <w:tabs>
          <w:tab w:leader="none" w:pos="123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(a) to cause the Company Post-Closing Common Shares issuable in accordance with this Agreement (including, for the avoidance of doubt, the Company Post-Closing Common Shares issuable in respect of MAAC Shares converted into Company Post-Closing Common Shares in the Merger) to be approved for listing on Nasdaq, subject to official notice of issuance thereof, and (b) to satisfy any applicable initial and continuing listing requirements of Nasdaq, in each case, as promptly as reasonably practicable after the date of this Agreement, and in any event prior to the Effective Time. MAAC shall, and shall cause its Representatives to, reasonably cooperate with the Company and its Representatives in connection with the foregoing.</w:t>
      </w:r>
    </w:p>
    <w:p>
      <w:pPr>
        <w:spacing w:after="0" w:line="187"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until the earlier of the Closing or termination of this Agreement in accordance with its terms, except as set forth on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 xml:space="preserve"> of the MAAC Disclosure Schedules, MAAC shall (except if, in the case of any reports to be filed or furnished in connection with the transactions contemplated by this Agreement or any Ancillary Document, the Company’s breach of its applicable covenants, agreements and obligations hereunder would result in the MAAC’s inability to make such filings) use reasonable best efforts to keep current and timely file all reports required to be filed or furnished with the SEC and otherwise comply in all material respects with its reporting obligations under applicable Securities Laws.</w:t>
      </w:r>
    </w:p>
    <w:p>
      <w:pPr>
        <w:spacing w:after="0" w:line="183"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5.12 </w:t>
      </w:r>
      <w:r>
        <w:rPr>
          <w:rFonts w:ascii="Times New Roman" w:cs="Times New Roman" w:eastAsia="Times New Roman" w:hAnsi="Times New Roman"/>
          <w:sz w:val="17"/>
          <w:szCs w:val="17"/>
          <w:b w:val="1"/>
          <w:bCs w:val="1"/>
          <w:u w:val="single" w:color="auto"/>
          <w:color w:val="auto"/>
        </w:rPr>
        <w:t>Trust Account</w:t>
      </w:r>
      <w:r>
        <w:rPr>
          <w:rFonts w:ascii="Times New Roman" w:cs="Times New Roman" w:eastAsia="Times New Roman" w:hAnsi="Times New Roman"/>
          <w:sz w:val="17"/>
          <w:szCs w:val="17"/>
          <w:color w:val="auto"/>
        </w:rPr>
        <w:t>. Upon satisfaction or, to the extent permitted by applicable Law, waiver of the conditions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 of notice thereof to the Trustee, (a) at the Closing, MAAC shall (i) cause the documents, certificates and notices required to be delivered to the Trustee pursuant to the Trust Agreement to be so delivered, and (ii) make all appropriate arrangements to cause the Trustee to (A) pay as and when due all amounts, if any, payable to the holders of MAAC Class A Shares pursuant to the MAAC Shareholder Redemption, (B) pay the amounts due to the underwriters of MAAC’s initial public offering for their deferred underwriting commissions as set forth in the Trust Agreement and (C) immediately thereafter, pay all remaining amounts then available in the Trust Account to MAAC in accordance with the Trust Agreement, and (b) thereafter, the Trust Account shall terminate, except as otherwise provided therein. From and after the date hereof until the earlier of the Closing or termination of this Agreement in accordance with its terms, MAAC shall perform all material obligations required to be performed by it under the Trust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328" w:name="page329"/>
    <w:bookmarkEnd w:id="328"/>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5.13 </w:t>
      </w:r>
      <w:r>
        <w:rPr>
          <w:rFonts w:ascii="Times New Roman" w:cs="Times New Roman" w:eastAsia="Times New Roman" w:hAnsi="Times New Roman"/>
          <w:sz w:val="18"/>
          <w:szCs w:val="18"/>
          <w:b w:val="1"/>
          <w:bCs w:val="1"/>
          <w:u w:val="single" w:color="auto"/>
          <w:color w:val="auto"/>
        </w:rPr>
        <w:t>Company Shareholder Approval</w:t>
      </w:r>
      <w:r>
        <w:rPr>
          <w:rFonts w:ascii="Times New Roman" w:cs="Times New Roman" w:eastAsia="Times New Roman" w:hAnsi="Times New Roman"/>
          <w:sz w:val="18"/>
          <w:szCs w:val="18"/>
          <w:color w:val="auto"/>
        </w:rPr>
        <w:t>. Substantially concurrently with the execution hereof, the Company has obtained and delivered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MAAC a true and correct copy of an irrevocable written consent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approving and adopting this Agreement, the Ancillary Documents to which the Company is or will be a party and the transactions contemplated hereby and thereby (including the Company Pre-Closing Steps and the Merger) that is duly executed by the Company Shareholders that hold at least the requisite number of issued and outstanding Company Common Shares required to approve and adopt such matters in accordance with the Companies Act, the Company’s Governing Documents and the Company Shareholders Agreements (the “</w:t>
      </w:r>
      <w:r>
        <w:rPr>
          <w:rFonts w:ascii="Times New Roman" w:cs="Times New Roman" w:eastAsia="Times New Roman" w:hAnsi="Times New Roman"/>
          <w:sz w:val="18"/>
          <w:szCs w:val="18"/>
          <w:u w:val="single" w:color="auto"/>
          <w:color w:val="auto"/>
        </w:rPr>
        <w:t>Company Shareholder Written Consent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MAAC Indemnification; Directors’ and Officers’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987"/>
        <w:spacing w:after="0" w:line="252" w:lineRule="auto"/>
        <w:tabs>
          <w:tab w:leader="none" w:pos="123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to the maximum extent permitted by applicable Law as if the Company were MAAC, (i) all rights to indemnification or exculpation now existing in favor of the directors and officers of MAAC, as provided in the applicable MAAC Governing Documents or director and officer indemnification agreements, in substantially the form set forth in the MAAC SEC Reports, in either case, solely with respect to any matters occurring at or prior to the Effective Time, shall survive the transactions contemplated by this Agreement and shall continue in full force and effect from and after the Effective Time for a period of six (6) years and (ii) the Company will perform and discharge, or cause to be performed and discharged, all obligations to provide such indemnity and exculpation during such six (6)-year period. To the maximum extent permitted by applicable Law, during such six (6)-year period, the Company shall advance, or caused to be advanced, expenses as provided in the applicable Governing Documents of MAAC as in effect immediately prior to the Effective Time or such indemnification agreements. The indemnification and liability limitation or exculpation provisions of the MAAC Governing Documents shall not, during such six (6)-year period, be amended, repealed or otherwise modified following the Effective Time in any manner that would materially and adversely affect the rights thereunder of individuals who, as of immediately prior to the Effective Time, or at any time prior to such time, were directors or officers of MAAC (the “</w:t>
      </w:r>
      <w:r>
        <w:rPr>
          <w:rFonts w:ascii="Times New Roman" w:cs="Times New Roman" w:eastAsia="Times New Roman" w:hAnsi="Times New Roman"/>
          <w:sz w:val="18"/>
          <w:szCs w:val="18"/>
          <w:u w:val="single" w:color="auto"/>
          <w:color w:val="auto"/>
        </w:rPr>
        <w:t>MAAC D&amp;O Persons</w:t>
      </w:r>
      <w:r>
        <w:rPr>
          <w:rFonts w:ascii="Times New Roman" w:cs="Times New Roman" w:eastAsia="Times New Roman" w:hAnsi="Times New Roman"/>
          <w:sz w:val="18"/>
          <w:szCs w:val="18"/>
          <w:color w:val="auto"/>
        </w:rPr>
        <w:t>”) entitled to be so indemnified, have their liability limited or be exculpated with respect to any matters occurring at or prior to the Effective Time and relating to the fact that such MAAC D&amp;O Person was a director or officer of MAAC or other person entitled to be so indemnified thereunder at or prior to the Effective Time, unless such amendment, repeal or other modification is required by applicable Law.</w:t>
      </w:r>
    </w:p>
    <w:p>
      <w:pPr>
        <w:spacing w:after="0" w:line="197"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have any obligation under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to any MAAC D&amp;O Person when and if a court of competent jurisdiction shall ultimately determine (and such determination shall have become final and non-appealable) that the indemnification of such MAAC D&amp;O Person in the manner contemplated hereby is prohibited by applicable Law.</w:t>
      </w:r>
    </w:p>
    <w:p>
      <w:pPr>
        <w:spacing w:after="0" w:line="175"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MAAC shall purchase, or cause to be purchased, at or prior to the Closing, and the Company shall maintain, or cause to be maintained, in effect for a period of six (6) years following the Effective Time, without any lapses in coverage, a “tail” policy providing directors’ and officers’ liability insurance coverage for the benefit of those Persons who are currently covered (whether directly, via endorsement or otherwise) by any comparable insurance policies of MAAC in effect as of the date of this Agreement with respect to matters occurring at or prior to the Effective Time. Such “tail” policy shall provide coverage on terms (with respect to coverage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66" w:right="479" w:bottom="1440" w:gutter="0" w:footer="0" w:header="0"/>
        </w:sectPr>
      </w:pPr>
    </w:p>
    <w:bookmarkStart w:id="329" w:name="page330"/>
    <w:bookmarkEnd w:id="32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that are substantially the same as (and no less favorable in the aggregate to the Persons covered thereby than) the coverage provided under MAAC’s directors’ and officers’ liability insurance policies in effect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MAAC shall not pay a premium for such “tail” policy in excess of three-hundred percent (300%) of the most recent annual premium paid by MAAC prior to the date of this Agreement and, in such event, MAAC shall purchase or cause to be purchased the maximum coverage available for three-hundred percent (300%) of the most recent annual premium paid by MAAC prior to the date of this Agreement. Notwithstanding the foregoing or anything to the contrary in this Agreement, if the term of MAAC’s directors’ and officers’ liability insurance policy in effect as of the date of this Agreement expires on or prior to the Closing Date, then MAAC may renew such policy or obtain, or cause to be obtained, one or more directors’ and officers’ insurance policy(ies) that provides for coverage through October 9, 2022 on terms (with respect to coverage and amount) that are substantially the same as the coverage provided under such MAAC’s directors’ and officers’ liability policy that so expired, and all references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to the directors’ and officers’ liability insurance policies shall also be deemed to refer to such policy as renewed or such new policy(ies).</w:t>
      </w:r>
    </w:p>
    <w:p>
      <w:pPr>
        <w:spacing w:after="0" w:line="194" w:lineRule="exact"/>
        <w:rPr>
          <w:sz w:val="20"/>
          <w:szCs w:val="20"/>
          <w:color w:val="auto"/>
        </w:rPr>
      </w:pPr>
    </w:p>
    <w:p>
      <w:pPr>
        <w:ind w:right="40" w:firstLine="987"/>
        <w:spacing w:after="0" w:line="261" w:lineRule="auto"/>
        <w:tabs>
          <w:tab w:leader="none" w:pos="124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the Company shall use reasonable best efforts to cause the successors or assigns of the Company shall assume all of the obligations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the Company.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5.15 </w:t>
      </w:r>
      <w:r>
        <w:rPr>
          <w:rFonts w:ascii="Times New Roman" w:cs="Times New Roman" w:eastAsia="Times New Roman" w:hAnsi="Times New Roman"/>
          <w:sz w:val="18"/>
          <w:szCs w:val="18"/>
          <w:b w:val="1"/>
          <w:bCs w:val="1"/>
          <w:u w:val="single" w:color="auto"/>
          <w:color w:val="auto"/>
        </w:rPr>
        <w:t>Company Indemnification; Directors’ and Officers’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3" w:lineRule="auto"/>
        <w:tabs>
          <w:tab w:leader="none" w:pos="123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 all rights to indemnification or exculpation now existing in favor of the directors and officers of the Group Companies, as provided in the Group Companies’ Governing Documents or otherwise in effect as of immediately prior to the Effective Time, in either case, solely with respect to any matters occurring at or prior to the Effective Time, shall survive the transactions contemplated by this Agreement and shall continue in full force and effect from and after the Effective Time for a period of six (6) years and (ii) the Company will cause the applicable Group Companies to perform and discharge all obligations to provide such indemnity and exculpation during such six (6)-year period. To the maximum extent permitted by applicable Law, during such six (6)-year period, the Company shall cause the applicable Group Companies to advance expenses as provided in the applicable Governing Documents of the Group Companies or such indemnification agreements. The indemnification and liability limitation or exculpation provisions of the Group Companies’ Governing Documents shall not, during such six (6)-year period, be amended, repealed or otherwise modified following the Effective Time in any manner that would materially and adversely affect the rights thereunder of individuals who, as of the Effective Time or at any time prior to the Effective Time, were directors or officers of the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60"/>
          </w:cols>
          <w:pgMar w:left="440" w:top="270" w:right="499" w:bottom="1440" w:gutter="0" w:footer="0" w:header="0"/>
        </w:sectPr>
      </w:pPr>
    </w:p>
    <w:bookmarkStart w:id="330" w:name="page331"/>
    <w:bookmarkEnd w:id="33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Group Companies (the “</w:t>
      </w:r>
      <w:r>
        <w:rPr>
          <w:rFonts w:ascii="Times New Roman" w:cs="Times New Roman" w:eastAsia="Times New Roman" w:hAnsi="Times New Roman"/>
          <w:sz w:val="18"/>
          <w:szCs w:val="18"/>
          <w:u w:val="single" w:color="auto"/>
          <w:color w:val="auto"/>
        </w:rPr>
        <w:t>Company D&amp;O Persons</w:t>
      </w:r>
      <w:r>
        <w:rPr>
          <w:rFonts w:ascii="Times New Roman" w:cs="Times New Roman" w:eastAsia="Times New Roman" w:hAnsi="Times New Roman"/>
          <w:sz w:val="18"/>
          <w:szCs w:val="18"/>
          <w:color w:val="auto"/>
        </w:rPr>
        <w:t>”) entitled to be so indemnified, have their liability limited or be exculpated with respect to any matters occurring prior to Closing and relating to the fact that such Company D&amp;O Person was a director or officer of any Group Company at or prior to the Effective Time, unless such amendment, repeal or other modification is required by applicable Law.</w:t>
      </w:r>
    </w:p>
    <w:p>
      <w:pPr>
        <w:spacing w:after="0" w:line="176" w:lineRule="exact"/>
        <w:rPr>
          <w:sz w:val="20"/>
          <w:szCs w:val="20"/>
          <w:color w:val="auto"/>
        </w:rPr>
      </w:pPr>
    </w:p>
    <w:p>
      <w:pPr>
        <w:jc w:val="both"/>
        <w:ind w:right="40" w:firstLine="987"/>
        <w:spacing w:after="0" w:line="266" w:lineRule="auto"/>
        <w:tabs>
          <w:tab w:leader="none" w:pos="124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Group Companies shall have any obligation under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75" w:lineRule="exact"/>
        <w:rPr>
          <w:rFonts w:ascii="Times New Roman" w:cs="Times New Roman" w:eastAsia="Times New Roman" w:hAnsi="Times New Roman"/>
          <w:sz w:val="18"/>
          <w:szCs w:val="18"/>
          <w:color w:val="auto"/>
        </w:rPr>
      </w:pPr>
    </w:p>
    <w:p>
      <w:pPr>
        <w:ind w:right="100" w:firstLine="987"/>
        <w:spacing w:after="0" w:line="254" w:lineRule="auto"/>
        <w:tabs>
          <w:tab w:leader="none" w:pos="123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purchase, at or prior to the Closing, and the Company shall maintain, or cause to be maintained, in effect for a period of six (6) years following the Effective Time, without lapses in coverage, a “tail” policy providing directors’ and officers’ liability insurance coverage for the benefit of those Persons who are currently covered by any comparable insurance policies of the Group Companies in effect as of the date of this Agreement with respect to matters occurring at or prior to the Effective Time. Such “tail” policy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pay a premium for such “tail” policy in excess of three-hundred percent (300%) of the most recent annual premium paid by the Group Companies prior to the date of this Agreement and, in such event, the Company shall purchase the maximum coverage available for three-hundred (300%) of the most recent annual premium paid by the Group Companies prior to the date of this Agreement.</w:t>
      </w:r>
    </w:p>
    <w:p>
      <w:pPr>
        <w:spacing w:after="0" w:line="188"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the Company shall use reasonable best efforts to cause the successors or assigns of the Company shall assume all of the obligations set forth in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the Company.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b w:val="1"/>
          <w:bCs w:val="1"/>
          <w:u w:val="single" w:color="auto"/>
          <w:color w:val="auto"/>
        </w:rPr>
        <w:t>Post-Closing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987"/>
        <w:spacing w:after="0" w:line="266" w:lineRule="auto"/>
        <w:tabs>
          <w:tab w:leader="none" w:pos="123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or cause to be taken, all actions within its power as may be necessary or appropriate such that effective immediately after the Effective Time (i) the Company Board shall consist of a number of directors determined by the Company (upon reasonable prior consultation with MAAC) prior to the Effective Time, which shall be divided into</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40"/>
          </w:cols>
          <w:pgMar w:left="440" w:top="270" w:right="519" w:bottom="1440" w:gutter="0" w:footer="0" w:header="0"/>
        </w:sectPr>
      </w:pPr>
    </w:p>
    <w:bookmarkStart w:id="331" w:name="page332"/>
    <w:bookmarkEnd w:id="33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three (3) classes, designated Class I, II and III, with each class consisting of an approximately equal number of directors determined by the Company (upon reasonable prior consultation with MAAC) prior to the Effective Time, and (ii) the members of the Company Board are the individuals determined in accordance with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5.16(c)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(A) at least a majority of such directors that comprise the Company Board shall qualify as “independent directors” under the listing rules of Nasdaq immediately after the Effective Time and (B) no such determination by the Company shall affect the ability of the MAAC Designee to serve on the Board in the class of directors set forth on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of the MAAC Disclosure Schedules immediately after the Effective Time or MAAC’s rights under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or the Company’s obligations with respect thereto. At or prior to the Closing, the Company will provide the MAAC Designee with and, subject to the entry into the same by the MAAC Designee, will enter into a director indemnification agreement with the MAAC Designee, in form and substance approved by the Company Board and to be offered to all directors serving on the Company Board as of immediately following the Effective Time.</w:t>
      </w:r>
    </w:p>
    <w:p>
      <w:pPr>
        <w:spacing w:after="0" w:line="188" w:lineRule="exact"/>
        <w:rPr>
          <w:sz w:val="20"/>
          <w:szCs w:val="20"/>
          <w:color w:val="auto"/>
        </w:rPr>
      </w:pPr>
    </w:p>
    <w:p>
      <w:pPr>
        <w:ind w:right="140" w:firstLine="987"/>
        <w:spacing w:after="0" w:line="254" w:lineRule="auto"/>
        <w:tabs>
          <w:tab w:leader="none" w:pos="124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individual identified on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of the MAAC Disclosure Schedules shall be a director on the Company Board immediately after the Effective Time (provided that such individual is willing to serve and is not prohibited by applicable Law or disability from so serving), with such individual being in the class of directors set forth opposite his or her name on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of the MAAC Disclosure Schedules (the “</w:t>
      </w:r>
      <w:r>
        <w:rPr>
          <w:rFonts w:ascii="Times New Roman" w:cs="Times New Roman" w:eastAsia="Times New Roman" w:hAnsi="Times New Roman"/>
          <w:sz w:val="18"/>
          <w:szCs w:val="18"/>
          <w:u w:val="single" w:color="auto"/>
          <w:color w:val="auto"/>
        </w:rPr>
        <w:t>MAAC Designee</w:t>
      </w:r>
      <w:r>
        <w:rPr>
          <w:rFonts w:ascii="Times New Roman" w:cs="Times New Roman" w:eastAsia="Times New Roman" w:hAnsi="Times New Roman"/>
          <w:sz w:val="18"/>
          <w:szCs w:val="18"/>
          <w:color w:val="auto"/>
        </w:rPr>
        <w:t xml:space="preserve">”). The MAAC Designee may be replaced by MAAC prior to the Effective Time with the prior written consent of the Company and, upon such written consent to any such replacement individual,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of the MAAC Disclosure Schedules shall automatically be deemed amended to include such replacement individual as the MAAC Designee in lieu of, and to serve in the same class of directors as, the individual so replaced;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unreasonably withhold, condition or delay its consent to any individual proposed by MAAC prior to the Effective Time as a replacement if the MAAC Designee (whether the initial or any subsequent MAAC Designee) is no longer able to serve on the Company Board as a result of death or disability.</w:t>
      </w:r>
    </w:p>
    <w:p>
      <w:pPr>
        <w:spacing w:after="0" w:line="188" w:lineRule="exact"/>
        <w:rPr>
          <w:rFonts w:ascii="Times New Roman" w:cs="Times New Roman" w:eastAsia="Times New Roman" w:hAnsi="Times New Roman"/>
          <w:sz w:val="18"/>
          <w:szCs w:val="18"/>
          <w:color w:val="auto"/>
        </w:rPr>
      </w:pPr>
    </w:p>
    <w:p>
      <w:pPr>
        <w:ind w:right="200" w:firstLine="987"/>
        <w:spacing w:after="0" w:line="254" w:lineRule="auto"/>
        <w:tabs>
          <w:tab w:leader="none" w:pos="123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individuals identified on </w:t>
      </w:r>
      <w:r>
        <w:rPr>
          <w:rFonts w:ascii="Times New Roman" w:cs="Times New Roman" w:eastAsia="Times New Roman" w:hAnsi="Times New Roman"/>
          <w:sz w:val="18"/>
          <w:szCs w:val="18"/>
          <w:u w:val="single" w:color="auto"/>
          <w:color w:val="auto"/>
        </w:rPr>
        <w:t>Section 5.16(c)</w:t>
      </w:r>
      <w:r>
        <w:rPr>
          <w:rFonts w:ascii="Times New Roman" w:cs="Times New Roman" w:eastAsia="Times New Roman" w:hAnsi="Times New Roman"/>
          <w:sz w:val="18"/>
          <w:szCs w:val="18"/>
          <w:color w:val="auto"/>
        </w:rPr>
        <w:t xml:space="preserve"> of the Company Disclosure Schedules shall be directors on the Company Board immediately after the Effective Time, with each such individual being in the class of directors set forth opposite his or her name on </w:t>
      </w:r>
      <w:r>
        <w:rPr>
          <w:rFonts w:ascii="Times New Roman" w:cs="Times New Roman" w:eastAsia="Times New Roman" w:hAnsi="Times New Roman"/>
          <w:sz w:val="18"/>
          <w:szCs w:val="18"/>
          <w:u w:val="single" w:color="auto"/>
          <w:color w:val="auto"/>
        </w:rPr>
        <w:t>Section 5.16(c)</w:t>
      </w:r>
      <w:r>
        <w:rPr>
          <w:rFonts w:ascii="Times New Roman" w:cs="Times New Roman" w:eastAsia="Times New Roman" w:hAnsi="Times New Roman"/>
          <w:sz w:val="18"/>
          <w:szCs w:val="18"/>
          <w:color w:val="auto"/>
        </w:rPr>
        <w:t xml:space="preserve"> of the Company Disclosure Schedule (each, a “</w:t>
      </w:r>
      <w:r>
        <w:rPr>
          <w:rFonts w:ascii="Times New Roman" w:cs="Times New Roman" w:eastAsia="Times New Roman" w:hAnsi="Times New Roman"/>
          <w:sz w:val="18"/>
          <w:szCs w:val="18"/>
          <w:u w:val="single" w:color="auto"/>
          <w:color w:val="auto"/>
        </w:rPr>
        <w:t>Company Designee</w:t>
      </w:r>
      <w:r>
        <w:rPr>
          <w:rFonts w:ascii="Times New Roman" w:cs="Times New Roman" w:eastAsia="Times New Roman" w:hAnsi="Times New Roman"/>
          <w:sz w:val="18"/>
          <w:szCs w:val="18"/>
          <w:color w:val="auto"/>
        </w:rPr>
        <w:t>”). The Company may replace any Company Designee with any individual after reasonably consulting with MAAC with respect to such replacement Company Designee, by giving MAAC written notice, and, upon the Company so giving written notice of the replacement of such Company Designee and after so reasonably consulting with MAAC with respect thereto,</w:t>
      </w:r>
    </w:p>
    <w:p>
      <w:pPr>
        <w:spacing w:after="0" w:line="3" w:lineRule="exact"/>
        <w:rPr>
          <w:rFonts w:ascii="Times New Roman" w:cs="Times New Roman" w:eastAsia="Times New Roman" w:hAnsi="Times New Roman"/>
          <w:sz w:val="18"/>
          <w:szCs w:val="18"/>
          <w:color w:val="auto"/>
        </w:rPr>
      </w:pP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5.16(c)</w:t>
      </w:r>
      <w:r>
        <w:rPr>
          <w:rFonts w:ascii="Times New Roman" w:cs="Times New Roman" w:eastAsia="Times New Roman" w:hAnsi="Times New Roman"/>
          <w:sz w:val="18"/>
          <w:szCs w:val="18"/>
          <w:color w:val="auto"/>
        </w:rPr>
        <w:t xml:space="preserve"> of the Company Disclosure Schedules shall automatically be deemed amended to include such replacement individual as a Company Designee in lieu of, and to serve in the same class of directors as, the individual so replaced. Notwithstanding the foregoing or anything to the contrary herein, unless otherwise agreed in writing by MAAC, in no event shall less than at least a majority of the directors that comprise the Company Board qualify as “independent directors” under the listing rules of Nasdaq immediately after the Effective Time (whether as a result of the replacement of any Company Designee as contemplated by this </w:t>
      </w:r>
      <w:r>
        <w:rPr>
          <w:rFonts w:ascii="Times New Roman" w:cs="Times New Roman" w:eastAsia="Times New Roman" w:hAnsi="Times New Roman"/>
          <w:sz w:val="18"/>
          <w:szCs w:val="18"/>
          <w:u w:val="single" w:color="auto"/>
          <w:color w:val="auto"/>
        </w:rPr>
        <w:t>Section 5.16(c)</w:t>
      </w:r>
      <w:r>
        <w:rPr>
          <w:rFonts w:ascii="Times New Roman" w:cs="Times New Roman" w:eastAsia="Times New Roman" w:hAnsi="Times New Roman"/>
          <w:sz w:val="18"/>
          <w:szCs w:val="18"/>
          <w:color w:val="auto"/>
        </w:rPr>
        <w:t xml:space="preserve"> or otherwise).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332" w:name="page333"/>
    <w:bookmarkEnd w:id="332"/>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5.17 </w:t>
      </w:r>
      <w:r>
        <w:rPr>
          <w:rFonts w:ascii="Times New Roman" w:cs="Times New Roman" w:eastAsia="Times New Roman" w:hAnsi="Times New Roman"/>
          <w:sz w:val="18"/>
          <w:szCs w:val="18"/>
          <w:b w:val="1"/>
          <w:bCs w:val="1"/>
          <w:u w:val="single" w:color="auto"/>
          <w:color w:val="auto"/>
        </w:rPr>
        <w:t>PCAOB Financials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987"/>
        <w:spacing w:after="0" w:line="252" w:lineRule="auto"/>
        <w:tabs>
          <w:tab w:leader="none" w:pos="124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deliver to MAAC, (i) as promptly as reasonably practicable following the date of this Agreement, subject to,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 (A) the audited consolidated balance sheet of the Company as of March 31, 2019 and March 31, 2020 and the related audited consolidated statements of operations, comprehensive income (loss), shareholders’ equity and redeemable non-controlling interest and cash flows of the Company for the years then ended, audited in accordance with the standards of the PCAOB, (B) the audited consolidated balance sheet of the Company as of March 31, 2021 and the related audited consolidated statements of operations, comprehensive income (loss), shareholders’ equity and redeemable non-controlling interest and cash flows of the Company for the year then ended and (C) customary pro forma financial statements (after giving effect to the transactions contemplated hereby), and (ii) as promptly as reasonably practicable following the date of the relevant financial statement or other applicable period, the other Closing Company Financial Statements. The Company will use reasonable best efforts to promptly obtain the consents of its auditors with respect to the Closing Company Financial Statements as may be required by applicable Law or requested by the SEC. The Closing Company Financial Statements (A) will be prepared in accordance with GAAP applied on a consistent basis throughout the periods indicated (except, in the case of any audited financial statements, as may be specifically indicated in the notes thereto and subject, in the case of any unaudited financial statements, to normal year-end audit adjustments (none of which is expected to be individually or in the aggregate material) and the absence of notes thereto), (B) will fairly present in all material respects the financial position, results of operation and cash flows of the Group Companies as at the date thereof and for the period indicated therein, (C) in the case of any audited financial statements, will be audited in accordance with the standards of the PCAOB and will contain an unqualified report of the Company’s auditor and (D) will comply in all material respects with the applicable accounting requirements and with the rules and regulations of the SEC, the Exchange Act and the Securities Act in effect as their respective dates of delivery, at the time of filing of the Registration Statement / Proxy Statement and at the time of effectiveness of the Registration Statement / Proxy Statement (including Regulation S-X or Regulation S-K, as applicable).</w:t>
      </w:r>
    </w:p>
    <w:p>
      <w:pPr>
        <w:spacing w:after="0" w:line="191" w:lineRule="exact"/>
        <w:rPr>
          <w:rFonts w:ascii="Times New Roman" w:cs="Times New Roman" w:eastAsia="Times New Roman" w:hAnsi="Times New Roman"/>
          <w:sz w:val="18"/>
          <w:szCs w:val="18"/>
          <w:color w:val="auto"/>
        </w:rPr>
      </w:pPr>
    </w:p>
    <w:p>
      <w:pPr>
        <w:ind w:left="4" w:right="100" w:firstLine="987"/>
        <w:spacing w:after="0" w:line="276" w:lineRule="auto"/>
        <w:tabs>
          <w:tab w:leader="none" w:pos="1250"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MAAC shall use its reasonable best efforts to cooperate with the Company in connection with the preparation of customary pro forma financial statements that are required to be included in the Registration Statement / Proxy Statement. Without limiting the foregoing, MAAC shall</w:t>
      </w:r>
    </w:p>
    <w:p>
      <w:pPr>
        <w:ind w:left="4" w:right="80" w:hanging="4"/>
        <w:spacing w:after="0" w:line="273" w:lineRule="auto"/>
        <w:tabs>
          <w:tab w:leader="none" w:pos="219"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reasonably assist the Company in causing to be prepared in a timely manner any financial information or statements (including customary pro forma financial statements) that involve financial information or statements of MAAC and that are required to be included in the Registration Statement / Proxy Statement and any other filings to be made by the Company with the SEC in connection with the transactions contemplated by this Agreement or any Ancillary Document and (ii) obtain the consents of its auditors with respect thereto as may be required by applicable Law or requested by the SEC.</w:t>
      </w:r>
    </w:p>
    <w:p>
      <w:pPr>
        <w:spacing w:after="0" w:line="168"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5.18 </w:t>
      </w:r>
      <w:r>
        <w:rPr>
          <w:rFonts w:ascii="Times New Roman" w:cs="Times New Roman" w:eastAsia="Times New Roman" w:hAnsi="Times New Roman"/>
          <w:sz w:val="18"/>
          <w:szCs w:val="18"/>
          <w:b w:val="1"/>
          <w:bCs w:val="1"/>
          <w:u w:val="single" w:color="auto"/>
          <w:color w:val="auto"/>
        </w:rPr>
        <w:t>Company Post-Closing Incentive Equity Plan; Company Post-Closing Employee Stock Purchase Plan</w:t>
      </w:r>
      <w:r>
        <w:rPr>
          <w:rFonts w:ascii="Times New Roman" w:cs="Times New Roman" w:eastAsia="Times New Roman" w:hAnsi="Times New Roman"/>
          <w:sz w:val="18"/>
          <w:szCs w:val="18"/>
          <w:color w:val="auto"/>
        </w:rPr>
        <w:t>.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effectiveness of the Registration Statement / Proxy Statement, the Company Board (a) shall approve and adopt the Roivant Sciences Ltd. Amended and Restated 2021 Equity Incentive Plan, substantially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with any changes or modifications to such form as the Company and MAAC may mutually agree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4"/>
          </w:cols>
          <w:pgMar w:left="436" w:top="266" w:right="459" w:bottom="1440" w:gutter="0" w:footer="0" w:header="0"/>
        </w:sectPr>
      </w:pPr>
    </w:p>
    <w:bookmarkStart w:id="333" w:name="page334"/>
    <w:bookmarkEnd w:id="333"/>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agreement not to be unreasonably withheld, conditioned or delayed by either the Company or MAAC, as applicable) (the “</w:t>
      </w:r>
      <w:r>
        <w:rPr>
          <w:rFonts w:ascii="Times New Roman" w:cs="Times New Roman" w:eastAsia="Times New Roman" w:hAnsi="Times New Roman"/>
          <w:sz w:val="18"/>
          <w:szCs w:val="18"/>
          <w:u w:val="single" w:color="auto"/>
          <w:color w:val="auto"/>
        </w:rPr>
        <w:t>Company Post-Closing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Incentive Equity Plan</w:t>
      </w:r>
      <w:r>
        <w:rPr>
          <w:rFonts w:ascii="Times New Roman" w:cs="Times New Roman" w:eastAsia="Times New Roman" w:hAnsi="Times New Roman"/>
          <w:sz w:val="18"/>
          <w:szCs w:val="18"/>
          <w:color w:val="auto"/>
        </w:rPr>
        <w:t xml:space="preserve">”), in the manner prescribed under applicable Laws, effective as of one day prior to the Closing Date, and (b) may approve and adopt an employee stock purchase plan, with such terms and conditions set forth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and with any changes or modifications thereto as the Company and MAAC may mutually agree (such agreement not to be unreasonably withheld, conditioned or delayed by either the Company or MAAC, as applicable) (the “</w:t>
      </w:r>
      <w:r>
        <w:rPr>
          <w:rFonts w:ascii="Times New Roman" w:cs="Times New Roman" w:eastAsia="Times New Roman" w:hAnsi="Times New Roman"/>
          <w:sz w:val="18"/>
          <w:szCs w:val="18"/>
          <w:u w:val="single" w:color="auto"/>
          <w:color w:val="auto"/>
        </w:rPr>
        <w:t>Company Post-Closing Employee Stock Purchase Plan</w:t>
      </w:r>
      <w:r>
        <w:rPr>
          <w:rFonts w:ascii="Times New Roman" w:cs="Times New Roman" w:eastAsia="Times New Roman" w:hAnsi="Times New Roman"/>
          <w:sz w:val="18"/>
          <w:szCs w:val="18"/>
          <w:color w:val="auto"/>
        </w:rPr>
        <w:t>”), in the manner prescribed under applicable Laws, effective as of one day prior to the Closing Date.</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5.19 </w:t>
      </w:r>
      <w:r>
        <w:rPr>
          <w:rFonts w:ascii="Times New Roman" w:cs="Times New Roman" w:eastAsia="Times New Roman" w:hAnsi="Times New Roman"/>
          <w:sz w:val="18"/>
          <w:szCs w:val="18"/>
          <w:b w:val="1"/>
          <w:bCs w:val="1"/>
          <w:u w:val="single" w:color="auto"/>
          <w:color w:val="auto"/>
        </w:rPr>
        <w:t>Company Pre-Closing Steps</w:t>
      </w:r>
      <w:r>
        <w:rPr>
          <w:rFonts w:ascii="Times New Roman" w:cs="Times New Roman" w:eastAsia="Times New Roman" w:hAnsi="Times New Roman"/>
          <w:sz w:val="18"/>
          <w:szCs w:val="18"/>
          <w:color w:val="auto"/>
        </w:rPr>
        <w:t>. The Company shall, and shall cause its Representatives to, reasonably consult with and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cooperate with MAAC and its Representatives in connection with the Company Pre-Closing Steps and otherwise keep MAAC and its Representatives apprised, in reasonable detail, of the status of the Company Pre-Closing Steps. Without limiting the generality of the foregoing, (a) within a reasonable time prior to the Closing (and in any event ten (10) Business Days prior to the Closing Date), the Company shall provide, or cause to be provided, drafts of all agreements, documents and instruments related to the Company Pre-Closing Steps, and give MAAC and its Representatives a reasonable amount of time to review all such agreements, documents and instruments and shall consider in good faith all comments provided by MAAC and its Representatives and (b) none of the Group Companies shall enter into any agreement, document or instrument related to the Company Pre-Closing Steps that is not in a form and substance reasonably satisfactory to MAAC.</w:t>
      </w:r>
    </w:p>
    <w:p>
      <w:pPr>
        <w:spacing w:after="0" w:line="185" w:lineRule="exact"/>
        <w:rPr>
          <w:sz w:val="20"/>
          <w:szCs w:val="20"/>
          <w:color w:val="auto"/>
        </w:rPr>
      </w:pPr>
    </w:p>
    <w:p>
      <w:pPr>
        <w:ind w:right="3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5.20 </w:t>
      </w:r>
      <w:r>
        <w:rPr>
          <w:rFonts w:ascii="Times New Roman" w:cs="Times New Roman" w:eastAsia="Times New Roman" w:hAnsi="Times New Roman"/>
          <w:sz w:val="18"/>
          <w:szCs w:val="18"/>
          <w:b w:val="1"/>
          <w:bCs w:val="1"/>
          <w:u w:val="single" w:color="auto"/>
          <w:color w:val="auto"/>
        </w:rPr>
        <w:t>Company Related Party Transactions</w:t>
      </w:r>
      <w:r>
        <w:rPr>
          <w:rFonts w:ascii="Times New Roman" w:cs="Times New Roman" w:eastAsia="Times New Roman" w:hAnsi="Times New Roman"/>
          <w:sz w:val="18"/>
          <w:szCs w:val="18"/>
          <w:color w:val="auto"/>
        </w:rPr>
        <w:t>. The Company shall use reasonable best efforts to take, or cause to be taken, all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necessary or advisable to terminate at or prior to the Closing all of the agreements set forth on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of the Company Disclosure Schedules without any further Liabilities to the Company or any of its Affiliates (including the other Group Companies and, from and after the Effective Time, MAAC and its Affiliates).</w:t>
      </w:r>
    </w:p>
    <w:p>
      <w:pPr>
        <w:spacing w:after="0" w:line="176"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5.21 </w:t>
      </w:r>
      <w:r>
        <w:rPr>
          <w:rFonts w:ascii="Times New Roman" w:cs="Times New Roman" w:eastAsia="Times New Roman" w:hAnsi="Times New Roman"/>
          <w:sz w:val="18"/>
          <w:szCs w:val="18"/>
          <w:b w:val="1"/>
          <w:bCs w:val="1"/>
          <w:u w:val="single" w:color="auto"/>
          <w:color w:val="auto"/>
        </w:rPr>
        <w:t>Conduct of Business of Merger Sub</w:t>
      </w:r>
      <w:r>
        <w:rPr>
          <w:rFonts w:ascii="Times New Roman" w:cs="Times New Roman" w:eastAsia="Times New Roman" w:hAnsi="Times New Roman"/>
          <w:sz w:val="18"/>
          <w:szCs w:val="18"/>
          <w:color w:val="auto"/>
        </w:rPr>
        <w:t>. From and after the date of this Agreement until the earlier of the Closing or the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in accordance with its terms, Merger Sub shall not take any action, engage in any activities or business, or incur any Liabilities or obligations, other than (a) those that are incident to its organization, (b) the execution of this Agreement or any Ancillary Document to which it is or will be a party, (c) those that are contemplated by this Agreement or any Ancillary Document (including the enforcement of any of its rights or the performance of any of its obligations under this Agreement or any Ancillary Documents and the consummation of the transactions contemplated hereby or thereby) or (d) those that are consented to in writing by MAAC.</w:t>
      </w:r>
    </w:p>
    <w:p>
      <w:pPr>
        <w:spacing w:after="0" w:line="182"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5.22 </w:t>
      </w:r>
      <w:r>
        <w:rPr>
          <w:rFonts w:ascii="Times New Roman" w:cs="Times New Roman" w:eastAsia="Times New Roman" w:hAnsi="Times New Roman"/>
          <w:sz w:val="18"/>
          <w:szCs w:val="18"/>
          <w:b w:val="1"/>
          <w:bCs w:val="1"/>
          <w:u w:val="single" w:color="auto"/>
          <w:color w:val="auto"/>
        </w:rPr>
        <w:t>Notice of Certain Events</w:t>
      </w:r>
      <w:r>
        <w:rPr>
          <w:rFonts w:ascii="Times New Roman" w:cs="Times New Roman" w:eastAsia="Times New Roman" w:hAnsi="Times New Roman"/>
          <w:sz w:val="18"/>
          <w:szCs w:val="18"/>
          <w:color w:val="auto"/>
        </w:rPr>
        <w:t>. From and after the date of this Agreement until the earlier of the Closing or the termination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in accordance with its terms, each Party shall use reasonable best efforts to promptly (after having knowledge thereof) notify the other Parties of (i) any written notice or other communication received by such Party or any of its Representatives (in their capacity as such) from any Governmental Entity of the type that would, if received prior to the execution and delivery of this Agreement, have been required to have been disclosed pursuant to any section or subsection of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as applicable, and (ii) the occurrence or non-occurrence of any event the occurrence or non-occurrence of which, as the case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334" w:name="page335"/>
    <w:bookmarkEnd w:id="334"/>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may be, would reasonably be expected to cause any condition to the other Parties’ obligations to consummate the transactions contemplated hereby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not to be satisfied at any time from the date of this Agreement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failure by a Party to provide such notice that is not in made in bad faith shall not, in and of itself, constitute a breach or default of this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or a failure to satisfy the condition precedent set forth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as applicable.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5.23 </w:t>
      </w:r>
      <w:r>
        <w:rPr>
          <w:rFonts w:ascii="Times New Roman" w:cs="Times New Roman" w:eastAsia="Times New Roman" w:hAnsi="Times New Roman"/>
          <w:sz w:val="18"/>
          <w:szCs w:val="18"/>
          <w:b w:val="1"/>
          <w:bCs w:val="1"/>
          <w:u w:val="single" w:color="auto"/>
          <w:color w:val="auto"/>
        </w:rPr>
        <w:t>PIPE Subscription Agreements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52" w:lineRule="auto"/>
        <w:tabs>
          <w:tab w:leader="none" w:pos="123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MAAC shall use its reasonable best efforts to (i) obtain the PIPE Financing, enforce the obligations of the PIPE Investors under the PIPE Subscription Agreements, and consummate the purchases contemplated by the PIPE Subscription Agreements, in each case, on the terms and subject to the conditions set forth in the PIPE Subscription Agreements, (ii) satisfy all conditions to the PIPE Financing set forth in the PIPE Subscription Agreements that are within its control, and (iii) satisfy and comply with its obligations under the PIPE Subscription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MAAC shall be deemed to have satisfied its obligations under this sentence if the PIPE Financing contemplated by any underlying PIPE Subscription Agreement has been funded or will be funded on its terms substantially concurrently with the occurrence of the Closing and (b) for the avoidance of doubt, any breach, or failure to perform or comply with, any provision of a PIPE Subscription Agreement by a PIPE Investor shall not, in and of itself, be deemed to be a breach of, or failure to perform or comply with, this sentence. The Company shall use its reasonable best efforts to, and shall use its reasonable best efforts to cause its Representatives to, cooperate with MAAC and its Representatives in connection with the matters specified in this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If reasonably requested by the Company, MAAC shall, to the extent it has such rights under the applicable PIPE Subscription Agreement, waive any breach of any representation, warranty, covenant or agreement under a PIPE Subscription Agreement by a PIPE Investor to the extent necessary to cause the satisfaction of the conditions to closing of the PIPE Financing set forth in the PIPE Subscription Agreements and solely for the purpose of consummating the Closing, provided that (i) any such waiver may (in MAAC’s sole discretion) be subject to, and conditioned upon, the Closing occurring and the substantially concurrent funding of such PIPE Financing, (ii) subject to, and condition upon, the Closing occurring substantially concurrent funding of the PIPE Financing, the Company also waives any such breach to the extent the Company is a third party beneficiary of the provision that was so breached and (iii) any such waiver shall be subject to the rights of the placement agent, as applicable, under such PIPE Subscription Agreement with respect to such waiver.</w:t>
      </w:r>
    </w:p>
    <w:p>
      <w:pPr>
        <w:spacing w:after="0" w:line="193"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MAAC shall not amend, modify or waive any provisions of any PIPE Subscription Agreement without the prior written consent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modification or waiver that is solely ministerial in nature or otherwise immaterial, and, in each case, that does not affect any economic or any other material term, shall not require the prior written consent of the Company, so long as MAAC has provided to the Company no less than two (2) Business Days written notice of such amendment, modification or waiver, it being understood, but without limiting the foregoing, that it shall be deemed material if any amendment, modification or waiver (i) reduces the amount of the PIPE Financing available under such PIPE Subscription Agreement or (ii) imposes new or additional conditions or otherwise expands, amends or modifies any of the conditions to the receipt of the PIPE Financing under such PIPE Subscription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440" w:top="270" w:right="479" w:bottom="1440" w:gutter="0" w:footer="0" w:header="0"/>
        </w:sectPr>
      </w:pPr>
    </w:p>
    <w:bookmarkStart w:id="335" w:name="page336"/>
    <w:bookmarkEnd w:id="335"/>
    <w:p>
      <w:pPr>
        <w:ind w:firstLine="987"/>
        <w:spacing w:after="0" w:line="254" w:lineRule="auto"/>
        <w:tabs>
          <w:tab w:leader="none" w:pos="123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MAAC shall (i) promptly notify the Company upon having knowledge of any material breach or default under, or termination of, any PIPE Subscription Agreement (including any refusal or repudiation by any PIPE Investor with respect to its obligation and/or ability to provide the full financing contemplated by the applicable PIPE Subscription Agreement), (ii) prior to delivering any written notice to a PIPE Investor with respect to any PIPE Subscription Agreement, deliver such written notice to the Company for its prior review and consent (which consent shall not be unreasonably withheld, conditioned or delayed), and (iii) promptly, and in any event, within two (2) Business Days following the Company’s reasonable request, deliver the Closing Notice (as defined in the PIPE Subscription Agreements) to the PIPE Investors if conditions to the delivery of such notice under the PIPE Subscription Agreement have been satisfied and all of the conditions to the Closing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have been satisfied or waived (other than those conditions that, by their nature, are to be satisfied at the Closing, but that would, as of such date, reasonably be expected to be satisfied if the Closing were to occur).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TO CONSUMMATION OF THE TRANSACTIONS CONTEMPLATED BY THIS AGREEMENT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Conditions to the Obligations of the Parties</w:t>
      </w:r>
      <w:r>
        <w:rPr>
          <w:rFonts w:ascii="Times New Roman" w:cs="Times New Roman" w:eastAsia="Times New Roman" w:hAnsi="Times New Roman"/>
          <w:sz w:val="18"/>
          <w:szCs w:val="18"/>
          <w:color w:val="auto"/>
        </w:rPr>
        <w:t>. The obligations of the Parties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if permitted by applicable Law, waiver by MAAC and the Company of the following conditions:</w:t>
      </w:r>
    </w:p>
    <w:p>
      <w:pPr>
        <w:spacing w:after="0" w:line="207" w:lineRule="exact"/>
        <w:rPr>
          <w:sz w:val="20"/>
          <w:szCs w:val="20"/>
          <w:color w:val="auto"/>
        </w:rPr>
      </w:pPr>
    </w:p>
    <w:p>
      <w:pPr>
        <w:ind w:right="220" w:firstLine="987"/>
        <w:spacing w:after="0" w:line="266" w:lineRule="auto"/>
        <w:tabs>
          <w:tab w:leader="none" w:pos="123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or Law issued by any court of competent jurisdiction or other Governmental Entity, in each case (x) in the United States or any other jurisdiction in which the Group Companies conduct material operations or (y) that is otherwise material, in each case, preventing the consummation of the transactions contemplated by this Agreement, shall be in effect;</w:t>
      </w:r>
    </w:p>
    <w:p>
      <w:pPr>
        <w:spacing w:after="0" w:line="175"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 Proxy Statement shall have become effective in accordance with the provisions of the Securities Act, no stop order shall have been issued by the SEC and shall remain in effect with respect to the Registration Statement / Proxy Statement, and no Proceeding seeking such a stop order shall have been threatened or initiated by the SEC and remain pending;</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MAAC Shareholder Approval shall have been duly obtained;</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initial listing application with Nasdaq in connection with the transactions contemplated by this Agreement shall have been conditionally approved and, immediately following the Effective Time, the Company shall satisfy any applicable initial and continuing listing requirements of Nasdaq, and the Company shall not have received any notice of non-compliance therewith that has not been cured prior to, or would not be cured at or immediately following, the Effective Time, and the Company Post-Closing Common Shares (including the Company Post-Closing Common Shares to be issued hereunder and under the Ancillary Documents) shall have been approved for listing on Nasdaq;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70" w:right="479" w:bottom="1440" w:gutter="0" w:footer="0" w:header="0"/>
        </w:sectPr>
      </w:pPr>
    </w:p>
    <w:bookmarkStart w:id="336" w:name="page337"/>
    <w:bookmarkEnd w:id="336"/>
    <w:p>
      <w:pPr>
        <w:ind w:right="60" w:firstLine="987"/>
        <w:spacing w:after="0" w:line="282" w:lineRule="auto"/>
        <w:tabs>
          <w:tab w:leader="none" w:pos="12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giving effect to the transactions contemplated hereby (including the PIPE Financing), the Company shall have at least $5,000,001 of net tangible assets (as determined in accordance with Rule 3a51-1(g)(1) of the Exchange Act) immediately after the Effective Time.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Other Conditions to the Obligations of MAAC</w:t>
      </w:r>
      <w:r>
        <w:rPr>
          <w:rFonts w:ascii="Times New Roman" w:cs="Times New Roman" w:eastAsia="Times New Roman" w:hAnsi="Times New Roman"/>
          <w:sz w:val="18"/>
          <w:szCs w:val="18"/>
          <w:color w:val="auto"/>
        </w:rPr>
        <w:t>. The obligations of MAAC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if permitted by applicable Law, waiver by MAAC of the following further conditions:</w:t>
      </w:r>
    </w:p>
    <w:p>
      <w:pPr>
        <w:spacing w:after="0" w:line="207" w:lineRule="exact"/>
        <w:rPr>
          <w:sz w:val="20"/>
          <w:szCs w:val="20"/>
          <w:color w:val="auto"/>
        </w:rPr>
      </w:pPr>
    </w:p>
    <w:p>
      <w:pPr>
        <w:ind w:firstLine="987"/>
        <w:spacing w:after="0" w:line="252" w:lineRule="auto"/>
        <w:tabs>
          <w:tab w:leader="none" w:pos="12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Company Fundamental Representations (other than the representations and warranties set forth in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shall be true and correct (without giving effect to any limitation as to “materiality” or “Company Material Adverse Effect” or any similar limitation set forth herein) in all material respects as of the Closing Date, as though made on and as of the Closing Date (except to the extent that any such representation and warranty is made as of an earlier date, in which case such representation and warranty shall be true and correct (without giving effect to any limitation as to “materiality” or “Company Material Adverse Effect” or any similar limitation set forth herein) in all material respects as of such earlier date), (ii) the representation and warranty set forth in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shall be true and correct in all respects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be deemed to be satisfied if no Company Material Adverse Effect is continuing as of the Closing Date), (iii) the Company Additional Capitalization Representations shall be true and correct (without giving effect to any limitation as to “materiality” or “Company Material Adverse Effect” or any similar limitation set forth herein) as of the Closing Date, as though made on and as of the Closing Date (except to the extent that any such representation and warranty is made as of an earlier date, in which case such representation and warranty shall be true and correct (without giving effect to any limitation as to “materiality” or “Company Material Adverse Effect” or any similar limitation set forth herein) as of such earlier date), except where the failure of such representations and warranties to be true and correct would not be material to the Group Companies, taken as a whole, and (iv) the representations and warranties of the Company and Merger Sub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(other than the Company Fundamental Representations and the Company Additional Capitalization Representations) shall be true and correct (without giving effect to any limitation as to “materiality” or “Company Material Adverse Effect” or any similar limitation set forth herein) in all respects as of the Closing Date, as though made on and as of the Closing Date (except to the extent that any such representation and warranty is made as of an earlier date, in which case such representation and warranty shall be true and correct (without giving effect to any limitation as to “materiality” or “Company Material Adverse Effect” or any similar limitation set forth herein) in all respects as of such earlier date), except where the failure of such representations and warranties to be true and correct would not have a Company Material Adverse Effect;</w:t>
      </w:r>
    </w:p>
    <w:p>
      <w:pPr>
        <w:spacing w:after="0" w:line="189"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Merger Sub shall have performed and complied in all material respects with the covenants and agreements required to be performed or complied with by the Company and Merger Sub under this Agreement at or prior to the Closing;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337" w:name="page338"/>
    <w:bookmarkEnd w:id="337"/>
    <w:p>
      <w:pPr>
        <w:ind w:left="1240" w:hanging="253"/>
        <w:spacing w:after="0"/>
        <w:tabs>
          <w:tab w:leader="none" w:pos="12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the date of this Agreement, no Company Material Adverse Effect has occurred that is continuing;</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immediately after the Effective Time, the Company Board shall include the MAAC Designee, as determined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Pre-Closing Steps shall have been consummated on the Closing Date prior to the Effective Time in accordance with the applicable terms of this Agreement;</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21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under the HSR Act with respect to the Notification and Report Form to be filed by the MAAC Sponsor as an acquiring person (as that term is defined by 16 C.F.R. 801.2) in connection with the transactions contemplated by this Agreement shall have expired or been terminated; and</w:t>
      </w:r>
    </w:p>
    <w:p>
      <w:pPr>
        <w:spacing w:after="0" w:line="175" w:lineRule="exact"/>
        <w:rPr>
          <w:rFonts w:ascii="Times New Roman" w:cs="Times New Roman" w:eastAsia="Times New Roman" w:hAnsi="Times New Roman"/>
          <w:sz w:val="18"/>
          <w:szCs w:val="18"/>
          <w:color w:val="auto"/>
        </w:rPr>
      </w:pPr>
    </w:p>
    <w:p>
      <w:pPr>
        <w:ind w:right="320" w:firstLine="987"/>
        <w:spacing w:after="0" w:line="266" w:lineRule="auto"/>
        <w:tabs>
          <w:tab w:leader="none" w:pos="12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prior to the Closing, the Company shall have delivered, or caused to be delivered, to MAAC a certificate duly executed by an authorized officer of the Company, dated as of the Closing Date, to the effect that the conditions specified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are satisfied, in a form and substance reasonably satisfactory to MAAC.</w:t>
      </w:r>
    </w:p>
    <w:p>
      <w:pPr>
        <w:spacing w:after="0" w:line="172"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Other Conditions to the Obligations of the Company</w:t>
      </w:r>
      <w:r>
        <w:rPr>
          <w:rFonts w:ascii="Times New Roman" w:cs="Times New Roman" w:eastAsia="Times New Roman" w:hAnsi="Times New Roman"/>
          <w:sz w:val="18"/>
          <w:szCs w:val="18"/>
          <w:color w:val="auto"/>
        </w:rPr>
        <w:t>. The obligations of the Company to consummate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are subject to the satisfaction or, if permitted by applicable Law, waiver by the Company of the following further conditions:</w:t>
      </w:r>
    </w:p>
    <w:p>
      <w:pPr>
        <w:spacing w:after="0" w:line="175" w:lineRule="exact"/>
        <w:rPr>
          <w:sz w:val="20"/>
          <w:szCs w:val="20"/>
          <w:color w:val="auto"/>
        </w:rPr>
      </w:pPr>
    </w:p>
    <w:p>
      <w:pPr>
        <w:ind w:firstLine="987"/>
        <w:spacing w:after="0" w:line="253" w:lineRule="auto"/>
        <w:tabs>
          <w:tab w:leader="none" w:pos="123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MAAC Fundamental Representations shall be true and correct in all material respects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representation and warranty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shall be deemed to be true and correct in all material respects as of the Closing Date for purposes of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if no MAAC Material Adverse Effect is continuing as of the Closing Date), and (ii) the representations and warranties of MAAC (other than the MAAC Fundamental Representations)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this Agreement shall be true and correct (without giving effect to any limitation as to “materiality” or “MAAC Material Adverse Effect” or any similar limitation set forth herein) in all respects as of the Closing Date, as though made on and as of the Closing Date (except to the extent that any such representation and warranty is made as of an earlier date, in which case such representation and warranty shall be true and correct (without giving effect to any limitation as to “materiality” or “MAAC Material Adverse Effect” or any similar limitation set forth herein) in all respects as of such earlier date), except where the failure of such representations and warranties to be true and correct would not have a MAAC Material Adverse Effect;</w:t>
      </w:r>
    </w:p>
    <w:p>
      <w:pPr>
        <w:spacing w:after="0" w:line="191"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MAAC shall have performed and complied in all material respects with the covenants and agreements required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no MAAC Material Adverse Effect has occurred that is continuing;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60"/>
          </w:cols>
          <w:pgMar w:left="440" w:top="270" w:right="499" w:bottom="1440" w:gutter="0" w:footer="0" w:header="0"/>
        </w:sectPr>
      </w:pPr>
    </w:p>
    <w:bookmarkStart w:id="338" w:name="page339"/>
    <w:bookmarkEnd w:id="338"/>
    <w:p>
      <w:pPr>
        <w:ind w:left="1240" w:hanging="253"/>
        <w:spacing w:after="0"/>
        <w:tabs>
          <w:tab w:leader="none" w:pos="12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Trust Account Proceeds shall be equal to or greater than $210,000,000;</w:t>
      </w:r>
    </w:p>
    <w:p>
      <w:pPr>
        <w:spacing w:after="0" w:line="225" w:lineRule="exact"/>
        <w:rPr>
          <w:rFonts w:ascii="Times New Roman" w:cs="Times New Roman" w:eastAsia="Times New Roman" w:hAnsi="Times New Roman"/>
          <w:sz w:val="18"/>
          <w:szCs w:val="18"/>
          <w:color w:val="auto"/>
        </w:rPr>
      </w:pPr>
    </w:p>
    <w:p>
      <w:pPr>
        <w:ind w:right="620" w:firstLine="987"/>
        <w:spacing w:after="0" w:line="282" w:lineRule="auto"/>
        <w:tabs>
          <w:tab w:leader="none" w:pos="123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MAAC Sponsor shall have complied in all material respects with its covenants and agreements required to be performed or complied with by it under the Sponsor Support Agreement at or prior to the Closing;</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MAAC shall have delivered, or caused to be delivered, the following documents to the Company:</w:t>
      </w:r>
    </w:p>
    <w:p>
      <w:pPr>
        <w:spacing w:after="0" w:line="225" w:lineRule="exact"/>
        <w:rPr>
          <w:sz w:val="20"/>
          <w:szCs w:val="20"/>
          <w:color w:val="auto"/>
        </w:rPr>
      </w:pPr>
    </w:p>
    <w:p>
      <w:pPr>
        <w:ind w:right="40" w:firstLine="987"/>
        <w:spacing w:after="0" w:line="282" w:lineRule="auto"/>
        <w:tabs>
          <w:tab w:leader="none" w:pos="120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duly executed by an authorized officer of MAAC, dated as of the Closing Date, to the effect that the conditions specified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are satisfied, in a form and substance reasonably satisfactory to the Company; and</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5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prepared in a manner consistent and in accordance with the requirements of Treasury Regulations Sections 1.897-2(g), (h) and 1.1445-2(c)(3), certifying that no interest in MAAC is, or has been during the relevant period specified in Section 897(c)(1)(A)(ii) of the Code, a “United States real property interest” within the meaning of Section 897(c) of the Code, and a form of notice to the Internal Revenue Service prepared in accordance with the provisions of Treasury Regulations Section 1.897-2(h)(2).</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by this Agreement may be abandoned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Closing:</w:t>
      </w:r>
    </w:p>
    <w:p>
      <w:pPr>
        <w:spacing w:after="0" w:line="159" w:lineRule="exact"/>
        <w:rPr>
          <w:sz w:val="20"/>
          <w:szCs w:val="20"/>
          <w:color w:val="auto"/>
        </w:rPr>
      </w:pPr>
    </w:p>
    <w:p>
      <w:pPr>
        <w:ind w:left="1240" w:hanging="253"/>
        <w:spacing w:after="0"/>
        <w:tabs>
          <w:tab w:leader="none" w:pos="12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MAAC and the Company;</w:t>
      </w:r>
    </w:p>
    <w:p>
      <w:pPr>
        <w:spacing w:after="0" w:line="22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MAAC, if any of the representations or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shall not be true and correct or if the Company or Merger Sub has failed to perform any covenant or agreement on the part of the Company or Merger Sub set forth in this Agreement (including an obligation to consummate the Closing) such that the condition to Closing set forth in either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would not (assuming that the Closing occurred as of such date)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MAAC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MAAC is not then in breach of this Agreement so as to prevent the condition to Closing set forth in either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from being satisfied (assuming that the Closing occurred as of such date);</w:t>
      </w:r>
    </w:p>
    <w:p>
      <w:pPr>
        <w:spacing w:after="0" w:line="191"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3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representations or warranties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not be true and correct or if MAAC has failed to perform any covenant or agreement on the part of MAAC set forth in this Agreement (including an obligation to consummate the Closing) such that the condition to Closing set forth in either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would not (assuming that the Closing occurred as of such date) be satisfied and the breach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339" w:name="page340"/>
    <w:bookmarkEnd w:id="339"/>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breaches causing such representations or warranties not to be true and correct, or the failures to perform any covenant or agreement, as applicable, is (or are) not cured or cannot be cured within the earlier of (i) thirty (30) days after written notice thereof is delivered to MAAC by the Company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Company or Merger Sub is then in breach of this Agreement so as to prevent the condition to Closing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from being satisfied (assuming that the Closing occurred as of such date);</w:t>
      </w:r>
    </w:p>
    <w:p>
      <w:pPr>
        <w:spacing w:after="0" w:line="180" w:lineRule="exact"/>
        <w:rPr>
          <w:sz w:val="20"/>
          <w:szCs w:val="20"/>
          <w:color w:val="auto"/>
        </w:rPr>
      </w:pPr>
    </w:p>
    <w:p>
      <w:pPr>
        <w:ind w:left="4" w:right="60" w:firstLine="987"/>
        <w:spacing w:after="0" w:line="255" w:lineRule="auto"/>
        <w:tabs>
          <w:tab w:leader="none" w:pos="125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MAAC or the Company, if the transactions contemplated by this Agreement shall not have been consummated on or prior to November 30, 2021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shall not be available to MAAC if MAAC’s breach under this Agreement or any Ancillary Document to which it is a party shall have proximately caused the failure to consummate the transactions contemplated by this Agreement on or before the Termination Date, and (ii)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shall not be available to the Company if the Company’s or Merger Sub’s breach under this Agreement or any Ancillary Document to which such Person is a party shall have proximately caused the failure to consummate the transactions contemplated by this Agreement on or before the Termination Date;</w:t>
      </w:r>
    </w:p>
    <w:p>
      <w:pPr>
        <w:spacing w:after="0" w:line="188"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MAAC or the Company, if any Governmental Entity of competent jurisdiction shall have issued an Order or taken any other action permanently enjoining, restraining or otherwise prohibiting the transactions contemplated by this Agreement and such Order or other action shall have become final and nonappealable;</w:t>
      </w:r>
    </w:p>
    <w:p>
      <w:pPr>
        <w:spacing w:after="0" w:line="175" w:lineRule="exact"/>
        <w:rPr>
          <w:rFonts w:ascii="Times New Roman" w:cs="Times New Roman" w:eastAsia="Times New Roman" w:hAnsi="Times New Roman"/>
          <w:sz w:val="18"/>
          <w:szCs w:val="18"/>
          <w:color w:val="auto"/>
        </w:rPr>
      </w:pPr>
    </w:p>
    <w:p>
      <w:pPr>
        <w:ind w:left="4" w:right="360" w:firstLine="987"/>
        <w:spacing w:after="0" w:line="312" w:lineRule="auto"/>
        <w:tabs>
          <w:tab w:leader="none" w:pos="122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MAAC or the Company if the MAAC Shareholders Meeting has been held (including following any adjournment or postponement thereof), has concluded, MAAC’s shareholders have duly voted and the Required MAAC Shareholder Approval was not obtained; or</w:t>
      </w:r>
    </w:p>
    <w:p>
      <w:pPr>
        <w:spacing w:after="0" w:line="139" w:lineRule="exact"/>
        <w:rPr>
          <w:rFonts w:ascii="Times New Roman" w:cs="Times New Roman" w:eastAsia="Times New Roman" w:hAnsi="Times New Roman"/>
          <w:sz w:val="17"/>
          <w:szCs w:val="17"/>
          <w:color w:val="auto"/>
        </w:rPr>
      </w:pPr>
    </w:p>
    <w:p>
      <w:pPr>
        <w:ind w:left="4" w:right="140" w:firstLine="987"/>
        <w:spacing w:after="0" w:line="282" w:lineRule="auto"/>
        <w:tabs>
          <w:tab w:leader="none" w:pos="125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MAAC, if the Company does not deliver, or cause to be delivered to MAAC, the Merger Sub Shareholder Approval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on or prior to the Merger Sub Shareholder Approval Deadline.</w:t>
      </w:r>
    </w:p>
    <w:p>
      <w:pPr>
        <w:spacing w:after="0" w:line="158"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7.2 </w:t>
      </w:r>
      <w:r>
        <w:rPr>
          <w:rFonts w:ascii="Times New Roman" w:cs="Times New Roman" w:eastAsia="Times New Roman" w:hAnsi="Times New Roman"/>
          <w:sz w:val="17"/>
          <w:szCs w:val="17"/>
          <w:b w:val="1"/>
          <w:bCs w:val="1"/>
          <w:u w:val="single" w:color="auto"/>
          <w:color w:val="auto"/>
        </w:rPr>
        <w:t>Effect of Termination</w:t>
      </w:r>
      <w:r>
        <w:rPr>
          <w:rFonts w:ascii="Times New Roman" w:cs="Times New Roman" w:eastAsia="Times New Roman" w:hAnsi="Times New Roman"/>
          <w:sz w:val="17"/>
          <w:szCs w:val="17"/>
          <w:color w:val="auto"/>
        </w:rPr>
        <w:t>. Except for a termination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7.1(a)</w:t>
      </w:r>
      <w:r>
        <w:rPr>
          <w:rFonts w:ascii="Times New Roman" w:cs="Times New Roman" w:eastAsia="Times New Roman" w:hAnsi="Times New Roman"/>
          <w:sz w:val="17"/>
          <w:szCs w:val="17"/>
          <w:color w:val="auto"/>
        </w:rPr>
        <w:t>, any termination of this Agreement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will be effective (subject to the cure periods (if any) provided above) immediately upon the delivery of a valid written notice of the terminating Party to the Company (if the terminating Party is MAAC) or MAAC (if the terminating Party is the Company). In the event of the termination of this Agreement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this entire Agreement shall forthwith become void (and there shall be no Liability or obligation on the part of the Parties and their respective Non-Party Affiliates) with the exception of (a) </w:t>
      </w:r>
      <w:r>
        <w:rPr>
          <w:rFonts w:ascii="Times New Roman" w:cs="Times New Roman" w:eastAsia="Times New Roman" w:hAnsi="Times New Roman"/>
          <w:sz w:val="17"/>
          <w:szCs w:val="17"/>
          <w:u w:val="single" w:color="auto"/>
          <w:color w:val="auto"/>
        </w:rPr>
        <w:t>Section 5.3(a)</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1</w:t>
      </w:r>
      <w:r>
        <w:rPr>
          <w:rFonts w:ascii="Times New Roman" w:cs="Times New Roman" w:eastAsia="Times New Roman" w:hAnsi="Times New Roman"/>
          <w:sz w:val="17"/>
          <w:szCs w:val="17"/>
          <w:color w:val="auto"/>
        </w:rPr>
        <w:t xml:space="preserve"> (to the extent, with respect to </w:t>
      </w:r>
      <w:r>
        <w:rPr>
          <w:rFonts w:ascii="Times New Roman" w:cs="Times New Roman" w:eastAsia="Times New Roman" w:hAnsi="Times New Roman"/>
          <w:sz w:val="17"/>
          <w:szCs w:val="17"/>
          <w:u w:val="single" w:color="auto"/>
          <w:color w:val="auto"/>
        </w:rPr>
        <w:t>Article 1</w:t>
      </w:r>
      <w:r>
        <w:rPr>
          <w:rFonts w:ascii="Times New Roman" w:cs="Times New Roman" w:eastAsia="Times New Roman" w:hAnsi="Times New Roman"/>
          <w:sz w:val="17"/>
          <w:szCs w:val="17"/>
          <w:color w:val="auto"/>
        </w:rPr>
        <w:t xml:space="preserve">,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its terms. Notwithstanding the foregoing or anything to the contrary herein, the termination of this Agreement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shall not affect (i) any Liability on the part of any Party for any Willful Breach of any covenant or agreement set forth in this Agreement prior to such termination or Fraud or</w:t>
      </w:r>
    </w:p>
    <w:p>
      <w:pPr>
        <w:spacing w:after="0" w:line="2" w:lineRule="exact"/>
        <w:rPr>
          <w:sz w:val="20"/>
          <w:szCs w:val="20"/>
          <w:color w:val="auto"/>
        </w:rPr>
      </w:pPr>
    </w:p>
    <w:p>
      <w:pPr>
        <w:jc w:val="both"/>
        <w:ind w:left="4" w:right="80" w:hanging="4"/>
        <w:spacing w:after="0" w:line="255" w:lineRule="auto"/>
        <w:tabs>
          <w:tab w:leader="none" w:pos="26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Person’s Liability under any PIPE Subscription Agreement, the Confidentiality Agreement, any Transaction Support Agreement or the Sponsor Support Agreement to which such Person is a party to the extent arising from a claim against such Person by another Person party to such agreement on the terms and subject to the conditions thereunder.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4"/>
          </w:cols>
          <w:pgMar w:left="436" w:top="270" w:right="459" w:bottom="1440" w:gutter="0" w:footer="0" w:header="0"/>
        </w:sectPr>
      </w:pPr>
    </w:p>
    <w:bookmarkStart w:id="340" w:name="page341"/>
    <w:bookmarkEnd w:id="3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2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Non-Survival</w:t>
      </w:r>
      <w:r>
        <w:rPr>
          <w:rFonts w:ascii="Times New Roman" w:cs="Times New Roman" w:eastAsia="Times New Roman" w:hAnsi="Times New Roman"/>
          <w:sz w:val="18"/>
          <w:szCs w:val="18"/>
          <w:color w:val="auto"/>
        </w:rPr>
        <w:t>. The representations, warranties, agreements and covenants in this Agreement shall terminate at the earlier of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Time and (b) the termination of this Agreement in accordance with its terms, except for (i)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those covenants and agreements that, by their terms, expressly contemplate performance after the Effective Time, which covenants and agreements shall so survive the Effective Time in accordance with their terms, and (ii)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those covenants and agreements that expressly survive termination of this Agreement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Entire Agreement; Assignment</w:t>
      </w:r>
      <w:r>
        <w:rPr>
          <w:rFonts w:ascii="Times New Roman" w:cs="Times New Roman" w:eastAsia="Times New Roman" w:hAnsi="Times New Roman"/>
          <w:sz w:val="18"/>
          <w:szCs w:val="18"/>
          <w:color w:val="auto"/>
        </w:rPr>
        <w:t>. This Agreement (together with the Ancillary Documents) constitutes the entire agreement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MAAC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any such assignment following the Closing relates to any of the Company’s obligations under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such assignment shall, unless otherwise agreed to in writing by the MAAC Sponsor (not to be unreasonably withheld, conditioned or delayed), and except for an assignment of the type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thereof in connection with a sale of all or substantially all of the Company’s assets or businesses, only be effective to the extent such obligations are actually performed or discharged. Any attempted assignment of this Agreement not in accordance with the terms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be void.</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or modified only by a written agreement executed and delivered by MAAC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amendment or modification prior to the Closing with respect to </w:t>
      </w:r>
      <w:r>
        <w:rPr>
          <w:rFonts w:ascii="Times New Roman" w:cs="Times New Roman" w:eastAsia="Times New Roman" w:hAnsi="Times New Roman"/>
          <w:sz w:val="18"/>
          <w:szCs w:val="18"/>
          <w:u w:val="single" w:color="auto"/>
          <w:color w:val="auto"/>
        </w:rPr>
        <w:t>Section 6.2(f)</w:t>
      </w:r>
      <w:r>
        <w:rPr>
          <w:rFonts w:ascii="Times New Roman" w:cs="Times New Roman" w:eastAsia="Times New Roman" w:hAnsi="Times New Roman"/>
          <w:sz w:val="18"/>
          <w:szCs w:val="18"/>
          <w:color w:val="auto"/>
        </w:rPr>
        <w:t xml:space="preserve"> or following the Closing with respect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the proviso in the first sentence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in each case, solely as and to the extent related to the MAAC Sponsor or any of the MAAC Non-Party Affiliates (collectively, the “</w:t>
      </w:r>
      <w:r>
        <w:rPr>
          <w:rFonts w:ascii="Times New Roman" w:cs="Times New Roman" w:eastAsia="Times New Roman" w:hAnsi="Times New Roman"/>
          <w:sz w:val="18"/>
          <w:szCs w:val="18"/>
          <w:u w:val="single" w:color="auto"/>
          <w:color w:val="auto"/>
        </w:rPr>
        <w:t>MAAC Sponsor Specified Provisions</w:t>
      </w:r>
      <w:r>
        <w:rPr>
          <w:rFonts w:ascii="Times New Roman" w:cs="Times New Roman" w:eastAsia="Times New Roman" w:hAnsi="Times New Roman"/>
          <w:sz w:val="18"/>
          <w:szCs w:val="18"/>
          <w:color w:val="auto"/>
        </w:rPr>
        <w:t xml:space="preserve">”) shall also require the written consent of the MAAC Sponsor. This Agreement may not be modified or amended except as provided in the immediately preceding sentence and any purported amendment by any Party or Parties effected in a manner which does not comply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8.4 </w:t>
      </w: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All notices, requests, claims, demands and other communications hereunder shall be in writing and shall be given (and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deemed to have been duly given) by delivery in person, by e-mail (having obtained electronic delivery confirmation thereof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40" w:top="266" w:right="47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If to MAAC, to:</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Montes Archimedes Acquisition Corp.</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724 Oak Grove, Suite 130</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Maria Walker</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E-mail: maria@patientsquarecapital.com</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Michael E. Weisser, P.C.</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Ryan Brissette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E-mail: michael.weisser@kirkland.com</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ryan.brissette@kirkland.com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If to the Company or Merger Sub, to:</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Roivant Sciences Ltd.</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Suite 1, 3rd Floor,</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11-12 St. James’s Square,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London SW1Y 4LB,</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Matthew Gline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E-mail: matthew.gline@roivant.com</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legalnotices@roivant.com</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Roivant Sciences, Inc.</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151 West 42nd Street, 15th Floor</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E-mail: jo.chen@roivant.com</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Derek Dostal</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Brian Wolfe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Lee Hochbaum</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E-mail: derek.dostal@davispolk.com</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brian.wolfe@davispolk.com</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lee.hochbaum@davispolk.com</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9039"/>
          </w:cols>
          <w:pgMar w:left="1420" w:top="270" w:right="1440" w:bottom="1440" w:gutter="0" w:footer="0" w:header="0"/>
        </w:sectPr>
      </w:pPr>
    </w:p>
    <w:bookmarkStart w:id="342" w:name="page343"/>
    <w:bookmarkEnd w:id="34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to such other address as the Party to whom notice is given may have previously furnished to the others in writing in the manner set forth above.</w:t>
      </w:r>
    </w:p>
    <w:p>
      <w:pPr>
        <w:spacing w:after="0" w:line="221"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any choice of law or conflict of law provision or rule (whether of the State of Delaware or any other jurisdiction) that would cause the application of the law of any jurisdiction other than the State of Delaware (except that the Bermuda Companies Act 1981 shall also apply to the Company Pre-Closing Steps).</w:t>
      </w:r>
    </w:p>
    <w:p>
      <w:pPr>
        <w:spacing w:after="0" w:line="176"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8.6 </w:t>
      </w:r>
      <w:r>
        <w:rPr>
          <w:rFonts w:ascii="Times New Roman" w:cs="Times New Roman" w:eastAsia="Times New Roman" w:hAnsi="Times New Roman"/>
          <w:sz w:val="18"/>
          <w:szCs w:val="18"/>
          <w:b w:val="1"/>
          <w:bCs w:val="1"/>
          <w:u w:val="single" w:color="auto"/>
          <w:color w:val="auto"/>
        </w:rPr>
        <w:t>Fees and Expenses</w:t>
      </w:r>
      <w:r>
        <w:rPr>
          <w:rFonts w:ascii="Times New Roman" w:cs="Times New Roman" w:eastAsia="Times New Roman" w:hAnsi="Times New Roman"/>
          <w:sz w:val="18"/>
          <w:szCs w:val="18"/>
          <w:color w:val="auto"/>
        </w:rPr>
        <w:t>. All fees and expenses incurred in connection with this Agreement, the Ancillary Documents and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contemplated hereby and thereby, including the fees and disbursements of counsel, financial advisors and accountants, shall be paid by the Party incurring such fees or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intend for all unpaid fees and expenses at the Closing required to be paid by MAAC pursuant to this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to be paid by MAAC from a bank account opened by MAAC LLC (as defined in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 xml:space="preserve"> of the MAAC Disclosure Schedules), assuming that MAAC LLC is formed prior to Closing and such a bank account is opened, and otherwise from a bank account specified by MAAC (it being understood and agreed that in no event shall this proviso result in a failure of any condition to Closing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the avoidance of doubt, if this Agreement is terminated in accordance with its terms, the Company shall pay, or cause to be paid, all Company Expenses and MAAC shall pay, or cause to be paid, all MAAC Expenses.</w:t>
      </w:r>
    </w:p>
    <w:p>
      <w:pPr>
        <w:spacing w:after="0" w:line="18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8.7 </w:t>
      </w:r>
      <w:r>
        <w:rPr>
          <w:rFonts w:ascii="Times New Roman" w:cs="Times New Roman" w:eastAsia="Times New Roman" w:hAnsi="Times New Roman"/>
          <w:sz w:val="18"/>
          <w:szCs w:val="18"/>
          <w:b w:val="1"/>
          <w:bCs w:val="1"/>
          <w:u w:val="single" w:color="auto"/>
          <w:color w:val="auto"/>
        </w:rPr>
        <w:t>Construction; Interpretation</w:t>
      </w:r>
      <w:r>
        <w:rPr>
          <w:rFonts w:ascii="Times New Roman" w:cs="Times New Roman" w:eastAsia="Times New Roman" w:hAnsi="Times New Roman"/>
          <w:sz w:val="18"/>
          <w:szCs w:val="18"/>
          <w:color w:val="auto"/>
        </w:rPr>
        <w:t>. The term “this Agreement” means this Business Combination Agreement together with the Schedules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The language used in this Agreement shall be deemed to be the language chosen by the Parties to express their mutual intent and the Parties acknowledge that each Party and its counsel has reviewed and participated in the drafting of this Agreement. No Party, nor its respective counsel, shall be deemed the drafter of this Agreement for purposes of construing the provisions hereof, and all provisions of this Agreement shall be construed according to their fair meaning and no rule of strict construction, presumption or burden of proof favoring or disfavoring a Party shall be applied against any Party. Unless otherwise indicated to the contrary herein by the context or use thereof: (a) the words, “hereof,” “herein,” “hereby,” “hereto,” “herewith,” “hereunder” and words of similar import refer to this Agreement as a whole, including the Schedules and Exhibits hereto, and not to any particular provision,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all monetary figures used herein, including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w:t>
      </w:r>
    </w:p>
    <w:p>
      <w:pPr>
        <w:spacing w:after="0" w:line="4" w:lineRule="exact"/>
        <w:rPr>
          <w:sz w:val="20"/>
          <w:szCs w:val="20"/>
          <w:color w:val="auto"/>
        </w:rPr>
      </w:pPr>
    </w:p>
    <w:p>
      <w:pPr>
        <w:jc w:val="both"/>
        <w:ind w:left="4" w:right="60" w:hanging="4"/>
        <w:spacing w:after="0" w:line="255" w:lineRule="auto"/>
        <w:tabs>
          <w:tab w:leader="none" w:pos="25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“day” means calendar day unless Business Day is expressly specified; (i) any reference to a date or time shall be deemed to be such date or time in New York, New York; (j) references from or through any date mean from and including or through and including such date, respectively; (k) the word</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4"/>
          </w:cols>
          <w:pgMar w:left="436" w:top="270" w:right="459" w:bottom="1440" w:gutter="0" w:footer="0" w:header="0"/>
        </w:sectPr>
      </w:pPr>
    </w:p>
    <w:bookmarkStart w:id="343" w:name="page344"/>
    <w:bookmarkEnd w:id="343"/>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“extent” in the phrase “to the extent” means the degree to which a subject or other thing extends, and such phrase shall not mean simply “if”; (l) all references to Articles, Sections, Exhibits or Schedules are to Articles, Sections, Exhibits and Schedules of this Agreement; (m) the words “provided,” “made available,” “delivered” or words of similar import (regardless of whether capitalized or not) shall mean, when used with reference to documents or other materials required to be provided or made available to MAAC, any documents or other materials posted to the electronic data room located at https://wwwna.dfsvenue.com/cardhub.aspx under the project name “Project Rhine” as of 8:00 p.m., Eastern Time, at least one (1) day prior to the date of this Agreement; (n) all references to any Law will be to such Law as amended, supplemented, consolidated, replaced or otherwise modified or re-enacted from time to time and shall include all regulations and rules promulgated thereunder; (o) all references to any Contract are to that Contract as amended or modified from time to time in accordance with the terms thereof (subject to any restrictions on amendments or modifications set forth in this Agreement); (p) any reference to “MAAC” in this Agreement shall mean and refer to the “Surviving Company” from and after the Effective Time;</w:t>
      </w:r>
    </w:p>
    <w:p>
      <w:pPr>
        <w:spacing w:after="0" w:line="6" w:lineRule="exact"/>
        <w:rPr>
          <w:sz w:val="20"/>
          <w:szCs w:val="20"/>
          <w:color w:val="auto"/>
        </w:rPr>
      </w:pPr>
    </w:p>
    <w:p>
      <w:pPr>
        <w:ind w:left="4" w:hanging="4"/>
        <w:spacing w:after="0" w:line="251" w:lineRule="auto"/>
        <w:tabs>
          <w:tab w:leader="none" w:pos="25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other word derived from a defined term shall be used in this Agreement, such derived word shall have the meaning correlative to such defined term (e.g., “controlled” or “controlling” shall have the meaning correlative to “control”); (r) the phrase “ordinary course of business” means an action taken, or omitted to be taken, by any Person in the ordinary course of such Person’s business consistent with past practice, subject to, other than in the case of any action taken, or omitted to be taken, of the type that would, if taken during the period from the date of this Agreement until the Closing (and regardless of whether taken prior to, at or after the date hereof), require the consent of MAAC pursuant to any Company Specified Interim Operating Covenants, any action taken, or omitted to be taken, by any Group Company to the extent determined by a Group Company to be reasonable and advisable in response to COVID-19; and (s) the phrase “consistent with past valuation practices” shall mean (i) with respect to any equity incentive awards of any Private Group Company (other than any Company CVAR Award) that has an exercise price, an exercise price at or above fair market value and (ii) with respect to all Equity Securities of the Company or any other Private Group Company (other than equity incentive awards described in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 issuance or grant with a value at or above fair market value (with such fair market value, in the case of each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determined by reference to, among other things, the Company’s most recent equity financing or third-party valuations). If any action under this Agreement is required to be done or taken on a day that is not a Business Day, then such action shall be required to be done or taken not on such day but on the first succeeding Business Day thereafter.</w:t>
      </w:r>
    </w:p>
    <w:p>
      <w:pPr>
        <w:spacing w:after="0" w:line="188"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8.8 </w:t>
      </w:r>
      <w:r>
        <w:rPr>
          <w:rFonts w:ascii="Times New Roman" w:cs="Times New Roman" w:eastAsia="Times New Roman" w:hAnsi="Times New Roman"/>
          <w:sz w:val="18"/>
          <w:szCs w:val="18"/>
          <w:b w:val="1"/>
          <w:bCs w:val="1"/>
          <w:u w:val="single" w:color="auto"/>
          <w:color w:val="auto"/>
        </w:rPr>
        <w:t>Exhibits and Schedules</w:t>
      </w:r>
      <w:r>
        <w:rPr>
          <w:rFonts w:ascii="Times New Roman" w:cs="Times New Roman" w:eastAsia="Times New Roman" w:hAnsi="Times New Roman"/>
          <w:sz w:val="18"/>
          <w:szCs w:val="18"/>
          <w:color w:val="auto"/>
        </w:rPr>
        <w:t>. All Exhibits and Schedules (including the Company Disclosure Schedules and the MAAC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Schedules), or documents expressly incorporated into this Agreement, are hereby incorporated into this Agreement and are hereby made a part hereof as if set out in full in this Agreement. Any capitalized term(s) used in any Exhibits and Schedules (including the Company Disclosure Schedules and the MAAC Disclosure Schedules) annexed hereto or referred to herein but not otherwise defined therein shall have the meaning ascribed to such term(s) in this Agreement. The Schedules shall be arranged in sections and subsections corresponding to the numbered and lettered Sections and subsections set forth in this Agreement. Any item disclosed in the Company Disclosure Schedules or in the MAAC Disclosure Schedules corresponding to any Section or subsection of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(in the case of the Company Disclosure Schedules) or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the case of the MAAC Disclosure Schedules) shall be deemed to have been disclosed with respect to every other section and subsection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4"/>
          </w:cols>
          <w:pgMar w:left="436" w:top="270" w:right="459" w:bottom="1440" w:gutter="0" w:footer="0" w:header="0"/>
        </w:sectPr>
      </w:pPr>
    </w:p>
    <w:bookmarkStart w:id="344" w:name="page345"/>
    <w:bookmarkEnd w:id="344"/>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r>
        <w:rPr>
          <w:rFonts w:ascii="Times New Roman" w:cs="Times New Roman" w:eastAsia="Times New Roman" w:hAnsi="Times New Roman"/>
          <w:sz w:val="18"/>
          <w:szCs w:val="18"/>
          <w:color w:val="auto"/>
        </w:rPr>
        <w:t xml:space="preserve"> (in the case of the Company Disclosure Schedules) or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the case of the MAAC Disclosure Schedules), as applicable, where the relevance of such disclosure to such other Section or subsection is reasonably apparent. The information and disclosures set forth in the Schedules that correspond to the section or subsections of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may not be limited to matters required to be disclosed in the Schedules, and any such additional information or disclosure is for informational purposes only and does not necessarily include other matters of a similar nature.</w:t>
      </w:r>
    </w:p>
    <w:p>
      <w:pPr>
        <w:spacing w:after="0" w:line="176"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8.9 </w:t>
      </w:r>
      <w:r>
        <w:rPr>
          <w:rFonts w:ascii="Times New Roman" w:cs="Times New Roman" w:eastAsia="Times New Roman" w:hAnsi="Times New Roman"/>
          <w:sz w:val="18"/>
          <w:szCs w:val="18"/>
          <w:b w:val="1"/>
          <w:bCs w:val="1"/>
          <w:u w:val="single" w:color="auto"/>
          <w:color w:val="auto"/>
        </w:rPr>
        <w:t>Parties in Interest</w:t>
      </w:r>
      <w:r>
        <w:rPr>
          <w:rFonts w:ascii="Times New Roman" w:cs="Times New Roman" w:eastAsia="Times New Roman" w:hAnsi="Times New Roman"/>
          <w:sz w:val="18"/>
          <w:szCs w:val="18"/>
          <w:color w:val="auto"/>
        </w:rPr>
        <w:t>. This Agreement shall be binding upon and inure solely to the benefit of each Party and its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assigns and, except as provided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the two subsequent sentences of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nothing in this Agreement, express or implied, is intended to or shall confer upon any other Person any rights, benefits or remedies of any nature whatsoever under or by reason of this Agreement. The MAAC Sponsor shall be an express third-party beneficiary of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and the last sentence of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Each of the Non-Party Affiliates shall be an express third-party beneficiary of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8.10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a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3" w:lineRule="exact"/>
        <w:rPr>
          <w:sz w:val="20"/>
          <w:szCs w:val="20"/>
          <w:color w:val="auto"/>
        </w:rPr>
      </w:pPr>
    </w:p>
    <w:p>
      <w:pPr>
        <w:ind w:right="2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8.11 </w:t>
      </w:r>
      <w:r>
        <w:rPr>
          <w:rFonts w:ascii="Times New Roman" w:cs="Times New Roman" w:eastAsia="Times New Roman" w:hAnsi="Times New Roman"/>
          <w:sz w:val="18"/>
          <w:szCs w:val="18"/>
          <w:b w:val="1"/>
          <w:bCs w:val="1"/>
          <w:u w:val="single" w:color="auto"/>
          <w:color w:val="auto"/>
        </w:rPr>
        <w:t>Counterparts; Electronic Signatures</w:t>
      </w:r>
      <w:r>
        <w:rPr>
          <w:rFonts w:ascii="Times New Roman" w:cs="Times New Roman" w:eastAsia="Times New Roman" w:hAnsi="Times New Roman"/>
          <w:sz w:val="18"/>
          <w:szCs w:val="18"/>
          <w:color w:val="auto"/>
        </w:rPr>
        <w:t>. This Agreement and each Ancillary Document (including any of the closing deliverables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or scanned pages shall be effective as delivery of a manually executed counterpart to this Agreement or any such Ancillary Document.</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8.12 </w:t>
      </w:r>
      <w:r>
        <w:rPr>
          <w:rFonts w:ascii="Times New Roman" w:cs="Times New Roman" w:eastAsia="Times New Roman" w:hAnsi="Times New Roman"/>
          <w:sz w:val="18"/>
          <w:szCs w:val="18"/>
          <w:b w:val="1"/>
          <w:bCs w:val="1"/>
          <w:u w:val="single" w:color="auto"/>
          <w:color w:val="auto"/>
        </w:rPr>
        <w:t>Knowledge of Company; Knowledge of MAAC</w:t>
      </w:r>
      <w:r>
        <w:rPr>
          <w:rFonts w:ascii="Times New Roman" w:cs="Times New Roman" w:eastAsia="Times New Roman" w:hAnsi="Times New Roman"/>
          <w:sz w:val="18"/>
          <w:szCs w:val="18"/>
          <w:color w:val="auto"/>
        </w:rPr>
        <w:t>. For all purposes of this Agreement, the phrase “to the Company’s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“known by the Company” and any derivations thereof shall mean as of the date hereof (in the case of the representations and warranties of the Company and Merger Sub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as of the applicable determination date (in the case of any covenants or agreements set forth herein), the actual knowledge of the individuals set forth on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of the Company Disclosure Schedules. For all purposes of this Agreement, the phrase “to MAAC’s knowledge” and “to the knowledge of MAAC” and any derivations thereof shall mean as of the date hereof (in the case of the representations and warranties of MAAC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as of the applicable determination date (in the case of any covenants or agreements set forth herein), the actual knowledge of the individuals set forth on </w:t>
      </w:r>
      <w:r>
        <w:rPr>
          <w:rFonts w:ascii="Times New Roman" w:cs="Times New Roman" w:eastAsia="Times New Roman" w:hAnsi="Times New Roman"/>
          <w:sz w:val="18"/>
          <w:szCs w:val="18"/>
          <w:u w:val="single" w:color="auto"/>
          <w:color w:val="auto"/>
        </w:rPr>
        <w:t>Section 8.12(b)</w:t>
      </w:r>
      <w:r>
        <w:rPr>
          <w:rFonts w:ascii="Times New Roman" w:cs="Times New Roman" w:eastAsia="Times New Roman" w:hAnsi="Times New Roman"/>
          <w:sz w:val="18"/>
          <w:szCs w:val="18"/>
          <w:color w:val="auto"/>
        </w:rPr>
        <w:t xml:space="preserve"> of the MAAC Disclosure Schedules.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xml:space="preserve"> the avoidance of doubt, none of the individuals set forth on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of the Company Disclosure Schedules or </w:t>
      </w:r>
      <w:r>
        <w:rPr>
          <w:rFonts w:ascii="Times New Roman" w:cs="Times New Roman" w:eastAsia="Times New Roman" w:hAnsi="Times New Roman"/>
          <w:sz w:val="18"/>
          <w:szCs w:val="18"/>
          <w:u w:val="single" w:color="auto"/>
          <w:color w:val="auto"/>
        </w:rPr>
        <w:t>Section 8.12(b)</w:t>
      </w:r>
      <w:r>
        <w:rPr>
          <w:rFonts w:ascii="Times New Roman" w:cs="Times New Roman" w:eastAsia="Times New Roman" w:hAnsi="Times New Roman"/>
          <w:sz w:val="18"/>
          <w:szCs w:val="18"/>
          <w:color w:val="auto"/>
        </w:rPr>
        <w:t xml:space="preserve"> of the MAAC Disclosure Schedules shall have any personal Liability or obligations regarding such knowledge.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440" w:top="270" w:right="479" w:bottom="1440" w:gutter="0" w:footer="0" w:header="0"/>
        </w:sectPr>
      </w:pPr>
    </w:p>
    <w:bookmarkStart w:id="345" w:name="page346"/>
    <w:bookmarkEnd w:id="345"/>
    <w:p>
      <w:pPr>
        <w:ind w:left="4"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8.13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Except for claims pursuant to any Ancillary Document by any party(ies) thereto against any Company Non-Party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or any MAAC Non-Party Affiliate (each, a “</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party thereto on the terms and subject to the conditions thereunder, each Party agrees on behalf of itself and on behalf of the Company Non-Party Affiliates, in the case of the Company, and the MAAC Non-Party Affiliates, in the case of MAAC, that (a) this Agreement may only be enforced against, and any action for breach of this Agreement may only be made against, the Parties, and no claims of any nature whatsoever arising under or relating to this Agreement, the negotiation hereof or its subject matter, or the transactions contemplated hereby shall be asserted against any Non-Party Affiliate, and (b) without limiting the generality of the foregoing, none of the Non-Party Affiliates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except as expressly provided herein.</w:t>
      </w:r>
    </w:p>
    <w:p>
      <w:pPr>
        <w:spacing w:after="0" w:line="188" w:lineRule="exact"/>
        <w:rPr>
          <w:sz w:val="20"/>
          <w:szCs w:val="20"/>
          <w:color w:val="auto"/>
        </w:rPr>
      </w:pPr>
    </w:p>
    <w:p>
      <w:pPr>
        <w:jc w:val="both"/>
        <w:ind w:left="4"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8.14 </w:t>
      </w:r>
      <w:r>
        <w:rPr>
          <w:rFonts w:ascii="Times New Roman" w:cs="Times New Roman" w:eastAsia="Times New Roman" w:hAnsi="Times New Roman"/>
          <w:sz w:val="17"/>
          <w:szCs w:val="17"/>
          <w:b w:val="1"/>
          <w:bCs w:val="1"/>
          <w:u w:val="single" w:color="auto"/>
          <w:color w:val="auto"/>
        </w:rPr>
        <w:t>Extension; Waiver</w:t>
      </w:r>
      <w:r>
        <w:rPr>
          <w:rFonts w:ascii="Times New Roman" w:cs="Times New Roman" w:eastAsia="Times New Roman" w:hAnsi="Times New Roman"/>
          <w:sz w:val="17"/>
          <w:szCs w:val="17"/>
          <w:color w:val="auto"/>
        </w:rPr>
        <w:t>. The Company may (a) extend the time for the performance of any of the obligations or other acts of MAAC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forth herein, (b) waive any inaccuracies in the representations and warranties of MAAC set forth herein or (c) waive compliance by MAAC with any of the agreements or conditions set forth herein. MAAC may (i) extend the time for the performance of any of the obligations or other acts of the Company or Merger Sub set forth herein, (ii) waive any inaccuracies in the representations and warranties of the Company or Merger Sub set forth herein or</w:t>
      </w:r>
    </w:p>
    <w:p>
      <w:pPr>
        <w:ind w:left="4" w:right="40" w:hanging="4"/>
        <w:spacing w:after="0" w:line="252" w:lineRule="auto"/>
        <w:tabs>
          <w:tab w:leader="none" w:pos="31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by the Company or Merger Sub with any of the agreements or conditions set forth herein. Any agreement on the part of any such Party to any such extension or waiver shall be valid only if set forth in a written instrument signed on behalf of such Party.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 Notwithstanding the foregoing or anything to the contrary in this Agreement, any extension or waiver following the Closing with respect to any MAAC Sponsor Specified Provision or, prior to the Closing, Section 6.2(f) shall also require the prior written consent of the MAAC Sponsor.</w:t>
      </w:r>
    </w:p>
    <w:p>
      <w:pPr>
        <w:spacing w:after="0" w:line="186"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8.15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EACH HEREBY WAIVES, TO THE FULLEST EXTENT PERMITTED BY LAW,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TRIAL BY JURY OF ANY PROCEEDING, CLAIM, DEMAND, ACTION, OR CAUSE OF ACTION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4"/>
          </w:cols>
          <w:pgMar w:left="436" w:top="266" w:right="479" w:bottom="1440" w:gutter="0" w:footer="0" w:header="0"/>
        </w:sectPr>
      </w:pPr>
    </w:p>
    <w:bookmarkStart w:id="346" w:name="page347"/>
    <w:bookmarkEnd w:id="346"/>
    <w:p>
      <w:pPr>
        <w:ind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8.15</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8.16 </w:t>
      </w:r>
      <w:r>
        <w:rPr>
          <w:rFonts w:ascii="Times New Roman" w:cs="Times New Roman" w:eastAsia="Times New Roman" w:hAnsi="Times New Roman"/>
          <w:sz w:val="18"/>
          <w:szCs w:val="18"/>
          <w:b w:val="1"/>
          <w:bCs w:val="1"/>
          <w:u w:val="single" w:color="auto"/>
          <w:color w:val="auto"/>
        </w:rPr>
        <w:t>Submission to Jurisdiction</w:t>
      </w:r>
      <w:r>
        <w:rPr>
          <w:rFonts w:ascii="Times New Roman" w:cs="Times New Roman" w:eastAsia="Times New Roman" w:hAnsi="Times New Roman"/>
          <w:sz w:val="18"/>
          <w:szCs w:val="18"/>
          <w:color w:val="auto"/>
        </w:rPr>
        <w:t>. Each of the Parties irrevocably and unconditionally submits to the exclusive jurisdiction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Chancery Court of the State of Delaware (or, if the Chancery Court of the State of Delaware declines to accept jurisdiction, any state or federal court within State of New York, New York County), for the purposes of any Proceeding, claim, demand, action or cause of action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be effective service of process for any such Proceeding, claim, demand, action or cause of action.</w:t>
      </w:r>
    </w:p>
    <w:p>
      <w:pPr>
        <w:spacing w:after="0" w:line="19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8.17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exclusive of any other remedy conferred hereby, or by law or equity upon such Party, and the exercise by a Party of any one remedy will not preclude the exercise of any other remedy. The Parties agree that irreparable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0"/>
          </w:cols>
          <w:pgMar w:left="440" w:top="270" w:right="479" w:bottom="1440" w:gutter="0" w:footer="0" w:header="0"/>
        </w:sectPr>
      </w:pPr>
    </w:p>
    <w:bookmarkStart w:id="347" w:name="page348"/>
    <w:bookmarkEnd w:id="347"/>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seek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8.18 </w:t>
      </w:r>
      <w:r>
        <w:rPr>
          <w:rFonts w:ascii="Times New Roman" w:cs="Times New Roman" w:eastAsia="Times New Roman" w:hAnsi="Times New Roman"/>
          <w:sz w:val="18"/>
          <w:szCs w:val="18"/>
          <w:b w:val="1"/>
          <w:bCs w:val="1"/>
          <w:u w:val="single" w:color="auto"/>
          <w:color w:val="auto"/>
        </w:rPr>
        <w:t>Trust Account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2" w:lineRule="auto"/>
        <w:tabs>
          <w:tab w:leader="none" w:pos="123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final prospectus of MAAC, filed with the SEC (File No. 333-248802) on October 9,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and Merger Sub each acknowledges and agrees and understands that MAAC has established one or more trust accounts (collectively,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the holders of MAAC Class A Shares, and MAAC may disburse monies from the Trust Account only in the express circumstances described in the Prospectus. For and in consideration of MAAC entering into this Agreement, and for other good and valuable consideration, the receipt and sufficiency of which is hereby acknowledged, the Company and Merger Sub each hereby agrees on behalf of itself and its Representatives that, notwithstanding the foregoing or anything to the contrary in this Agreement, none of the Company, Merger Sub or any of their respective Representatives does now or shall at any time hereafter have any right, title, interest or claim of any kind in or to any monies in the Trust Account or distributions therefrom, or make any claim against the Trust Account (including any distributions therefrom), regardless of whether such claim arises as a result of, in connection with or relating in any way to, this Agreement or any proposed or actual business relationship between MAAC or any of its Representatives, on the one hand, and the Company, Merger Sub or any of their respective Representatives, on the other hand,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Trust Account Released Claims</w:t>
      </w:r>
      <w:r>
        <w:rPr>
          <w:rFonts w:ascii="Times New Roman" w:cs="Times New Roman" w:eastAsia="Times New Roman" w:hAnsi="Times New Roman"/>
          <w:sz w:val="18"/>
          <w:szCs w:val="18"/>
          <w:color w:val="auto"/>
        </w:rPr>
        <w:t>”). The Company and Merger Sub each, on its own behalf and on behalf of its Representatives, hereby irrevocably waives any Trust Account Released Claims that it or any of its Representatives may have against the Trust Account (including any distributions therefrom to the holders of MAAC Class A Shares or in respect of deferred underwriting commissions from the IPO) now or in the future as a result of, or arising out of, any negotiations, or Contracts with MAAC or its Representatives and will not seek recourse against the Trust Account (including any distributions therefrom to the holders of MAAC Class A Shares or in respect of deferred underwriting commissions from the IPO) for any reason whatsoever (including for an alleged breach of any agreement with MAAC or its Affiliates).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348" w:name="page349"/>
    <w:bookmarkEnd w:id="348"/>
    <w:p>
      <w:pPr>
        <w:ind w:left="-40" w:firstLine="987"/>
        <w:spacing w:after="0" w:line="254" w:lineRule="auto"/>
        <w:tabs>
          <w:tab w:leader="none" w:pos="120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w:t>
      </w:r>
      <w:r>
        <w:rPr>
          <w:rFonts w:ascii="Times New Roman" w:cs="Times New Roman" w:eastAsia="Times New Roman" w:hAnsi="Times New Roman"/>
          <w:sz w:val="18"/>
          <w:szCs w:val="18"/>
          <w:u w:val="single" w:color="auto"/>
          <w:color w:val="auto"/>
        </w:rPr>
        <w:t>Section 8.18(a)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8.18(a)</w:t>
      </w:r>
      <w:r>
        <w:rPr>
          <w:rFonts w:ascii="Times New Roman" w:cs="Times New Roman" w:eastAsia="Times New Roman" w:hAnsi="Times New Roman"/>
          <w:sz w:val="18"/>
          <w:szCs w:val="18"/>
          <w:color w:val="auto"/>
        </w:rPr>
        <w:t xml:space="preserve"> shall not serve to limit or prohibit (and the Trust Account Released Claims shall not include) the Company’s right to pursue a claim against (i) MAAC under, and on the terms and subject to the conditions in, this Agreement or under, and on the terms and subject to the conditions in, any Ancillary Document to which it and MAAC is a party or (ii) any other party to an Ancillary Document to which it is a party under, and on the terms and subject to the conditions in, such Ancillary Document, in the case of either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for legal relief against monies or other assets held outside the Trust Account or for specific performance or other equitable relief to the extent not prohibited by this Agreement or such Ancillary Document (including a claim for MAAC to specifically perform its obligations under this Agreement pursuant to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If the terms of the Confidentiality Agreement or any Ancillary Document conflicts with the terms of this </w:t>
      </w:r>
      <w:r>
        <w:rPr>
          <w:rFonts w:ascii="Times New Roman" w:cs="Times New Roman" w:eastAsia="Times New Roman" w:hAnsi="Times New Roman"/>
          <w:sz w:val="18"/>
          <w:szCs w:val="18"/>
          <w:u w:val="single" w:color="auto"/>
          <w:color w:val="auto"/>
        </w:rPr>
        <w:t>Section 8.18(b)</w:t>
      </w:r>
      <w:r>
        <w:rPr>
          <w:rFonts w:ascii="Times New Roman" w:cs="Times New Roman" w:eastAsia="Times New Roman" w:hAnsi="Times New Roman"/>
          <w:sz w:val="18"/>
          <w:szCs w:val="18"/>
          <w:color w:val="auto"/>
        </w:rPr>
        <w:t xml:space="preserve">, the terms of this </w:t>
      </w:r>
      <w:r>
        <w:rPr>
          <w:rFonts w:ascii="Times New Roman" w:cs="Times New Roman" w:eastAsia="Times New Roman" w:hAnsi="Times New Roman"/>
          <w:sz w:val="18"/>
          <w:szCs w:val="18"/>
          <w:u w:val="single" w:color="auto"/>
          <w:color w:val="auto"/>
        </w:rPr>
        <w:t>Section 8.18(b)</w:t>
      </w:r>
      <w:r>
        <w:rPr>
          <w:rFonts w:ascii="Times New Roman" w:cs="Times New Roman" w:eastAsia="Times New Roman" w:hAnsi="Times New Roman"/>
          <w:sz w:val="18"/>
          <w:szCs w:val="18"/>
          <w:color w:val="auto"/>
        </w:rPr>
        <w:t xml:space="preserve"> shall govern and control to the extent of such conflict.</w:t>
      </w:r>
    </w:p>
    <w:p>
      <w:pPr>
        <w:spacing w:after="0" w:line="192"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20"/>
          </w:cols>
          <w:pgMar w:left="480" w:top="270" w:right="499" w:bottom="1440" w:gutter="0" w:footer="0" w:header="0"/>
        </w:sectPr>
      </w:pPr>
    </w:p>
    <w:bookmarkStart w:id="349" w:name="page350"/>
    <w:bookmarkEnd w:id="349"/>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each of the Parties has caused this Business Combination Agreement to be duly executed on its behalf as of the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year first 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MONTES ARCHIMEDES ACQUISITION CORP.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Maria C. Walker</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Maria C. Walker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ROIVANT SCIENCES LTD.</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Marianne Romeo</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Marianne Romeo</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Head, Global Transactions &amp; Risk Management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RHINE MERGER SUB, INC.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Gline</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Gline</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Business Combination Agreement]</w:t>
      </w:r>
    </w:p>
    <w:p>
      <w:pPr>
        <w:sectPr>
          <w:pgSz w:w="11900" w:h="16838" w:orient="portrait"/>
          <w:cols w:equalWidth="0" w:num="1">
            <w:col w:w="11020"/>
          </w:cols>
          <w:pgMar w:left="440" w:top="266" w:right="439"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18"/>
          <w:szCs w:val="18"/>
          <w:b w:val="1"/>
          <w:bCs w:val="1"/>
          <w:color w:val="auto"/>
        </w:rPr>
        <w:t>Exhibit 2.9</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BUSINESS COMBINATION AGREEMENT</w:t>
      </w:r>
    </w:p>
    <w:p>
      <w:pPr>
        <w:spacing w:after="0" w:line="207" w:lineRule="exact"/>
        <w:rPr>
          <w:sz w:val="20"/>
          <w:szCs w:val="20"/>
          <w:color w:val="auto"/>
        </w:rPr>
      </w:pPr>
    </w:p>
    <w:p>
      <w:pPr>
        <w:ind w:right="760" w:firstLine="440"/>
        <w:spacing w:after="0" w:line="289" w:lineRule="auto"/>
        <w:rPr>
          <w:sz w:val="20"/>
          <w:szCs w:val="20"/>
          <w:color w:val="auto"/>
        </w:rPr>
      </w:pPr>
      <w:r>
        <w:rPr>
          <w:rFonts w:ascii="Times New Roman" w:cs="Times New Roman" w:eastAsia="Times New Roman" w:hAnsi="Times New Roman"/>
          <w:sz w:val="17"/>
          <w:szCs w:val="17"/>
          <w:color w:val="auto"/>
        </w:rPr>
        <w:t>This Amendment No. 1 to the Business Combination Agreement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is made as of June 9, 2021, by and among Montes Archimedes Acquisition Corp., a Delaware corporation (“</w:t>
      </w:r>
      <w:r>
        <w:rPr>
          <w:rFonts w:ascii="Times New Roman" w:cs="Times New Roman" w:eastAsia="Times New Roman" w:hAnsi="Times New Roman"/>
          <w:sz w:val="17"/>
          <w:szCs w:val="17"/>
          <w:u w:val="single" w:color="auto"/>
          <w:color w:val="auto"/>
        </w:rPr>
        <w:t>MAAC</w:t>
      </w:r>
      <w:r>
        <w:rPr>
          <w:rFonts w:ascii="Times New Roman" w:cs="Times New Roman" w:eastAsia="Times New Roman" w:hAnsi="Times New Roman"/>
          <w:sz w:val="17"/>
          <w:szCs w:val="17"/>
          <w:color w:val="auto"/>
        </w:rPr>
        <w:t>”), and Roivant Sciences Ltd., a Bermuda exempted limited company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Capitalized terms used, but not otherwise defined herein, shall have the meaning given to them in the BCA (as defined below).</w:t>
      </w:r>
    </w:p>
    <w:p>
      <w:pPr>
        <w:spacing w:after="0" w:line="15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WHEREAS, on May 1, 2021 (a) MAAC, the Company and Rhine Merger Sub, Inc., a Delaware corporation and a direct wholly owned Subsidiary of the Company, entered into that certain Business Combination Agreement (as amended, amended and restated, supplemented or otherwise modified from time to time in accordance with its terms, the “</w:t>
      </w:r>
      <w:r>
        <w:rPr>
          <w:rFonts w:ascii="Times New Roman" w:cs="Times New Roman" w:eastAsia="Times New Roman" w:hAnsi="Times New Roman"/>
          <w:sz w:val="18"/>
          <w:szCs w:val="18"/>
          <w:u w:val="single" w:color="auto"/>
          <w:color w:val="auto"/>
        </w:rPr>
        <w:t>BCA</w:t>
      </w:r>
      <w:r>
        <w:rPr>
          <w:rFonts w:ascii="Times New Roman" w:cs="Times New Roman" w:eastAsia="Times New Roman" w:hAnsi="Times New Roman"/>
          <w:sz w:val="18"/>
          <w:szCs w:val="18"/>
          <w:color w:val="auto"/>
        </w:rPr>
        <w:t>”) and (b) the Company, MAAC, Patient Square Capital LLC, a Delaware limited liability company (the “</w:t>
      </w:r>
      <w:r>
        <w:rPr>
          <w:rFonts w:ascii="Times New Roman" w:cs="Times New Roman" w:eastAsia="Times New Roman" w:hAnsi="Times New Roman"/>
          <w:sz w:val="18"/>
          <w:szCs w:val="18"/>
          <w:u w:val="single" w:color="auto"/>
          <w:color w:val="auto"/>
        </w:rPr>
        <w:t>MAAC Sponsor</w:t>
      </w:r>
      <w:r>
        <w:rPr>
          <w:rFonts w:ascii="Times New Roman" w:cs="Times New Roman" w:eastAsia="Times New Roman" w:hAnsi="Times New Roman"/>
          <w:sz w:val="18"/>
          <w:szCs w:val="18"/>
          <w:color w:val="auto"/>
        </w:rPr>
        <w:t>”), and, solely for purposes of certain provisions therein, each of James C. Momtazee, George Barrett, Maria C. Walker and Steve Oesterle entered into that certain Sponsor Support Agreement (as amended, amended and restated, supplemented or otherwise modified from time to time in accordance with its terms, the “</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8.3 of the BCA, the BCA may be amended or modified only by a written agreement executed and delivered by MAAC and the Company;</w:t>
      </w:r>
    </w:p>
    <w:p>
      <w:pPr>
        <w:spacing w:after="0" w:line="162" w:lineRule="exact"/>
        <w:rPr>
          <w:sz w:val="20"/>
          <w:szCs w:val="20"/>
          <w:color w:val="auto"/>
        </w:rPr>
      </w:pPr>
    </w:p>
    <w:p>
      <w:pPr>
        <w:ind w:right="100" w:firstLine="440"/>
        <w:spacing w:after="0" w:line="272" w:lineRule="auto"/>
        <w:rPr>
          <w:sz w:val="20"/>
          <w:szCs w:val="20"/>
          <w:color w:val="auto"/>
        </w:rPr>
      </w:pPr>
      <w:r>
        <w:rPr>
          <w:rFonts w:ascii="Times New Roman" w:cs="Times New Roman" w:eastAsia="Times New Roman" w:hAnsi="Times New Roman"/>
          <w:sz w:val="17"/>
          <w:szCs w:val="17"/>
          <w:color w:val="auto"/>
        </w:rPr>
        <w:t>WHEREAS, on the date hereof (a) MAAC, the Company, the MAAC Sponsor, James C. Momtazee, George Barrett, Maria C. Walker and Steve Oesterle are entering into Amendment No. 1 to the Sponsor Support Agreement in order to provide that, among other things, (i) each MAAC Class B Share held by a MAAC Independent Director or a MAAC Independent Director Transferee (each as defined in Section 1 below) issued and outstanding immediately prior to the Effective Time be converted as of the Effective Time into the number of Company Post-Closing Common Shares equal to the Sponsor Exchange Ratio, on the terms and subject to the conditions set forth in the BCA and the Sponsor Support Agreement, and (ii) a portion of the Company Post-Closing Common Shares that are issued to the MAAC Independent Directors or any MAAC Independent Director Transferee upon conversion of the MAAC Class B Shares in the Merger be subject to the vesting provisions set forth in the Sponsor Support Agreement, and (b) each MAAC Independent Director, on the one hand, and the Company, on the other hand, is entering into a Lock-Up Agreement; and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each of MAAC and the Company desire to amend the BCA in connection with agreements described in the preceding recital.</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for the mutual promises made herein and other good and valuable consideration, the receipt and sufficiency of which are hereby acknowledged, MAAC and the Company hereby agree to amend the BCA as follows:</w:t>
      </w:r>
    </w:p>
    <w:p>
      <w:pPr>
        <w:spacing w:after="0" w:line="162" w:lineRule="exact"/>
        <w:rPr>
          <w:sz w:val="20"/>
          <w:szCs w:val="20"/>
          <w:color w:val="auto"/>
        </w:rPr>
      </w:pPr>
    </w:p>
    <w:p>
      <w:pPr>
        <w:ind w:left="620" w:hanging="184"/>
        <w:spacing w:after="0"/>
        <w:tabs>
          <w:tab w:leader="none" w:pos="6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BCA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BCA is hereby amended by adding the following new definitions in the appropriate alphabetical order: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Independent Directors</w:t>
      </w:r>
      <w:r>
        <w:rPr>
          <w:rFonts w:ascii="Times New Roman" w:cs="Times New Roman" w:eastAsia="Times New Roman" w:hAnsi="Times New Roman"/>
          <w:sz w:val="18"/>
          <w:szCs w:val="18"/>
          <w:color w:val="auto"/>
        </w:rPr>
        <w:t>” means, collectively, George Barrett and Steve Oesterle.</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MAAC Independent Director Transferee</w:t>
      </w:r>
      <w:r>
        <w:rPr>
          <w:rFonts w:ascii="Times New Roman" w:cs="Times New Roman" w:eastAsia="Times New Roman" w:hAnsi="Times New Roman"/>
          <w:sz w:val="18"/>
          <w:szCs w:val="18"/>
          <w:color w:val="auto"/>
        </w:rPr>
        <w:t>” means any transferee of MAAC Class B Shares originally held by a MAAC Independent Director, prior to the Effective Time.</w:t>
      </w:r>
    </w:p>
    <w:p>
      <w:pPr>
        <w:sectPr>
          <w:pgSz w:w="11900" w:h="16838" w:orient="portrait"/>
          <w:cols w:equalWidth="0" w:num="1">
            <w:col w:w="11020"/>
          </w:cols>
          <w:pgMar w:left="440" w:top="117" w:right="439" w:bottom="1440" w:gutter="0" w:footer="0" w:header="0"/>
        </w:sectPr>
      </w:pPr>
    </w:p>
    <w:bookmarkStart w:id="351" w:name="page352"/>
    <w:bookmarkEnd w:id="351"/>
    <w:p>
      <w:pPr>
        <w:ind w:left="8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Section 2.1(b)(vii) of the BCA is hereby amended and restated in its entirety and replaced with the following:</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“(vii) At the Effective Time, by virtue of the Merger and without any action on the part of any Party or any other Person, (A) each</w:t>
      </w:r>
    </w:p>
    <w:p>
      <w:pPr>
        <w:spacing w:after="0" w:line="27" w:lineRule="exact"/>
        <w:rPr>
          <w:sz w:val="20"/>
          <w:szCs w:val="20"/>
          <w:color w:val="auto"/>
        </w:rPr>
      </w:pPr>
    </w:p>
    <w:p>
      <w:pPr>
        <w:ind w:left="4" w:hanging="4"/>
        <w:spacing w:after="0" w:line="251" w:lineRule="auto"/>
        <w:tabs>
          <w:tab w:leader="none" w:pos="25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MAAC Class A Share and (y) each MAAC Class B Share that is not held by the MAAC Sponsor, any Affiliate of the MAAC Sponsor, any MAAC Independent Director or any MAAC Independent Director Transferee (other than the MAAC Class A Shares and MAAC Class B Shares canceled and extinguished pursuant to </w:t>
      </w:r>
      <w:r>
        <w:rPr>
          <w:rFonts w:ascii="Times New Roman" w:cs="Times New Roman" w:eastAsia="Times New Roman" w:hAnsi="Times New Roman"/>
          <w:sz w:val="18"/>
          <w:szCs w:val="18"/>
          <w:u w:val="single" w:color="auto"/>
          <w:color w:val="auto"/>
        </w:rPr>
        <w:t>Section 2.1(b)(ix)</w:t>
      </w:r>
      <w:r>
        <w:rPr>
          <w:rFonts w:ascii="Times New Roman" w:cs="Times New Roman" w:eastAsia="Times New Roman" w:hAnsi="Times New Roman"/>
          <w:sz w:val="18"/>
          <w:szCs w:val="18"/>
          <w:color w:val="auto"/>
        </w:rPr>
        <w:t xml:space="preserve">) issued and outstanding as of immediately prior to the Effective Time shall be automatically canceled and extinguished and converted into one Company Post-Closing Common Share and (B) each MAAC Class B Share issued and outstanding and held by the MAAC Sponsor, any Affiliate of the MAAC Sponsor, any MAAC Independent Director or any MAAC Independent Director Transferee as of immediately prior to the Effective Time shall be automatically canceled and extinguished and converted into the number of Company Post-Closing Common Shares equal to the Sponsor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 number of Company Post-Closing Common Shares owned by the MAAC Sponsor, any Affiliate of the MAAC Sponsor, any MAAC Independent Director or any MAAC Independent Director Transferee, determined pursuant to the Sponsor Support Agreement, shall become subject to the vesting and other terms and conditions set forth in the Sponsor Support Agreement at the Effective Time. As of the Effective Time, all MAAC Shares shall no longer be outstanding and shall automatically be canceled and shall cease to exist, and shall thereafter represent the number of Company Post-Closing Common Shares into which such MAAC Shares were converted pursuant to this Agreement. From and after the Effective Time, each Pre-Closing MAAC Shareholder’s certificate(s)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if any, evidencing ownership of MAAC Shares and MAAC Shares held in book-entry form issued and outstanding immediately prior to the Effective Time shall each cease to have any rights with respect to such MAAC Shares, except as otherwise expressly provided for herein or under applicable Law.”</w:t>
      </w:r>
    </w:p>
    <w:p>
      <w:pPr>
        <w:spacing w:after="0" w:line="82"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 of the BCA is hereby amended and restated in its entirety and replaced with the following:</w:t>
      </w:r>
    </w:p>
    <w:p>
      <w:pPr>
        <w:spacing w:after="0" w:line="221"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Fractional Shares</w:t>
      </w:r>
      <w:r>
        <w:rPr>
          <w:rFonts w:ascii="Times New Roman" w:cs="Times New Roman" w:eastAsia="Times New Roman" w:hAnsi="Times New Roman"/>
          <w:sz w:val="18"/>
          <w:szCs w:val="18"/>
          <w:color w:val="auto"/>
        </w:rPr>
        <w:t>. Notwithstanding the foregoing or anything to the contrary herein, no fractional Company Post-Closing Common Shares shall be issued in connection with the transactions contemplated hereby. Except with respect to Company Equity Awards, all fractional Company Post-Closing Common Shares that each Company Equityholder will have a right to receive in connection with the Company Pre-Closing Steps, as well as (a) all fractional Company Post-Closing Common Shares that the MAAC Sponsor and its Affiliates as holders of MAAC Class B Shares will have a right to receive in connection with the Merger and (b) all fractional Company Post-Closing Common Shares that each MAAC Independent Director and the applicable MAAC Independent Director Transferee(s) as holders of MAAC Class B Shares will have a right to receive in connection with the Merger, shall, in each case be aggregated and, if a fractional share results from such aggregation, such fractional share shall be rounded down to the nearest whole share.”</w:t>
      </w:r>
    </w:p>
    <w:p>
      <w:pPr>
        <w:spacing w:after="0" w:line="189" w:lineRule="exact"/>
        <w:rPr>
          <w:sz w:val="20"/>
          <w:szCs w:val="20"/>
          <w:color w:val="auto"/>
        </w:rPr>
      </w:pPr>
    </w:p>
    <w:p>
      <w:pPr>
        <w:ind w:left="4" w:right="40" w:firstLine="436"/>
        <w:spacing w:after="0" w:line="258" w:lineRule="auto"/>
        <w:tabs>
          <w:tab w:leader="none" w:pos="6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Amendments and Modifications</w:t>
      </w:r>
      <w:r>
        <w:rPr>
          <w:rFonts w:ascii="Times New Roman" w:cs="Times New Roman" w:eastAsia="Times New Roman" w:hAnsi="Times New Roman"/>
          <w:sz w:val="18"/>
          <w:szCs w:val="18"/>
          <w:color w:val="auto"/>
        </w:rPr>
        <w:t>. Except as expressly amended hereby, the BCA shall remain unaltered and in full force and effect and the respective terms, conditions or covenants thereof are hereby in all respects confirmed. Whenever the BCA is referred to in any agreement, document or other instrument, such reference will be to the BCA as amended by this Amendment. For the avoidance of doubt, each reference in the BCA, as amended hereby, to “the date hereof”, the “date of this Agreement” and derivations thereof and other similar phrases shall continue to refer to May 1, 2021.</w:t>
      </w:r>
    </w:p>
    <w:p>
      <w:pPr>
        <w:spacing w:after="0" w:line="18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8.5, 8.7, 8.10, 8.11, 8.15 and 8.16 of the BCA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Amendment to be signed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MONTES ARCHIMEDES ACQUISITION CORP.</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Maria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Maria C. Walker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Marianne Romeo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Marianne Romeo</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Head, Global Transactions &amp; Risk Management</w:t>
      </w:r>
    </w:p>
    <w:p>
      <w:pPr>
        <w:spacing w:after="0" w:line="2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[Signature Page to Amendment No. 1 to the Business Combination Agreement]</w:t>
      </w:r>
    </w:p>
    <w:p>
      <w:pPr>
        <w:sectPr>
          <w:pgSz w:w="11900" w:h="16838" w:orient="portrait"/>
          <w:cols w:equalWidth="0" w:num="1">
            <w:col w:w="10220"/>
          </w:cols>
          <w:pgMar w:left="880" w:top="270" w:right="79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REGISTRATION RIGHTS AGREEMENT</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THIS THIRD AMENDED AND RESTATED REGISTRATION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May 1, 2021, by and among (i) Roivant Sciences Ltd., a Bermuda exempted limited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(ii) the Dexxon Investors (as defined herein), (iii) the QVT Investors (as defined herein), (iv) the Viking Investors (as defined herein), (v) SVF Investments (UK) Limited (“</w:t>
      </w:r>
      <w:r>
        <w:rPr>
          <w:rFonts w:ascii="Times New Roman" w:cs="Times New Roman" w:eastAsia="Times New Roman" w:hAnsi="Times New Roman"/>
          <w:sz w:val="18"/>
          <w:szCs w:val="18"/>
          <w:b w:val="1"/>
          <w:bCs w:val="1"/>
          <w:color w:val="auto"/>
        </w:rPr>
        <w:t>Softbank</w:t>
      </w:r>
      <w:r>
        <w:rPr>
          <w:rFonts w:ascii="Times New Roman" w:cs="Times New Roman" w:eastAsia="Times New Roman" w:hAnsi="Times New Roman"/>
          <w:sz w:val="18"/>
          <w:szCs w:val="18"/>
          <w:color w:val="auto"/>
        </w:rPr>
        <w:t>”), (vi) Sumitomo Dainippon Pharma Co., Ltd. (“</w:t>
      </w:r>
      <w:r>
        <w:rPr>
          <w:rFonts w:ascii="Times New Roman" w:cs="Times New Roman" w:eastAsia="Times New Roman" w:hAnsi="Times New Roman"/>
          <w:sz w:val="18"/>
          <w:szCs w:val="18"/>
          <w:b w:val="1"/>
          <w:bCs w:val="1"/>
          <w:color w:val="auto"/>
        </w:rPr>
        <w:t>Sumitomo</w:t>
      </w:r>
      <w:r>
        <w:rPr>
          <w:rFonts w:ascii="Times New Roman" w:cs="Times New Roman" w:eastAsia="Times New Roman" w:hAnsi="Times New Roman"/>
          <w:sz w:val="18"/>
          <w:szCs w:val="18"/>
          <w:color w:val="auto"/>
        </w:rPr>
        <w:t>”), (vii) Vivek Ramaswamy (the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 xml:space="preserve">”), (viii) the parties listed on </w:t>
      </w:r>
      <w:r>
        <w:rPr>
          <w:rFonts w:ascii="Times New Roman" w:cs="Times New Roman" w:eastAsia="Times New Roman" w:hAnsi="Times New Roman"/>
          <w:sz w:val="18"/>
          <w:szCs w:val="18"/>
          <w:b w:val="1"/>
          <w:bCs w:val="1"/>
          <w:color w:val="auto"/>
        </w:rPr>
        <w:t>Exhibit A-1</w:t>
      </w:r>
      <w:r>
        <w:rPr>
          <w:rFonts w:ascii="Times New Roman" w:cs="Times New Roman" w:eastAsia="Times New Roman" w:hAnsi="Times New Roman"/>
          <w:sz w:val="18"/>
          <w:szCs w:val="18"/>
          <w:color w:val="auto"/>
        </w:rPr>
        <w:t xml:space="preserve"> hereto who signed joinder agreements in connection with the Original Registration Rights Agreement, the First Amended and Restated Registration Rights Agreement or the Second Amended and Restated Registration Rights Agreement (each, as defined below), as the case may be (the “</w:t>
      </w:r>
      <w:r>
        <w:rPr>
          <w:rFonts w:ascii="Times New Roman" w:cs="Times New Roman" w:eastAsia="Times New Roman" w:hAnsi="Times New Roman"/>
          <w:sz w:val="18"/>
          <w:szCs w:val="18"/>
          <w:b w:val="1"/>
          <w:bCs w:val="1"/>
          <w:color w:val="auto"/>
        </w:rPr>
        <w:t>Joinder Parties</w:t>
      </w:r>
      <w:r>
        <w:rPr>
          <w:rFonts w:ascii="Times New Roman" w:cs="Times New Roman" w:eastAsia="Times New Roman" w:hAnsi="Times New Roman"/>
          <w:sz w:val="18"/>
          <w:szCs w:val="18"/>
          <w:color w:val="auto"/>
        </w:rPr>
        <w:t>” and together with the Dexxon Investors, the QVT Investors, the Viking Investors, Softbank, Sumitomo, the Founder and each of their respective Permitted Transferees who, at any time, acquire securities of the Company and execute a counterpart of this Agreement or who otherwise agree to be bound by this Agreement,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and (ix) each of the other Persons who, at any time, acquire securities of the Company or shares or rights, convertible into, exchangeable for or exercisable for, equity securities of the Company in accordance with the terms hereof, execute a counterpart of this Agreement or otherwise agree to be bound by this Agreement and shall be listed on Exhibit A-2 hereto at such time as such Person entered into a joinder agreement (the “</w:t>
      </w:r>
      <w:r>
        <w:rPr>
          <w:rFonts w:ascii="Times New Roman" w:cs="Times New Roman" w:eastAsia="Times New Roman" w:hAnsi="Times New Roman"/>
          <w:sz w:val="18"/>
          <w:szCs w:val="18"/>
          <w:b w:val="1"/>
          <w:bCs w:val="1"/>
          <w:color w:val="auto"/>
        </w:rPr>
        <w:t>Other Shareholders</w:t>
      </w:r>
      <w:r>
        <w:rPr>
          <w:rFonts w:ascii="Times New Roman" w:cs="Times New Roman" w:eastAsia="Times New Roman" w:hAnsi="Times New Roman"/>
          <w:sz w:val="18"/>
          <w:szCs w:val="18"/>
          <w:color w:val="auto"/>
        </w:rPr>
        <w:t>”). The Other Shareholders and the Investors are collectively referred to herein as the “Shareholders.” The Company, the Investors and the Other Shareholders are sometimes collectively referred to herein as the “Parties”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Dexxon, the QVT Investors, the Founder and the Joinder Parties were parties to that certain Registration Rights Agreement, dated May 5, 2014 (the “</w:t>
      </w:r>
      <w:r>
        <w:rPr>
          <w:rFonts w:ascii="Times New Roman" w:cs="Times New Roman" w:eastAsia="Times New Roman" w:hAnsi="Times New Roman"/>
          <w:sz w:val="18"/>
          <w:szCs w:val="18"/>
          <w:b w:val="1"/>
          <w:bCs w:val="1"/>
          <w:color w:val="auto"/>
        </w:rPr>
        <w:t>Original Registration Rights Agreement</w:t>
      </w:r>
      <w:r>
        <w:rPr>
          <w:rFonts w:ascii="Times New Roman" w:cs="Times New Roman" w:eastAsia="Times New Roman" w:hAnsi="Times New Roman"/>
          <w:sz w:val="18"/>
          <w:szCs w:val="18"/>
          <w:color w:val="auto"/>
        </w:rPr>
        <w:t>”) pursuant to which the Company undertook to grant certain registration rights to Dexxon, the QVT Investors, the Founder and the Joinder Parties in connection with certain securities of the Company and BVC Ltd., a Bermuda exempted limited liability company (“</w:t>
      </w:r>
      <w:r>
        <w:rPr>
          <w:rFonts w:ascii="Times New Roman" w:cs="Times New Roman" w:eastAsia="Times New Roman" w:hAnsi="Times New Roman"/>
          <w:sz w:val="18"/>
          <w:szCs w:val="18"/>
          <w:b w:val="1"/>
          <w:bCs w:val="1"/>
          <w:color w:val="auto"/>
        </w:rPr>
        <w:t>BVC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WHEREAS, as of December 4, 2015, the Company and BVC completed a statutory merger under Bermuda law, as a result of which BVC merged with and into the Company, with the Company as the surviving entity and in connection with which the Company, Dexxon, the QVT Investors, the Viking Investors, the Founder and the Joinder Parties entered into that certain Amended and Restated Registration Rights Agreement, dated December 8, 2015 (the “</w:t>
      </w:r>
      <w:r>
        <w:rPr>
          <w:rFonts w:ascii="Times New Roman" w:cs="Times New Roman" w:eastAsia="Times New Roman" w:hAnsi="Times New Roman"/>
          <w:sz w:val="18"/>
          <w:szCs w:val="18"/>
          <w:b w:val="1"/>
          <w:bCs w:val="1"/>
          <w:color w:val="auto"/>
        </w:rPr>
        <w:t>First Amended and Restated Registration Rights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the Dexxon Investors, the QVT Investors, the Viking Investors, Softbank, the Founder and the Joinder Parties entered into that certain Second Amended and Restated Registration Rights Agreement, dated September 6, 2017 (the “</w:t>
      </w:r>
      <w:r>
        <w:rPr>
          <w:rFonts w:ascii="Times New Roman" w:cs="Times New Roman" w:eastAsia="Times New Roman" w:hAnsi="Times New Roman"/>
          <w:sz w:val="18"/>
          <w:szCs w:val="18"/>
          <w:b w:val="1"/>
          <w:bCs w:val="1"/>
          <w:color w:val="auto"/>
        </w:rPr>
        <w:t>Second 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for the purpose, among others, of providing certain registration rights to the Dexxon Investors, the QVT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Viking Investors, Softbank, the Founder and the Joinder Parties;</w:t>
      </w:r>
    </w:p>
    <w:p>
      <w:pPr>
        <w:sectPr>
          <w:pgSz w:w="11900" w:h="16838" w:orient="portrait"/>
          <w:cols w:equalWidth="0" w:num="1">
            <w:col w:w="11020"/>
          </w:cols>
          <w:pgMar w:left="440" w:top="117" w:right="439" w:bottom="1440" w:gutter="0" w:footer="0" w:header="0"/>
        </w:sectPr>
      </w:pPr>
    </w:p>
    <w:bookmarkStart w:id="354" w:name="page355"/>
    <w:bookmarkEnd w:id="354"/>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Company, Rhine Merger Sub, Inc., a Delaware corporation and direct wholly owned 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and Montes Archimedes Acquisition Corp., a Delaware corporation (“</w:t>
      </w:r>
      <w:r>
        <w:rPr>
          <w:rFonts w:ascii="Times New Roman" w:cs="Times New Roman" w:eastAsia="Times New Roman" w:hAnsi="Times New Roman"/>
          <w:sz w:val="18"/>
          <w:szCs w:val="18"/>
          <w:b w:val="1"/>
          <w:bCs w:val="1"/>
          <w:color w:val="auto"/>
        </w:rPr>
        <w:t>SPAC</w:t>
      </w:r>
      <w:r>
        <w:rPr>
          <w:rFonts w:ascii="Times New Roman" w:cs="Times New Roman" w:eastAsia="Times New Roman" w:hAnsi="Times New Roman"/>
          <w:sz w:val="18"/>
          <w:szCs w:val="18"/>
          <w:color w:val="auto"/>
        </w:rPr>
        <w:t>”), have entered into a Business Combination Agreement, dated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May 1, 2021 (as it may be amended, supplemented or otherwise modified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among other things, Merger Sub will merge with and into SPAC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SPAC as the surviving corporation in the Merger and, after giving effect to the Merger, SPAC will become a subsidiary of the Company and the Company shall become subject to the reporting requirements of the Exchange Act and certain of the Company’s Common Shares, par value $0.0000001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shall be registered under the Securities Act (together with the Merger, the “</w:t>
      </w:r>
      <w:r>
        <w:rPr>
          <w:rFonts w:ascii="Times New Roman" w:cs="Times New Roman" w:eastAsia="Times New Roman" w:hAnsi="Times New Roman"/>
          <w:sz w:val="18"/>
          <w:szCs w:val="18"/>
          <w:b w:val="1"/>
          <w:bCs w:val="1"/>
          <w:color w:val="auto"/>
        </w:rPr>
        <w:t>Go Public Transaction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WHEREAS, the parties executing this Agreement constitute the holders of the requisite number of shares necessary pursuant to Section 13D of the Second Amended and Restated Registration Rights Agreement in order to effect the amendment and restatement of such agreement effected hereby; and</w:t>
      </w:r>
    </w:p>
    <w:p>
      <w:pPr>
        <w:spacing w:after="0" w:line="176"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WHEREAS, in connection with the Go Public Transaction, the Company and the Investors desire to enter into this Agreement for the purpose, among others, to provide the registration rights set forth in this Agreement.</w:t>
      </w:r>
    </w:p>
    <w:p>
      <w:pPr>
        <w:spacing w:after="0" w:line="162"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agreements and understandings contained herein and other good and valuable consideration, the receipt and sufficiency of which are hereby acknowledged, the Parties hereby agree as follows:</w:t>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Demand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8" w:lineRule="auto"/>
        <w:tabs>
          <w:tab w:leader="none" w:pos="689"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Requests for Registration</w:t>
      </w:r>
      <w:r>
        <w:rPr>
          <w:rFonts w:ascii="Times New Roman" w:cs="Times New Roman" w:eastAsia="Times New Roman" w:hAnsi="Times New Roman"/>
          <w:sz w:val="17"/>
          <w:szCs w:val="17"/>
          <w:color w:val="auto"/>
        </w:rPr>
        <w:t>. Subject to Section 1(e) below and the other terms and conditions of this Agreement, at any time beginning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hundred eighty (180) days following the date on which the Company completes the Go Public Transaction, each Major Holder and each Person, if any, holding at least five percent (5.0%) of the then-outstanding number of Registrable Securities (“</w:t>
      </w:r>
      <w:r>
        <w:rPr>
          <w:rFonts w:ascii="Times New Roman" w:cs="Times New Roman" w:eastAsia="Times New Roman" w:hAnsi="Times New Roman"/>
          <w:sz w:val="17"/>
          <w:szCs w:val="17"/>
          <w:b w:val="1"/>
          <w:bCs w:val="1"/>
          <w:color w:val="auto"/>
        </w:rPr>
        <w:t>Other Demand Holders</w:t>
      </w:r>
      <w:r>
        <w:rPr>
          <w:rFonts w:ascii="Times New Roman" w:cs="Times New Roman" w:eastAsia="Times New Roman" w:hAnsi="Times New Roman"/>
          <w:sz w:val="17"/>
          <w:szCs w:val="17"/>
          <w:color w:val="auto"/>
        </w:rPr>
        <w:t>”) may (i) request registration under the Securities Act on Form S-1 or any similar long-form registration statement (a “</w:t>
      </w:r>
      <w:r>
        <w:rPr>
          <w:rFonts w:ascii="Times New Roman" w:cs="Times New Roman" w:eastAsia="Times New Roman" w:hAnsi="Times New Roman"/>
          <w:sz w:val="17"/>
          <w:szCs w:val="17"/>
          <w:b w:val="1"/>
          <w:bCs w:val="1"/>
          <w:color w:val="auto"/>
        </w:rPr>
        <w:t>Long-Form Registration</w:t>
      </w:r>
      <w:r>
        <w:rPr>
          <w:rFonts w:ascii="Times New Roman" w:cs="Times New Roman" w:eastAsia="Times New Roman" w:hAnsi="Times New Roman"/>
          <w:sz w:val="17"/>
          <w:szCs w:val="17"/>
          <w:color w:val="auto"/>
        </w:rPr>
        <w:t>”) of all or any portion of its Investor Registrable Securities or Other Registrable Securities, as the case may be, in accordance with Section 1(b) or (ii) if available, request registration under the Securities Act on Form S-3 (including a Shelf Registration) or any similar short-form registration statement (a “</w:t>
      </w:r>
      <w:r>
        <w:rPr>
          <w:rFonts w:ascii="Times New Roman" w:cs="Times New Roman" w:eastAsia="Times New Roman" w:hAnsi="Times New Roman"/>
          <w:sz w:val="17"/>
          <w:szCs w:val="17"/>
          <w:b w:val="1"/>
          <w:bCs w:val="1"/>
          <w:color w:val="auto"/>
        </w:rPr>
        <w:t>Short-Form Registration</w:t>
      </w:r>
      <w:r>
        <w:rPr>
          <w:rFonts w:ascii="Times New Roman" w:cs="Times New Roman" w:eastAsia="Times New Roman" w:hAnsi="Times New Roman"/>
          <w:sz w:val="17"/>
          <w:szCs w:val="17"/>
          <w:color w:val="auto"/>
        </w:rPr>
        <w:t>”) of all or any portion of its Investor Registrable Securities or Other Registrable Securities, as the case may be, in accordance with Section 1(c) (each such request, a “</w:t>
      </w:r>
      <w:r>
        <w:rPr>
          <w:rFonts w:ascii="Times New Roman" w:cs="Times New Roman" w:eastAsia="Times New Roman" w:hAnsi="Times New Roman"/>
          <w:sz w:val="17"/>
          <w:szCs w:val="17"/>
          <w:b w:val="1"/>
          <w:bCs w:val="1"/>
          <w:color w:val="auto"/>
        </w:rPr>
        <w:t>Demand Notice</w:t>
      </w:r>
      <w:r>
        <w:rPr>
          <w:rFonts w:ascii="Times New Roman" w:cs="Times New Roman" w:eastAsia="Times New Roman" w:hAnsi="Times New Roman"/>
          <w:sz w:val="17"/>
          <w:szCs w:val="17"/>
          <w:color w:val="auto"/>
        </w:rPr>
        <w:t>”). Subject to Section 1(e) below and the other terms and conditions of this Agreement, at any time beginning one hundred eighty</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43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date on which the Company completes the Go Public Transaction, any Other Shareholder may, if available, request Short-Form Registrations of all or any portion of its Registrable Securities in accordance with Section 1(c). All registrations requested pursuant to this Section 1(a) by the holders of Registrable Securities are referred to herein as “</w:t>
      </w:r>
      <w:r>
        <w:rPr>
          <w:rFonts w:ascii="Times New Roman" w:cs="Times New Roman" w:eastAsia="Times New Roman" w:hAnsi="Times New Roman"/>
          <w:sz w:val="18"/>
          <w:szCs w:val="18"/>
          <w:b w:val="1"/>
          <w:bCs w:val="1"/>
          <w:color w:val="auto"/>
        </w:rPr>
        <w:t>Demand Registrations</w:t>
      </w:r>
      <w:r>
        <w:rPr>
          <w:rFonts w:ascii="Times New Roman" w:cs="Times New Roman" w:eastAsia="Times New Roman" w:hAnsi="Times New Roman"/>
          <w:sz w:val="18"/>
          <w:szCs w:val="18"/>
          <w:color w:val="auto"/>
        </w:rPr>
        <w:t>.” Each request for a Demand Registration shall specify the intended method of distribution and the approximate number of Registrable Securities requested to be registered. No Demand Registration will be consummated (and no registration statement with respect thereto filed) if the</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355" w:name="page356"/>
    <w:bookmarkEnd w:id="35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number of Registrable Securities requested to be registered (including pursuant to the following sentence) is fewer than (A) in the case of Long-Form Registrations, such number of Common Shares with a value (based on the closing price on the trading day immediately prior to the filing of the registration statement or prospectus supplement, as applicable, for any Long-Form Registration) of $100,000,000 and (B) in the case of Short-Form Registrations, such number of Common Shares with a value (based on the closing price on the trading day immediately prior to the filing of the registration statement or prospectus supplement, as applicable, for any Short-Form Registration) of $50,000,000. Within ten (10) days after receipt of any such request, the Company shall give written notice of such requested registration to all other Shareholders and, subject to the terms of Section 1(d), shall include in such registration (and in all related registrations and qualifications under state blue sky laws and in compliance with other registration requirements and in any related underwriting) all Registrable Securities with respect to which the Company has received written requests for inclusion therein within twenty (20) days after the delivery of the Company’s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Investor shall be required to be named an “underwriter” without such Investor’s express prior written consent.</w:t>
      </w:r>
    </w:p>
    <w:p>
      <w:pPr>
        <w:spacing w:after="0" w:line="192" w:lineRule="exact"/>
        <w:rPr>
          <w:sz w:val="20"/>
          <w:szCs w:val="20"/>
          <w:color w:val="auto"/>
        </w:rPr>
      </w:pPr>
    </w:p>
    <w:p>
      <w:pPr>
        <w:ind w:right="20" w:firstLine="436"/>
        <w:spacing w:after="0" w:line="252" w:lineRule="auto"/>
        <w:tabs>
          <w:tab w:leader="none" w:pos="69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Long-Form Registrations</w:t>
      </w:r>
      <w:r>
        <w:rPr>
          <w:rFonts w:ascii="Times New Roman" w:cs="Times New Roman" w:eastAsia="Times New Roman" w:hAnsi="Times New Roman"/>
          <w:sz w:val="18"/>
          <w:szCs w:val="18"/>
          <w:color w:val="auto"/>
        </w:rPr>
        <w:t>. The Major Holders shall be entitled to Long-Form Registrations under this Agreement as follows: (i) the QVT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(acting by action of the holders of a majority of the Common Shares held by them), the Viking Investors (acting by action of the holders of a majority of the Common Shares held by them), the Dexxon Investors, Softbank and Sumitomo shall each be entitled to three (3) Long-Form Registrations, and (ii) the Founder shall be entitled to one (1) Long-Form Registration. Other Shareholders shall have the right to demand Long-Form Registrations or Short-Form Registrations only to the extent such Other Shareholders are designated as Other Demand Holders pursuant to the terms of this Agreement, provided however, that the Other Shareholders will be entitled to a maximum of two (2) Long-Form Registrations if so designated. The Company shall pay all Registration Expenses with respect to such Long-Form Registrations. All Long-Form Registrations shall only be made if the method of distribution to be used in connection with such registration is an underwritten offering unless otherwise approved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Company shall file a registration statement on Form S-1 under the Securities Act covering all Registrable Securities requested to be included in such Long-Form Registration (subject to the limitations set forth herein) promptly following the Company’s receipt of a Demand Notice therefor and, in any event, within sixty (60) days after the date the Demand Notice is duly delivered to the Company in accordance with this Agreement. The Company shall use commercially reasonable efforts to cause such Long Form Registration to be declared effective under the Securities Act as soon as practicable after the filing thereof, but no later than the earlier of (i) sixty (60) calendar days after the filing date thereof (or ninety (90) calendar days after the filing thereof if the SEC notifies the Company that it will “review” the Long Form Registration) and (ii) ten (10) business days after the Company is notified (orally or in writing, whichever is earlier) by the SEC that the Long Form Registration will not be “reviewed” or will not be subject to any further review.</w:t>
      </w:r>
    </w:p>
    <w:p>
      <w:pPr>
        <w:spacing w:after="0" w:line="194" w:lineRule="exact"/>
        <w:rPr>
          <w:rFonts w:ascii="Times New Roman" w:cs="Times New Roman" w:eastAsia="Times New Roman" w:hAnsi="Times New Roman"/>
          <w:sz w:val="18"/>
          <w:szCs w:val="18"/>
          <w:color w:val="auto"/>
        </w:rPr>
      </w:pPr>
    </w:p>
    <w:p>
      <w:pPr>
        <w:jc w:val="both"/>
        <w:ind w:right="240" w:firstLine="436"/>
        <w:spacing w:after="0" w:line="261" w:lineRule="auto"/>
        <w:tabs>
          <w:tab w:leader="none" w:pos="68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Short-Form Registrations</w:t>
      </w:r>
      <w:r>
        <w:rPr>
          <w:rFonts w:ascii="Times New Roman" w:cs="Times New Roman" w:eastAsia="Times New Roman" w:hAnsi="Times New Roman"/>
          <w:sz w:val="18"/>
          <w:szCs w:val="18"/>
          <w:color w:val="auto"/>
        </w:rPr>
        <w:t>. In addition to the Long-Form Registrations provided pursuant to Section 1(b), each of the Major Holders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Demand Holders shall be entitled to request an unlimited number of Short-Form Registrations in which the Company shall pay all Registration Expenses, whether or not any registration statement for such a registration has become effective. Demand Registrations shall be Short-Form Registrations whenever the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356" w:name="page357"/>
    <w:bookmarkEnd w:id="35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is permitted to use any applicable short form registration statement. After the Go Public Transaction, the Company shall use its reasonable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best efforts to make Short-Form Registrations available for the sale of Registrable Securities. If the Shareholder initially requesting a Short-Form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Registration requests that such Short-Form Registration be filed pursuant to Rule 415 (a “</w:t>
      </w:r>
      <w:r>
        <w:rPr>
          <w:rFonts w:ascii="Times New Roman" w:cs="Times New Roman" w:eastAsia="Times New Roman" w:hAnsi="Times New Roman"/>
          <w:sz w:val="18"/>
          <w:szCs w:val="18"/>
          <w:b w:val="1"/>
          <w:bCs w:val="1"/>
          <w:color w:val="auto"/>
        </w:rPr>
        <w:t>Shelf Registration</w:t>
      </w:r>
      <w:r>
        <w:rPr>
          <w:rFonts w:ascii="Times New Roman" w:cs="Times New Roman" w:eastAsia="Times New Roman" w:hAnsi="Times New Roman"/>
          <w:sz w:val="18"/>
          <w:szCs w:val="18"/>
          <w:color w:val="auto"/>
        </w:rPr>
        <w:t>”), and the Company is qualified to do so,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then the Company shall use its reasonable best efforts to promptly file and cause the Shelf Registration to be declared effective under the Securities Act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soon as reasonably practicable after the filing thereof and the Company shall use its reasonable best efforts to keep such shelf registration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continuously effective following such registration; provided that any request for an underwritten offering using such Shelf Registration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Takedown</w:t>
      </w:r>
      <w:r>
        <w:rPr>
          <w:rFonts w:ascii="Times New Roman" w:cs="Times New Roman" w:eastAsia="Times New Roman" w:hAnsi="Times New Roman"/>
          <w:sz w:val="18"/>
          <w:szCs w:val="18"/>
          <w:color w:val="auto"/>
        </w:rPr>
        <w:t xml:space="preserve">”) shall be deemed a Demand Registration. The provisions of Section 1(a)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each Underwritten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Takedown, with references to “filing of the registration statement” or “effective date” being deemed references to filing of a prospectus or supplement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 such offering and references to “registration” being deemed references to the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Shareholders participating in the Underwritten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Takedown shall only include Shareholders whose Registrable Securities are included in such Shelf Registration or may be included therein without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need for a post-effective amendment to such Shelf Registration (other than an automatically effective amendment). If for any reason the Company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ceases to be a WKSI or becomes ineligible to utilize Form S-3 or any similar applicable short form registration statement, then the Company shall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prepare and file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one or more registration statements on such form that 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available for the sale of Registrable Securities. The Company shall file a registration statement on Form S-3 under the Securities Act covering 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Registrable Securities requested to be included in such Short Form-Registration (subject to the limitations set forth herein) promptly following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Company’s receipt of a Demand Notice therefor and, in any event, within thirty (30) days after the date the Demand Notice is duly delivered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in accordance with this Agreement.</w:t>
      </w:r>
    </w:p>
    <w:p>
      <w:pPr>
        <w:spacing w:after="0" w:line="205" w:lineRule="exact"/>
        <w:rPr>
          <w:sz w:val="20"/>
          <w:szCs w:val="20"/>
          <w:color w:val="auto"/>
        </w:rPr>
      </w:pPr>
    </w:p>
    <w:p>
      <w:pPr>
        <w:ind w:left="4" w:firstLine="436"/>
        <w:spacing w:after="0" w:line="254" w:lineRule="auto"/>
        <w:tabs>
          <w:tab w:leader="none" w:pos="699"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Priority on Demand Registrations</w:t>
      </w:r>
      <w:r>
        <w:rPr>
          <w:rFonts w:ascii="Times New Roman" w:cs="Times New Roman" w:eastAsia="Times New Roman" w:hAnsi="Times New Roman"/>
          <w:sz w:val="18"/>
          <w:szCs w:val="18"/>
          <w:color w:val="auto"/>
        </w:rPr>
        <w:t>. If a Demand Registration is for an underwritten offering and the managing underwriters advise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writing that in their opinion the number of securities requested to be included in such offering exceeds the number of securities which marketing factors permit to be sold in such offering, then the Company shall include in such registration only that number of Registrable Securities that in the opinion of such underwriters marketing factors permit to be sold in such offering, and the Registrable Securities that are included in such offering shall be allocated pro rata among the respective holders thereof on the basis of the number of Registrable Securities owned by each such holder; provided, however, that the number of Registrable Securities held by such holders to be included in such registration shall not be reduced unless all other securities are first entirely excluded from the registration. A registration shall not be counted as “effected” if, as a result of an exercise of the underwriter’s cutback provisions in this Section 1(d), fewer than fifty percent (50%) of the total number of Registrable Securities that holders have requested to be included in such registration statement are actually included.</w:t>
      </w:r>
    </w:p>
    <w:p>
      <w:pPr>
        <w:spacing w:after="0" w:line="188"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Demand Registrations</w:t>
      </w:r>
      <w:r>
        <w:rPr>
          <w:rFonts w:ascii="Times New Roman" w:cs="Times New Roman" w:eastAsia="Times New Roman" w:hAnsi="Times New Roman"/>
          <w:sz w:val="18"/>
          <w:szCs w:val="18"/>
          <w:color w:val="auto"/>
        </w:rPr>
        <w:t>. The Company shall not be obligated to effect any Demand Registration within one hundred eighty</w:t>
      </w:r>
    </w:p>
    <w:p>
      <w:pPr>
        <w:spacing w:after="0" w:line="29" w:lineRule="exact"/>
        <w:rPr>
          <w:rFonts w:ascii="Times New Roman" w:cs="Times New Roman" w:eastAsia="Times New Roman" w:hAnsi="Times New Roman"/>
          <w:sz w:val="18"/>
          <w:szCs w:val="18"/>
          <w:color w:val="auto"/>
        </w:rPr>
      </w:pPr>
    </w:p>
    <w:p>
      <w:pPr>
        <w:ind w:left="4" w:right="80" w:hanging="4"/>
        <w:spacing w:after="0" w:line="255" w:lineRule="auto"/>
        <w:tabs>
          <w:tab w:leader="none" w:pos="43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effective date of the Go Public Transaction or within ninety (90) days after the effective date of a previous Long-Form Registration. The Company may postpone the filing or the effectiveness of a registration statement or prospectus supplement, as applicable, for a Demand Registration or suspend the use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357" w:name="page358"/>
    <w:bookmarkEnd w:id="357"/>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a prospectus included in any registration statement for a Demand Registration, if the Board determines in its good faith judgment that such Demand Registration would reasonably be expected to (i) materially interfere with any proposal or plan that is material to the Company related to any financing, acquisition of assets or securities, recapitalization, merger, consolidation, tender offer, reorganization or similar transaction, (ii) require premature disclosure of material information that the Company has a bona fide business purpose for preserving as confidential or (iii) render the Company unable to comply with requirements under the Securities Act or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such event, the Shareholder initially requesting such Demand Registration shall be entitled to withdraw such request and, if such request is withdrawn with respect to a Long-Form Registration, such Demand Registration shall not count against the total number of Long-Form Registrations provided for in Section 1(b), and the Company shall pay nonetheless all Registration Expenses in connection with such registration;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register any securities for its own account or that of any other stockholder during such postponement or suspension period other than pursuant to: (a) a Resale Shelf (including any amendments, supplements or any other filings related thereto); (b) a registration relating to the sale or grant of securities to employees of the Company or a subsidiary pursuant to a stock option, stock purchase, equity incentive or similar plan; (c) a registration on any form that does not include substantially the same information as would be required to be included in a registration statement covering the sale of the Registrable Securities; or (d) a registration in which the only Common Shares being registered are Common Shares issuable upon conversion of debt securities that are also being registered. The Company may not delay a Demand Registration or suspend the use of a prospectus pursuant to this Section 1(e): (i) more than two (2) times in any period of twelve (12) consecutive months, (ii) the duration of any one suspension or postponement may not exceed sixty (60) days and (iii) the total duration of any suspension or postponement period may not be more than ninety (90) days in any period of twelve (12) consecutive months.</w:t>
      </w:r>
    </w:p>
    <w:p>
      <w:pPr>
        <w:spacing w:after="0" w:line="193" w:lineRule="exact"/>
        <w:rPr>
          <w:sz w:val="20"/>
          <w:szCs w:val="20"/>
          <w:color w:val="auto"/>
        </w:rPr>
      </w:pPr>
    </w:p>
    <w:p>
      <w:pPr>
        <w:ind w:left="660" w:hanging="224"/>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Resale Registration Statement</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firstLine="419"/>
        <w:spacing w:after="0" w:line="253" w:lineRule="auto"/>
        <w:tabs>
          <w:tab w:leader="none" w:pos="1078"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within 30 days of the consummation of the Go Public Transaction, and use commercially reasonable efforts to cause to be declared effective as soon as practicable thereafter, a registration statement on Form S-1 (the “</w:t>
      </w:r>
      <w:r>
        <w:rPr>
          <w:rFonts w:ascii="Times New Roman" w:cs="Times New Roman" w:eastAsia="Times New Roman" w:hAnsi="Times New Roman"/>
          <w:sz w:val="18"/>
          <w:szCs w:val="18"/>
          <w:b w:val="1"/>
          <w:bCs w:val="1"/>
          <w:color w:val="auto"/>
        </w:rPr>
        <w:t>Resale S-1 Shelf</w:t>
      </w:r>
      <w:r>
        <w:rPr>
          <w:rFonts w:ascii="Times New Roman" w:cs="Times New Roman" w:eastAsia="Times New Roman" w:hAnsi="Times New Roman"/>
          <w:sz w:val="18"/>
          <w:szCs w:val="18"/>
          <w:color w:val="auto"/>
        </w:rPr>
        <w:t>”) or, if the Company is eligible to use a registration statement on Form S-3, a registration statement on Form S-3 (the “</w:t>
      </w:r>
      <w:r>
        <w:rPr>
          <w:rFonts w:ascii="Times New Roman" w:cs="Times New Roman" w:eastAsia="Times New Roman" w:hAnsi="Times New Roman"/>
          <w:sz w:val="18"/>
          <w:szCs w:val="18"/>
          <w:b w:val="1"/>
          <w:bCs w:val="1"/>
          <w:color w:val="auto"/>
        </w:rPr>
        <w:t>Resale S-3 Shelf</w:t>
      </w:r>
      <w:r>
        <w:rPr>
          <w:rFonts w:ascii="Times New Roman" w:cs="Times New Roman" w:eastAsia="Times New Roman" w:hAnsi="Times New Roman"/>
          <w:sz w:val="18"/>
          <w:szCs w:val="18"/>
          <w:color w:val="auto"/>
        </w:rPr>
        <w:t>” and together with the Resale S-1 Shelf, each a “</w:t>
      </w:r>
      <w:r>
        <w:rPr>
          <w:rFonts w:ascii="Times New Roman" w:cs="Times New Roman" w:eastAsia="Times New Roman" w:hAnsi="Times New Roman"/>
          <w:sz w:val="18"/>
          <w:szCs w:val="18"/>
          <w:b w:val="1"/>
          <w:bCs w:val="1"/>
          <w:color w:val="auto"/>
        </w:rPr>
        <w:t>Resale Shelf</w:t>
      </w:r>
      <w:r>
        <w:rPr>
          <w:rFonts w:ascii="Times New Roman" w:cs="Times New Roman" w:eastAsia="Times New Roman" w:hAnsi="Times New Roman"/>
          <w:sz w:val="18"/>
          <w:szCs w:val="18"/>
          <w:color w:val="auto"/>
        </w:rPr>
        <w:t>”), in each case, covering the resale of all the Registrable Securities (determined as of two business days prior to such filing) and any other Common Shares or other securities of the Company issued in connection with the Go Public Transaction that have not been registered under the Securities Act; provided, that the Parties acknowledge and agree that the sale of any Registrable Securities registered under such Resale Shelf may be subject to restrictions imposed by lock-up or holdback restrictions and/or applicable securities laws. Such Resale Shelf shall provide for the resale of the Registrable Securities included therein pursuant to any method or combination of methods legally available to, and requested by, any of the Investors named therein. Notwithstanding anything to the contrary herein, to the extent there is an active Resale Shelf under this Section 1(f) covering Registrable Securities of any Major Holder and/or the Other Demand Holders, and such Major Holder and/or the Other Demand Holder wishes to request a Demand Registration, such Demand Registration shall reduce the number of Demand Registrations that may be made pursuant to Section 1(b).</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58" w:name="page359"/>
    <w:bookmarkEnd w:id="358"/>
    <w:p>
      <w:pPr>
        <w:ind w:left="380" w:firstLine="419"/>
        <w:spacing w:after="0" w:line="252" w:lineRule="auto"/>
        <w:tabs>
          <w:tab w:leader="none" w:pos="1068"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agrees to use commercially reasonable efforts to cause such Resale Shelf, or another shelf registration statement that includes all Registrable Securities, including, without limitation, the PIPE Shares, to remain effective until the earliest of (i) the second anniversary of the consummation of the Go Public Transaction and, (ii) the date on which Investors cease to hold any Registrable Securities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Prior to the End Date, the Company will use commercially reasonable efforts to (1) qualify the Registrable Securities for listing on one or more of the New York Stock Exchange, NYSE American, LLC and/or the Nasdaq Stock Market and (2) update or amend the Registration Statement as necessary to include the Registrable Securities. The Company shall use its commercially reasonable efforts to provide a draft of the Resale Shelf to the Investors holding Registrable Securities for review (but not comment) at least two (2) Business Days in advance of filing the Resale Shelf; provided that, for the avoidance of doubt, in no event shall the Company be required to delay or postpone the filing of such Resale Shelf as a result of or in connection with any Investor’s review. Notwithstanding the foregoing, if the Securities and Exchange Commission prevents the Company from including any or all of the Registrable Securities proposed to be registered under the Resale Shelf due to limitations on the use of Rule 415 of the Securities Act for the resale of Registrable Securities by the applicable stockholders or otherwise, such Resale Shelf shall register for resale the maximum number of Registrable Securities as is permitted. In such event, the number of Registrable Securities to be registered for each selling stockholder named in the Resale Shelf shall be reduced pro rata among all such selling stockholders, in each case, giving priority first to the PIPE Shares and then to the remainder of Registrable Securities, and as promptly as practicable after being permitted to register additional Registrable Securities under Rule 415 under the Securities Act, the Company shall amend the Resale Shelf or file a new Resale Shelf to register such Registrable Securities not included in the initial Resale Shelf and use its commercially reasonable efforts to cause such amendment or Resale Shelf to become effective as promptly as practicable. The Registration Expenses of the holders of Registrable Securities shall be paid by the Company in the Resale Shelf, whether or not any such offering is completed.</w:t>
      </w:r>
    </w:p>
    <w:p>
      <w:pPr>
        <w:spacing w:after="0" w:line="190" w:lineRule="exact"/>
        <w:rPr>
          <w:rFonts w:ascii="Times New Roman" w:cs="Times New Roman" w:eastAsia="Times New Roman" w:hAnsi="Times New Roman"/>
          <w:sz w:val="18"/>
          <w:szCs w:val="18"/>
          <w:color w:val="auto"/>
        </w:rPr>
      </w:pPr>
    </w:p>
    <w:p>
      <w:pPr>
        <w:ind w:left="-60" w:right="240" w:firstLine="436"/>
        <w:spacing w:after="0" w:line="267" w:lineRule="auto"/>
        <w:tabs>
          <w:tab w:leader="none" w:pos="63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Selection of Underwriters</w:t>
      </w:r>
      <w:r>
        <w:rPr>
          <w:rFonts w:ascii="Times New Roman" w:cs="Times New Roman" w:eastAsia="Times New Roman" w:hAnsi="Times New Roman"/>
          <w:sz w:val="18"/>
          <w:szCs w:val="18"/>
          <w:color w:val="auto"/>
        </w:rPr>
        <w:t>. If any Demand Registration is for an underwritten offering, then the holders of a majority of the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being sold in such Demand Registration shall have the right to select the investment banker(s) and manager(s) to administer such offering, subject to the prior written approval of the Board, which approval shall not be unreasonably withheld, conditioned or delayed.</w:t>
      </w:r>
    </w:p>
    <w:p>
      <w:pPr>
        <w:spacing w:after="0" w:line="173" w:lineRule="exact"/>
        <w:rPr>
          <w:rFonts w:ascii="Times New Roman" w:cs="Times New Roman" w:eastAsia="Times New Roman" w:hAnsi="Times New Roman"/>
          <w:sz w:val="18"/>
          <w:szCs w:val="18"/>
          <w:color w:val="auto"/>
        </w:rPr>
      </w:pPr>
    </w:p>
    <w:p>
      <w:pPr>
        <w:ind w:left="-60" w:right="20" w:firstLine="436"/>
        <w:spacing w:after="0" w:line="258" w:lineRule="auto"/>
        <w:tabs>
          <w:tab w:leader="none" w:pos="63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Registration Rights</w:t>
      </w:r>
      <w:r>
        <w:rPr>
          <w:rFonts w:ascii="Times New Roman" w:cs="Times New Roman" w:eastAsia="Times New Roman" w:hAnsi="Times New Roman"/>
          <w:sz w:val="18"/>
          <w:szCs w:val="18"/>
          <w:color w:val="auto"/>
        </w:rPr>
        <w:t>. Except as provided to the holders of Registrable Securities in this Agreement and except in connection with the 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Public Transaction (including the filing of the Resale Shelf contemplated thereby), the Company shall not grant to any Persons the right to request the Company to register any equity securities of the Company, or any securities, options or rights convertible or exchangeable into or exercisable for such securities, without the prior written consent of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(i) grant rights to participate in any registration pursuant to Section 2 below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so long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500" w:top="270" w:right="51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such rights are subordinate in priority to the rights of Parties hereto with respect to Piggyback Registrations, as provided in Section 2(c) and</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Section 2(d), and not otherwise inconsistent with the terms and conditions hereof, and (ii) enter into an agreement with any holder or prospective holder of any securities of the Company related to the filing of a Resale Shelf to register shares issued to such holder as consideration in an acquisition of a third party, if and only if such Resale Shelf does not permit underwritten offerings (provided that nothing in this clause (ii) shall be interpreted to limit the rights of a holder of securities of the Company in connection with the Go Public Transaction and the Resale Shelf contemplated thereby).</w:t>
      </w:r>
    </w:p>
    <w:p>
      <w:pPr>
        <w:spacing w:after="0" w:line="187" w:lineRule="exact"/>
        <w:rPr>
          <w:sz w:val="20"/>
          <w:szCs w:val="20"/>
          <w:color w:val="auto"/>
        </w:rPr>
      </w:pPr>
    </w:p>
    <w:p>
      <w:pPr>
        <w:ind w:right="60" w:firstLine="436"/>
        <w:spacing w:after="0" w:line="258" w:lineRule="auto"/>
        <w:tabs>
          <w:tab w:leader="none" w:pos="65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The rights of any holder of Registrable Securities to request inclusion of such Registrable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this Section 1 shall terminate upon the earlier to occur of (i) the seventh anniversary of the date of this Agreement and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all Registrable Securities have been sold under Rule 144 under the Securities Act. The provisions of Section 7 and Section 9 shall survive any termination.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Piggyback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Piggyback</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1"/>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connection with a Resale Shelf or a request for a Demand Registration or a Shelf Registration pursuant to Sections 1(a), 1(b) and 1(c) of this Agreement, if at any time the Company, including if the Company qualifies as a WKSI, proposes to file (A) a prospectus supplement to an effective shelf registration statement (a “</w:t>
      </w:r>
      <w:r>
        <w:rPr>
          <w:rFonts w:ascii="Times New Roman" w:cs="Times New Roman" w:eastAsia="Times New Roman" w:hAnsi="Times New Roman"/>
          <w:sz w:val="17"/>
          <w:szCs w:val="17"/>
          <w:b w:val="1"/>
          <w:bCs w:val="1"/>
          <w:color w:val="auto"/>
        </w:rPr>
        <w:t>Shelf Registration Statement</w:t>
      </w:r>
      <w:r>
        <w:rPr>
          <w:rFonts w:ascii="Times New Roman" w:cs="Times New Roman" w:eastAsia="Times New Roman" w:hAnsi="Times New Roman"/>
          <w:sz w:val="17"/>
          <w:szCs w:val="17"/>
          <w:color w:val="auto"/>
        </w:rPr>
        <w:t>”), or (B) a registration statement other than a Shelf Registration Statement, in either case, for the sale of Common Shares for its own account, or for the benefit of the holders of any of its Common Shares other than the Shareholders, to an underwriter on a firm commitment basis for reoffering to the public or in a “bought deal” or “registered direct offering” with one or more investment banks (collectively, a “</w:t>
      </w:r>
      <w:r>
        <w:rPr>
          <w:rFonts w:ascii="Times New Roman" w:cs="Times New Roman" w:eastAsia="Times New Roman" w:hAnsi="Times New Roman"/>
          <w:sz w:val="17"/>
          <w:szCs w:val="17"/>
          <w:b w:val="1"/>
          <w:bCs w:val="1"/>
          <w:color w:val="auto"/>
        </w:rPr>
        <w:t>Piggyback Underwritten Offering</w:t>
      </w:r>
      <w:r>
        <w:rPr>
          <w:rFonts w:ascii="Times New Roman" w:cs="Times New Roman" w:eastAsia="Times New Roman" w:hAnsi="Times New Roman"/>
          <w:sz w:val="17"/>
          <w:szCs w:val="17"/>
          <w:color w:val="auto"/>
        </w:rPr>
        <w:t>”), then the Company shall give prompt written notice, to be delivered not less than five (5) business days prior to the filing of (1) any preliminary prospectus supplement relating to such Piggyback Underwritten Offering pursuant to Rule 424(b) under the Securities Act, (2) any prospectus supplement relating to such Piggyback Underwritten Offering pursuant to Rule 424(b) under the Securities Act (if no preliminary prospectus supplement is used) or (3) such registration statement, as the case may be, to all holders of Registrable Securities of the Company and such notice (a “</w:t>
      </w:r>
      <w:r>
        <w:rPr>
          <w:rFonts w:ascii="Times New Roman" w:cs="Times New Roman" w:eastAsia="Times New Roman" w:hAnsi="Times New Roman"/>
          <w:sz w:val="17"/>
          <w:szCs w:val="17"/>
          <w:b w:val="1"/>
          <w:bCs w:val="1"/>
          <w:color w:val="auto"/>
        </w:rPr>
        <w:t>Piggyback Notice</w:t>
      </w:r>
      <w:r>
        <w:rPr>
          <w:rFonts w:ascii="Times New Roman" w:cs="Times New Roman" w:eastAsia="Times New Roman" w:hAnsi="Times New Roman"/>
          <w:sz w:val="17"/>
          <w:szCs w:val="17"/>
          <w:color w:val="auto"/>
        </w:rPr>
        <w:t>”) shall offer the Shareholders the opportunity to include in such Piggy-Back Underwritten Offering such number of Registrable Securities as each such Shareholder may request in writing. Each such Shareholder shall then have three (3) business days after receiving such notice to request in writing to the Company inclusion of Registrable Securities in the Piggy-Back Underwritten Offering, except that such Shareholders shall have two</w:t>
      </w:r>
    </w:p>
    <w:p>
      <w:pPr>
        <w:spacing w:after="0" w:line="9" w:lineRule="exact"/>
        <w:rPr>
          <w:rFonts w:ascii="Times New Roman" w:cs="Times New Roman" w:eastAsia="Times New Roman" w:hAnsi="Times New Roman"/>
          <w:sz w:val="17"/>
          <w:szCs w:val="17"/>
          <w:color w:val="auto"/>
        </w:rPr>
      </w:pPr>
    </w:p>
    <w:p>
      <w:pPr>
        <w:ind w:left="440" w:right="8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business days after such Shareholder confirms receipt of the notice to request inclusion of Registrable Securities in the Piggy Back Underwritten Offering in the case of a “bought deal”,</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60" w:name="page361"/>
    <w:bookmarkEnd w:id="360"/>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“registered direct offering” or “overnight transaction” where no preliminary prospectus is used. Upon receipt of any such request for inclusion from a Shareholder received within the specified time, the Company shall use reasonable best efforts to effect the registration in any registration statement of any of the Shareholder’s Registrable Securities requested to be included on the terms set forth in this Agreement. Prior to the commencement of any “road show,” any Shareholder shall have the right to withdraw its request for inclusion of its Registrable Securities in any registration by giving written notice to the Company of its request to withdraw and such withdrawal shall be irrevocable and, after making such withdrawal, such Shareholder shall no longer have any right to include Registrable Securities in the Piggyback Underwritten Offering as to which such withdrawal was made. The Company may postpone or withdraw the filing or the effectiveness of a Shelf Registration Statement or a proposed Piggyback Underwritten Offering at any time in its sole discretion.</w:t>
      </w:r>
    </w:p>
    <w:p>
      <w:pPr>
        <w:spacing w:after="0" w:line="84" w:lineRule="exact"/>
        <w:rPr>
          <w:sz w:val="20"/>
          <w:szCs w:val="20"/>
          <w:color w:val="auto"/>
        </w:rPr>
      </w:pPr>
    </w:p>
    <w:p>
      <w:pPr>
        <w:ind w:left="4" w:right="20" w:firstLine="419"/>
        <w:spacing w:after="0" w:line="253" w:lineRule="auto"/>
        <w:tabs>
          <w:tab w:leader="none" w:pos="69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qualify as a WKSI, (A) the Company shall give each Shareholder five (5) business days’ notice prior to filing a Shelf Registration Statement and, upon the written request of any Shareholder, received by the Company within three (3) business days of such notice to the Shareholder, the Company shall include in such Shelf Registration Statement a number of Common Shares equal to the aggregate number of Registrable Securities requested to be included without naming any requesting Shareholder as a selling shareholder and including only a generic description of the holder of such securities (the “</w:t>
      </w:r>
      <w:r>
        <w:rPr>
          <w:rFonts w:ascii="Times New Roman" w:cs="Times New Roman" w:eastAsia="Times New Roman" w:hAnsi="Times New Roman"/>
          <w:sz w:val="18"/>
          <w:szCs w:val="18"/>
          <w:b w:val="1"/>
          <w:bCs w:val="1"/>
          <w:color w:val="auto"/>
        </w:rPr>
        <w:t>Undesignated Registrable Securities</w:t>
      </w:r>
      <w:r>
        <w:rPr>
          <w:rFonts w:ascii="Times New Roman" w:cs="Times New Roman" w:eastAsia="Times New Roman" w:hAnsi="Times New Roman"/>
          <w:sz w:val="18"/>
          <w:szCs w:val="18"/>
          <w:color w:val="auto"/>
        </w:rPr>
        <w:t>”), (B) the Company shall not be required to give notice to any Shareholder in connection with a filing pursuant to Section 2(a)(i) unless such Shareholder provided such notice to the Company pursuant to this Section 2(a)(ii) and included Undesignated Registrable Securities in the Shelf Registration Statement related to such filing, and</w:t>
      </w:r>
    </w:p>
    <w:p>
      <w:pPr>
        <w:spacing w:after="0" w:line="2" w:lineRule="exact"/>
        <w:rPr>
          <w:rFonts w:ascii="Times New Roman" w:cs="Times New Roman" w:eastAsia="Times New Roman" w:hAnsi="Times New Roman"/>
          <w:sz w:val="18"/>
          <w:szCs w:val="18"/>
          <w:color w:val="auto"/>
        </w:rPr>
      </w:pPr>
    </w:p>
    <w:p>
      <w:pPr>
        <w:ind w:left="4" w:hanging="4"/>
        <w:spacing w:after="0" w:line="251" w:lineRule="auto"/>
        <w:tabs>
          <w:tab w:leader="none" w:pos="288"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written request of a Shareholder given to the Company more than two (2) business days before the date specified in writing by the Company as the Company’s good faith estimate of a launch of a Piggyback Registration (or such shorter period to which the Company in its sole discretion consents), the Company shall use reasonable best efforts to effect the registration of any of the Shareholders’ Undesignated Registrable Securities so requested to be included and shall file a post-effective amendment or, if available, a prospectus supplement to a Shelf Registration Statement to include such Undesignated Registrable Securities as any Shareholder may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the Company is actively employing its reasonable best efforts to effect such Piggyback Registration; and (2) the Company shall not be required to effect a post-effective amendment more than two (2) times in any twelve (12) month period. In lieu of providing the notice set forth in Section 2(a)(i), the Company may determine to include in a Shelf Registration Statement a number of Undesignated Registrable Securities equal to the Registrable Securities held by all Shareholders. The Company shall have the right to terminate or withdraw any registration or offering initiated by it under this Section 2(a) before the effective date of such registration, whether or not any Shareholder has elected to include Registrable Securities in such registration or offering. The expenses of such withdrawn registration or offering shall be borne by the Company in accordance with Section 2(b).</w:t>
      </w:r>
    </w:p>
    <w:p>
      <w:pPr>
        <w:spacing w:after="0" w:line="125"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4"/>
          </w:cols>
          <w:pgMar w:left="876" w:top="270" w:right="479" w:bottom="1440" w:gutter="0" w:footer="0" w:header="0"/>
        </w:sectPr>
      </w:pPr>
    </w:p>
    <w:bookmarkStart w:id="361" w:name="page362"/>
    <w:bookmarkEnd w:id="361"/>
    <w:p>
      <w:pPr>
        <w:ind w:right="520" w:firstLine="436"/>
        <w:spacing w:after="0" w:line="284" w:lineRule="auto"/>
        <w:tabs>
          <w:tab w:leader="none" w:pos="69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Piggy Back Expenses</w:t>
      </w:r>
      <w:r>
        <w:rPr>
          <w:rFonts w:ascii="Times New Roman" w:cs="Times New Roman" w:eastAsia="Times New Roman" w:hAnsi="Times New Roman"/>
          <w:sz w:val="18"/>
          <w:szCs w:val="18"/>
          <w:color w:val="auto"/>
        </w:rPr>
        <w:t>. The Registration Expenses of the holders of Registrable Securities shall be paid by the Company in all Piggyback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Underwritten Offerings, whether or not any such offering is completed.</w:t>
      </w:r>
    </w:p>
    <w:p>
      <w:pPr>
        <w:spacing w:after="0" w:line="158" w:lineRule="exact"/>
        <w:rPr>
          <w:rFonts w:ascii="Times New Roman" w:cs="Times New Roman" w:eastAsia="Times New Roman" w:hAnsi="Times New Roman"/>
          <w:sz w:val="18"/>
          <w:szCs w:val="18"/>
          <w:color w:val="auto"/>
        </w:rPr>
      </w:pPr>
    </w:p>
    <w:p>
      <w:pPr>
        <w:ind w:firstLine="436"/>
        <w:spacing w:after="0" w:line="270" w:lineRule="auto"/>
        <w:tabs>
          <w:tab w:leader="none" w:pos="685"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Priority on Primary Piggyback Registrations</w:t>
      </w:r>
      <w:r>
        <w:rPr>
          <w:rFonts w:ascii="Times New Roman" w:cs="Times New Roman" w:eastAsia="Times New Roman" w:hAnsi="Times New Roman"/>
          <w:sz w:val="17"/>
          <w:szCs w:val="17"/>
          <w:color w:val="auto"/>
        </w:rPr>
        <w:t>. If a Piggyback Registration is an underwritten primary offering on behalf of the Company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managing underwriters advise the Company in writing that in their reasonable opinion the number of securities requested to be included in such offering exceeds the number of Registrable Securities which marketing factors permit to be sold in such offering, then the Company shall include in such offering only that number of securities that in the opinion of such underwriters marketing factors permit to be sold in such offering, with priority for inclusion to be determined as follows: (i) first, the securities the Company proposes to sell, (ii) second, a number of Registrable Securities requested to be included in such registration allocated pro rata among the respective holders thereof on the basis of the number of Registrable Securities owned by each such holder, and (iii) third, any securities entitled to registration rights pursuant to a private placement expected to be consummated in connection with the Merger,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 the number of Registrable Securities held by such holders to be included in such offering shall not be reduced unless securities held by persons other than the Company and Major Holders are first entirely excluded from the offering and (ii) the number of Registrable Securities included in the offering shall not be reduced below thirty percent (30%) of the total number of securities included in such offering.</w:t>
      </w:r>
    </w:p>
    <w:p>
      <w:pPr>
        <w:spacing w:after="0" w:line="176" w:lineRule="exact"/>
        <w:rPr>
          <w:rFonts w:ascii="Times New Roman" w:cs="Times New Roman" w:eastAsia="Times New Roman" w:hAnsi="Times New Roman"/>
          <w:sz w:val="17"/>
          <w:szCs w:val="17"/>
          <w:color w:val="auto"/>
        </w:rPr>
      </w:pPr>
    </w:p>
    <w:p>
      <w:pPr>
        <w:ind w:right="20" w:firstLine="436"/>
        <w:spacing w:after="0" w:line="255" w:lineRule="auto"/>
        <w:tabs>
          <w:tab w:leader="none" w:pos="69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Priority on Secondary Piggyback Registrations</w:t>
      </w:r>
      <w:r>
        <w:rPr>
          <w:rFonts w:ascii="Times New Roman" w:cs="Times New Roman" w:eastAsia="Times New Roman" w:hAnsi="Times New Roman"/>
          <w:sz w:val="18"/>
          <w:szCs w:val="18"/>
          <w:color w:val="auto"/>
        </w:rPr>
        <w:t>. If a Piggyback Registration is an underwritten secondary offering on behalf of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securities (other than holders of Registrable Securities) and the managing underwriters advise the Company in writing that in their reasonable opinion the number of securities requested to be included in such offering exceeds the number of securities which marketing factors permit to be sold in such offering, then the Company shall include in such offering only that number of securities which in the opinion of such underwriters marketing factors permit to be sold in such offering, and the Registrable Securities that are included in such offering shall be allocated pro rata among the respective holders thereof on the basis of the number of Registrable Securities owned by each such Shareholder;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number of Registrable Securities held by such holders to be included in such offering shall not be reduced unless all other securities are first entirely excluded from the offering.</w:t>
      </w:r>
    </w:p>
    <w:p>
      <w:pPr>
        <w:spacing w:after="0" w:line="184" w:lineRule="exact"/>
        <w:rPr>
          <w:rFonts w:ascii="Times New Roman" w:cs="Times New Roman" w:eastAsia="Times New Roman" w:hAnsi="Times New Roman"/>
          <w:sz w:val="18"/>
          <w:szCs w:val="18"/>
          <w:color w:val="auto"/>
        </w:rPr>
      </w:pPr>
    </w:p>
    <w:p>
      <w:pPr>
        <w:ind w:right="500" w:firstLine="436"/>
        <w:spacing w:after="0" w:line="284" w:lineRule="auto"/>
        <w:tabs>
          <w:tab w:leader="none" w:pos="68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Selection of Underwriters</w:t>
      </w:r>
      <w:r>
        <w:rPr>
          <w:rFonts w:ascii="Times New Roman" w:cs="Times New Roman" w:eastAsia="Times New Roman" w:hAnsi="Times New Roman"/>
          <w:sz w:val="18"/>
          <w:szCs w:val="18"/>
          <w:color w:val="auto"/>
        </w:rPr>
        <w:t>. If any Piggyback Registration is an underwritten offering, the Board shall select the investment banker(s)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manager(s) for such offering.</w:t>
      </w:r>
    </w:p>
    <w:p>
      <w:pPr>
        <w:spacing w:after="0" w:line="158" w:lineRule="exact"/>
        <w:rPr>
          <w:rFonts w:ascii="Times New Roman" w:cs="Times New Roman" w:eastAsia="Times New Roman" w:hAnsi="Times New Roman"/>
          <w:sz w:val="18"/>
          <w:szCs w:val="18"/>
          <w:color w:val="auto"/>
        </w:rPr>
      </w:pPr>
    </w:p>
    <w:p>
      <w:pPr>
        <w:ind w:right="40" w:firstLine="436"/>
        <w:spacing w:after="0" w:line="258" w:lineRule="auto"/>
        <w:tabs>
          <w:tab w:leader="none" w:pos="66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Registrations</w:t>
      </w:r>
      <w:r>
        <w:rPr>
          <w:rFonts w:ascii="Times New Roman" w:cs="Times New Roman" w:eastAsia="Times New Roman" w:hAnsi="Times New Roman"/>
          <w:sz w:val="18"/>
          <w:szCs w:val="18"/>
          <w:color w:val="auto"/>
        </w:rPr>
        <w:t>. If the Company has previously filed a registration statement with respect to Registrable Securities pursuant to Section 1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 and if such previous registration has not been withdrawn or abandoned, then the Company shall not file or cause to be effected any other registration of any of its equity securities or securities convertible or exchangeable into or exercisable for its equity securities under the Securities Act (except on Form S-8 or any successor form), whether on its own behalf or at the request of any holder or holders of such securities, until a period of at least ninety (90) days has elapsed from the effective date of such previous registration.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8" w:right="439" w:bottom="1440" w:gutter="0" w:footer="0" w:header="0"/>
        </w:sectPr>
      </w:pPr>
    </w:p>
    <w:bookmarkStart w:id="362" w:name="page363"/>
    <w:bookmarkEnd w:id="362"/>
    <w:p>
      <w:pPr>
        <w:ind w:right="20" w:firstLine="436"/>
        <w:spacing w:after="0" w:line="258" w:lineRule="auto"/>
        <w:tabs>
          <w:tab w:leader="none" w:pos="69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Registration Rights</w:t>
      </w:r>
      <w:r>
        <w:rPr>
          <w:rFonts w:ascii="Times New Roman" w:cs="Times New Roman" w:eastAsia="Times New Roman" w:hAnsi="Times New Roman"/>
          <w:sz w:val="18"/>
          <w:szCs w:val="18"/>
          <w:color w:val="auto"/>
        </w:rPr>
        <w:t>. The rights of any holder of Registrable Securities to request inclusion of such Registrable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this Section 2 shall terminate upon the earlier of (i) the seventh anniversary of the date of this Agreement and (ii) the date as of which (A) all of the Registrable Securities have been sold pursuant to a Registration Statement (but in no event prior to the applicable period referred to in</w:t>
      </w:r>
    </w:p>
    <w:p>
      <w:pPr>
        <w:ind w:right="1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4(a)(3) of the Securities Act and Rule 174 thereunder (or any successor rule promulgated thereafter by the Commission)) or (B) all Registrable Securities have been sold under Rule 144 under the Securities Act. The provisions of Section 7 and Section 9 shall survive any termination.</w:t>
      </w:r>
    </w:p>
    <w:p>
      <w:pPr>
        <w:spacing w:after="0" w:line="15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Holdback Agreements</w:t>
      </w:r>
      <w:r>
        <w:rPr>
          <w:rFonts w:ascii="Times New Roman" w:cs="Times New Roman" w:eastAsia="Times New Roman" w:hAnsi="Times New Roman"/>
          <w:sz w:val="18"/>
          <w:szCs w:val="18"/>
          <w:color w:val="auto"/>
        </w:rPr>
        <w:t>. Each Shareholder hereby agrees that such Shareholder shall not (i) lend, offer, pledge, sell, contract to sell, sell any option or contract to purchase, purchase any option or contract to sell, grant any option, right or warrant to purchase, or otherwise transfer or dispose of, directly or indirectly, (a) any Common Shares that are held by or on behalf of such Shareholder immediately prior to the consummation of the Go Public Transaction or (b) any securities that are held by or on behalf of such Shareholder immediately prior to the consummation of the Go Public Transaction that are convertible into or exercisable or exchangeable (directly or indirectly) for Common Shares (including without limitation, Common Shares or other securities that may be issued after the consummation of the Go Public Transaction upon exercise, vesting or settlement, as applicable, of any stock option, restricted stock unit, capped value appreciation right or other equity or equity-based award or interest (the securities described in this clause (b), the “</w:t>
      </w:r>
      <w:r>
        <w:rPr>
          <w:rFonts w:ascii="Times New Roman" w:cs="Times New Roman" w:eastAsia="Times New Roman" w:hAnsi="Times New Roman"/>
          <w:sz w:val="18"/>
          <w:szCs w:val="18"/>
          <w:b w:val="1"/>
          <w:bCs w:val="1"/>
          <w:color w:val="auto"/>
        </w:rPr>
        <w:t>Other Securities</w:t>
      </w:r>
      <w:r>
        <w:rPr>
          <w:rFonts w:ascii="Times New Roman" w:cs="Times New Roman" w:eastAsia="Times New Roman" w:hAnsi="Times New Roman"/>
          <w:sz w:val="18"/>
          <w:szCs w:val="18"/>
          <w:color w:val="auto"/>
        </w:rPr>
        <w:t>”)) or (ii) enter into any swap, hedge or other arrangement that transfers to another, in whole or in part, any of the economic consequences of ownership of any Common Shares or Other Securities, whether any such transaction described in clause (i) or (ii) above is to be settled by delivery of Common Shares or Other Securities, in cash, or otherwise, and whether any such transaction is made or executed by or on behalf of someone other than the Shareholder (each, a “</w:t>
      </w:r>
      <w:r>
        <w:rPr>
          <w:rFonts w:ascii="Times New Roman" w:cs="Times New Roman" w:eastAsia="Times New Roman" w:hAnsi="Times New Roman"/>
          <w:sz w:val="18"/>
          <w:szCs w:val="18"/>
          <w:b w:val="1"/>
          <w:bCs w:val="1"/>
          <w:color w:val="auto"/>
        </w:rPr>
        <w:t>Sale Transaction</w:t>
      </w:r>
      <w:r>
        <w:rPr>
          <w:rFonts w:ascii="Times New Roman" w:cs="Times New Roman" w:eastAsia="Times New Roman" w:hAnsi="Times New Roman"/>
          <w:sz w:val="18"/>
          <w:szCs w:val="18"/>
          <w:color w:val="auto"/>
        </w:rPr>
        <w:t>”) for a period of one-hundred eighty (180) days following the consummation of the Go Public Transaction (a “</w:t>
      </w:r>
      <w:r>
        <w:rPr>
          <w:rFonts w:ascii="Times New Roman" w:cs="Times New Roman" w:eastAsia="Times New Roman" w:hAnsi="Times New Roman"/>
          <w:sz w:val="18"/>
          <w:szCs w:val="18"/>
          <w:b w:val="1"/>
          <w:bCs w:val="1"/>
          <w:color w:val="auto"/>
        </w:rPr>
        <w:t>Holdback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officers and directors of the Company and holders of at least one percent (1%) of the Company’s voting securities (calculated on a fully diluted basis) are bound by and have entered into agreements that are no less restrictive than such agreements entered into by the Shareholders (including, without limitation, any provisions relating to early release from such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that the term “Sale Transaction” shall not include a sale or other transfer by an Upstream Equity Holder of its direct or indirect common stock or membership, partnership or other equity ownership interest in a Shareholder (whether or not for consideration). The foregoing provisions of this Section 3 shall not apply to:</w:t>
      </w:r>
    </w:p>
    <w:p>
      <w:pPr>
        <w:spacing w:after="0" w:line="87" w:lineRule="exact"/>
        <w:rPr>
          <w:sz w:val="20"/>
          <w:szCs w:val="20"/>
          <w:color w:val="auto"/>
        </w:rPr>
      </w:pPr>
    </w:p>
    <w:p>
      <w:pPr>
        <w:ind w:left="440" w:right="20" w:hanging="4"/>
        <w:spacing w:after="0" w:line="282" w:lineRule="auto"/>
        <w:tabs>
          <w:tab w:leader="none" w:pos="69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any Common Shares to an underwriter pursuant to an underwriting agreement to which the Company is a party in connection with a Shareholder’s exercise of piggyback registration rights set forth in, and in accordance with the terms and conditions of, Section 2 hereof;</w:t>
      </w:r>
    </w:p>
    <w:p>
      <w:pPr>
        <w:spacing w:after="0" w:line="53" w:lineRule="exact"/>
        <w:rPr>
          <w:rFonts w:ascii="Times New Roman" w:cs="Times New Roman" w:eastAsia="Times New Roman" w:hAnsi="Times New Roman"/>
          <w:sz w:val="18"/>
          <w:szCs w:val="18"/>
          <w:color w:val="auto"/>
        </w:rPr>
      </w:pPr>
    </w:p>
    <w:p>
      <w:pPr>
        <w:jc w:val="both"/>
        <w:ind w:left="440" w:right="560" w:hanging="4"/>
        <w:spacing w:after="0" w:line="261" w:lineRule="auto"/>
        <w:tabs>
          <w:tab w:leader="none" w:pos="69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any or all of Common Shares or Other Securities (I) by gift, will, intestate succession or charitable contribution, (II) to any Permitted Transferee, (III) by operation of law or pursuant to a court order or an order of a regulatory agency, such as a qualified domestic relations order, divorce decree or separation agreement, (IV) to the Company pursuant to the exercise, in each case on a “cashless” or “net exercise” basis, of any Other Securities (provided that any Common Shares received upon any such exercise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8" w:right="459" w:bottom="1440" w:gutter="0" w:footer="0" w:header="0"/>
        </w:sectPr>
      </w:pPr>
    </w:p>
    <w:bookmarkStart w:id="363" w:name="page364"/>
    <w:bookmarkEnd w:id="363"/>
    <w:p>
      <w:pPr>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be subject to the restrictions set forth above), (V) for purposes of satisfying any withholding taxes and/or estimated taxes due as a result of the exercise, vesting or settlement, as applicable, of any Other Securities, (VI) in connection with the Company’s consummation of a liquidation, merger, amalgamation, share exchange, reorganization, tender offer or other similar transaction that results in all of the Company’s shareholders having the right to exchange their equity holdings in the Company for cash, securities or other property or (VII) by pledging, hypothecating or otherwise granting a security interest in Common Shares or Other Securities in a bona fide transaction to one or more unaffiliated lending institutions as collateral or security for any margin loan and any transfer in the event of foreclosure upon such Common Shares or Other Securities as a result of a default on such margin loan (so long as any such pledge, hypothecation or grant of security interest shall be on terms consistent with customary margin loans, and the applicable Shareholder shall provide the Company with written notice prior to entering into such margin loan); provided, however, that in the case of any of the foregoing clauses (I), (II) or (III), the transferee in such transfer shall agree in a writing delivered to the Company that the Common Shares or Other Securities so transferred will thereafter continue be subject to the terms set forth above;</w:t>
      </w:r>
    </w:p>
    <w:p>
      <w:pPr>
        <w:spacing w:after="0" w:line="84" w:lineRule="exact"/>
        <w:rPr>
          <w:sz w:val="20"/>
          <w:szCs w:val="20"/>
          <w:color w:val="auto"/>
        </w:rPr>
      </w:pPr>
    </w:p>
    <w:p>
      <w:pPr>
        <w:ind w:left="440" w:right="40" w:hanging="4"/>
        <w:spacing w:after="0" w:line="261" w:lineRule="auto"/>
        <w:tabs>
          <w:tab w:leader="none" w:pos="69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or modification of a written plan meeting the requirements of Rule 10b5-1 of the Exchange Act that does not provide for the sale or transfer of Common Shares during the Holdback Period; provided that, to the extent a public announcement or filing under the Exchange Act is required regarding the establishment or modification of such plan, such announcement or filing shall include a statement to the effect that no sales or transfers of Common Shares may be made under such plan during the Holdback Period; or</w:t>
      </w:r>
    </w:p>
    <w:p>
      <w:pPr>
        <w:spacing w:after="0" w:line="71" w:lineRule="exact"/>
        <w:rPr>
          <w:rFonts w:ascii="Times New Roman" w:cs="Times New Roman" w:eastAsia="Times New Roman" w:hAnsi="Times New Roman"/>
          <w:sz w:val="18"/>
          <w:szCs w:val="18"/>
          <w:color w:val="auto"/>
        </w:rPr>
      </w:pPr>
    </w:p>
    <w:p>
      <w:pPr>
        <w:jc w:val="both"/>
        <w:ind w:left="440" w:right="440" w:hanging="4"/>
        <w:spacing w:after="0" w:line="266" w:lineRule="auto"/>
        <w:tabs>
          <w:tab w:leader="none" w:pos="69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Common Shares or Other Securities issued in connection with the private placement consummated in connection with the Go Public Transaction, including any Common Shares or other securities received in exchange for, or converted for, securities acquired in such private placement (the “</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Each Shareholder agrees to execute and deliver such other customary agreements as may be reasonably requested by the Company or the managing underwriter in an underwritten transaction that are consistent with the foregoing or which are necessary to give further effect thereto. Any discretionary waiver or termination of the restrictions by the Company or the underwriters of any or all of such restrictions with respect to any officer or director of the Company or a holder of 1% or more of the Company’s total outstanding Common Shares (including a release of such restrictions set forth in Section 5 of the Bye-Laws, a “</w:t>
      </w:r>
      <w:r>
        <w:rPr>
          <w:rFonts w:ascii="Times New Roman" w:cs="Times New Roman" w:eastAsia="Times New Roman" w:hAnsi="Times New Roman"/>
          <w:sz w:val="18"/>
          <w:szCs w:val="18"/>
          <w:b w:val="1"/>
          <w:bCs w:val="1"/>
          <w:color w:val="auto"/>
        </w:rPr>
        <w:t>Lock-Up Release</w:t>
      </w:r>
      <w:r>
        <w:rPr>
          <w:rFonts w:ascii="Times New Roman" w:cs="Times New Roman" w:eastAsia="Times New Roman" w:hAnsi="Times New Roman"/>
          <w:sz w:val="18"/>
          <w:szCs w:val="18"/>
          <w:color w:val="auto"/>
        </w:rPr>
        <w:t>”) shall apply pro rata to all Major Holders, based on the number of shares subject to such restrictions (the “</w:t>
      </w:r>
      <w:r>
        <w:rPr>
          <w:rFonts w:ascii="Times New Roman" w:cs="Times New Roman" w:eastAsia="Times New Roman" w:hAnsi="Times New Roman"/>
          <w:sz w:val="18"/>
          <w:szCs w:val="18"/>
          <w:b w:val="1"/>
          <w:bCs w:val="1"/>
          <w:color w:val="auto"/>
        </w:rPr>
        <w:t>Shareholder Pro Rata 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prior sentence shall not apply to (a) waivers or terminations granted in an amount less than or equal to 1% of the Company’s total outstanding Common Shares (calculated on a fully-diluted basis immediately after the consummation of the Go Public Transaction) or (b) any primary or secondary public offering or sale that is underwritten and in which each holder of Registerable Securities is offered the opportunity to participate pursuant to Section 2 hereof. The Company may impose stop-transfer instructions with respect to the Common Shares (or other securities) subject to the foregoing restriction until the end of said one-hundred eighty (180)-day period. At least two</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64" w:name="page365"/>
    <w:bookmarkEnd w:id="36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days’ prior to the effective date of any Lock-Up Release, the Company shall provide written notice to the Major Holders stating the percentage of Common Shares held by such Major Holder to be released. The Company acknowledges that the approval of this Agreement by the Board and the approval of any Lock-Up Release triggering such Shareholder Pro Rata Release shall together constitute Board approval under Section 5 of the Bye-Laws of any Shareholder Pro Rata Release.</w:t>
      </w:r>
    </w:p>
    <w:p>
      <w:pPr>
        <w:spacing w:after="0" w:line="17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Registration Procedures</w:t>
      </w:r>
      <w:r>
        <w:rPr>
          <w:rFonts w:ascii="Times New Roman" w:cs="Times New Roman" w:eastAsia="Times New Roman" w:hAnsi="Times New Roman"/>
          <w:sz w:val="18"/>
          <w:szCs w:val="18"/>
          <w:color w:val="auto"/>
        </w:rPr>
        <w:t>. Whenever the holders of Registrable Securities have requested that any Registrable Securities be registered pursuant to this Agreement (including pursuant to a Resale Shelf), the Company shall use its reasonable best efforts to effect the registration and the sale of such Registrable Securities hereunder in accordance with the intended method of disposition thereof, and pursuant thereto the Company shall as expeditiously as reasonably possible:</w:t>
      </w:r>
    </w:p>
    <w:p>
      <w:pPr>
        <w:spacing w:after="0" w:line="182" w:lineRule="exact"/>
        <w:rPr>
          <w:sz w:val="20"/>
          <w:szCs w:val="20"/>
          <w:color w:val="auto"/>
        </w:rPr>
      </w:pPr>
    </w:p>
    <w:p>
      <w:pPr>
        <w:ind w:right="60" w:firstLine="436"/>
        <w:spacing w:after="0" w:line="266" w:lineRule="auto"/>
        <w:tabs>
          <w:tab w:leader="none" w:pos="68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Securities Act and all applicable rules and regulations promulgated thereunder, prepare and file with the Commission a registration statement, and all amendments and supplements thereto and related prospectuses as may be necessary to comply with applicable securities laws, with respect to such Registrable Securities and use its reasonable best efforts to cause such registration statement to become effective;</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holder of Registrable Securities of (i) the issuance by the Commission of any stop order suspending the effectiveness of any registration statement or the initiation of any proceedings for that purpose, (ii) the receipt by the Company or its counsel of any notification with respect to the suspension of the qualification of the Registrable Securities for sale in any jurisdiction or the initiation or threatening of any proceeding for such purpose, and (iii) the effectiveness of each registration statement filed hereunder;</w:t>
      </w:r>
    </w:p>
    <w:p>
      <w:pPr>
        <w:spacing w:after="0" w:line="179" w:lineRule="exact"/>
        <w:rPr>
          <w:rFonts w:ascii="Times New Roman" w:cs="Times New Roman" w:eastAsia="Times New Roman" w:hAnsi="Times New Roman"/>
          <w:sz w:val="18"/>
          <w:szCs w:val="18"/>
          <w:color w:val="auto"/>
        </w:rPr>
      </w:pPr>
    </w:p>
    <w:p>
      <w:pPr>
        <w:ind w:right="40" w:firstLine="436"/>
        <w:spacing w:after="0" w:line="253" w:lineRule="auto"/>
        <w:tabs>
          <w:tab w:leader="none" w:pos="68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Commission such amendments and supplements to such registration statement and the prospectus used in connection therewith as may be necessary to keep such registration statement effective for a period ending when all of the securities covered by such registration statement have been disposed of in accordance with the intended methods of disposition by the sellers thereof as set forth in such registration statement or, in the case of a Shelf Registration, if earlier, the date as of which all of the Registrable Securities included in such registration are able to be sold within a ninety (90) day period in compliance with Rule 144 (but in any event not before the expiration of any longer period required under the Securities Act or, if such registration statement relates to an underwritten offering, such longer period as in the opinion of counsel for the underwriters a prospectus is required by law to be delivered in connection with sales of securities thereunder by any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period shall be extended for a period of time equal to the period the holder refrains, at the request of an underwriter of Common Stock (or other securities) of the Company, from selling any securities included in such registration statement;</w:t>
      </w:r>
    </w:p>
    <w:p>
      <w:pPr>
        <w:spacing w:after="0" w:line="191" w:lineRule="exact"/>
        <w:rPr>
          <w:rFonts w:ascii="Times New Roman" w:cs="Times New Roman" w:eastAsia="Times New Roman" w:hAnsi="Times New Roman"/>
          <w:sz w:val="18"/>
          <w:szCs w:val="18"/>
          <w:color w:val="auto"/>
        </w:rPr>
      </w:pPr>
    </w:p>
    <w:p>
      <w:pPr>
        <w:ind w:right="180" w:firstLine="436"/>
        <w:spacing w:after="0" w:line="261" w:lineRule="auto"/>
        <w:tabs>
          <w:tab w:leader="none" w:pos="69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seller of Registrable Securities thereunder such number of copies of such registration statement, each amendment and supplement thereto, the prospectus included in such registration statement (including each preliminary prospectus and any summary prospectus), each Free-Writing Prospectus and such other documents as such seller may reasonably request in order to facilitate the disposition of the Registrable Securities owned by such seller;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365" w:name="page366"/>
    <w:bookmarkEnd w:id="365"/>
    <w:p>
      <w:pPr>
        <w:ind w:left="4" w:firstLine="436"/>
        <w:spacing w:after="0" w:line="272" w:lineRule="auto"/>
        <w:tabs>
          <w:tab w:leader="none" w:pos="689"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its reasonable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shall not be required to</w:t>
      </w:r>
    </w:p>
    <w:p>
      <w:pPr>
        <w:spacing w:after="0" w:line="1" w:lineRule="exact"/>
        <w:rPr>
          <w:rFonts w:ascii="Times New Roman" w:cs="Times New Roman" w:eastAsia="Times New Roman" w:hAnsi="Times New Roman"/>
          <w:sz w:val="17"/>
          <w:szCs w:val="17"/>
          <w:color w:val="auto"/>
        </w:rPr>
      </w:pPr>
    </w:p>
    <w:p>
      <w:pPr>
        <w:ind w:left="4" w:right="200" w:hanging="4"/>
        <w:spacing w:after="0" w:line="260" w:lineRule="auto"/>
        <w:tabs>
          <w:tab w:leader="none" w:pos="21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generally to do business in any jurisdiction where it would not otherwise be required to qualify but for this Section 4(e), (ii) subject itself to taxation in any such jurisdiction, or (iii) consent to general service of process in any such jurisdiction);</w:t>
      </w:r>
    </w:p>
    <w:p>
      <w:pPr>
        <w:spacing w:after="0" w:line="181"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69"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notify in writing each seller of such Registrable Securities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at the request of any such seller, the Company promptly shall prepare, file with the Commission and furnish to each such seller a reasonable number of copies of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each selling holder of the Registrable Securities, upon receipt of any notice from the Company of any event of the kind described in this Section 4(f), shall forthwith discontinue disposition of the Registrable Securities pursuant to the registration statement covering such Registrable Securities until such holder is advised in writing by the Company that the use of the prospectus may be resumed and is furnished with a supplemented or amended prospectus as contemplated by this Section 4(f), and if so directed by the Company, such holder shall deliver to the Company (at the Company’s expense) all copies, other than permanent file copies then in such holder’s possession, of the prospectus covering such Registrable Securities at the time of receipt of such notice;</w:t>
      </w:r>
    </w:p>
    <w:p>
      <w:pPr>
        <w:spacing w:after="0" w:line="189"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promptly with the Commission, and notify such holders of Registrable Securities prior to the filing of, such amendments or supplements to such registration statement or prospectus as may be necessary to correct any statements or omissions if, at the time when a prospectus relating to such securities is required to be delivered under the Securities Act, when any event has occurred as the result of which any such prospectus or any other prospectus as then in effect would include an untrue statement of a material fact or omit to state any material fact required to be stated therein or necessary to make the statements therein not misleading, and, if any such holders of Registrable Securities or any underwriter for any such holders is required to deliver a prospectus at a time when the prospectus then in circulation is not in compliance with the Securities Act or the rules and regulations promulgated thereunder, the Company shall use its best efforts to prepare promptly upon request of any such holder or underwriter such amendments or supplements to such registration statement and prospectus as may be necessary in order for such prospectus to comply with the requirements of the Securities Act and such rules and regulations;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366" w:name="page367"/>
    <w:bookmarkEnd w:id="366"/>
    <w:p>
      <w:pPr>
        <w:ind w:left="700" w:hanging="264"/>
        <w:spacing w:after="0"/>
        <w:tabs>
          <w:tab w:leader="none" w:pos="70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 all such Registrable Securities to be listed on each securities exchange on which similar securities issued by the Company are then listed;</w:t>
      </w:r>
    </w:p>
    <w:p>
      <w:pPr>
        <w:spacing w:after="0" w:line="236"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such Registrable Securities not later than the effective date of such registration statement;</w:t>
      </w:r>
    </w:p>
    <w:p>
      <w:pPr>
        <w:spacing w:after="0" w:line="225" w:lineRule="exact"/>
        <w:rPr>
          <w:rFonts w:ascii="Times New Roman" w:cs="Times New Roman" w:eastAsia="Times New Roman" w:hAnsi="Times New Roman"/>
          <w:sz w:val="18"/>
          <w:szCs w:val="18"/>
          <w:color w:val="auto"/>
        </w:rPr>
      </w:pPr>
    </w:p>
    <w:p>
      <w:pPr>
        <w:ind w:right="20" w:firstLine="436"/>
        <w:spacing w:after="0" w:line="258" w:lineRule="auto"/>
        <w:tabs>
          <w:tab w:leader="none" w:pos="65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perform such customary agreements (including underwriting agreements in customary form) and take all such other actions as the holders of a majority of the Investor Registrable Securities included in such registration, the holders of a majority of the Other Registrable Securities included in such registration or the underwriters, if any, reasonably request in order to expedite or facilitate the disposition of such Registrable Securities (including effecting a split or combination of equity, recapitalization or reorganization and preparing for and participating in such number of “road shows,” investor presentations and marketing events as the underwriters managing such offering may reasonably request);</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upon reasonable notice and during normal business hours for inspection by any seller of Registrable Securities, any underwriter participating in any disposition pursuant to such registration statement and any attorney, accountant or other agent retained by any such seller or underwriter, all financial and other records, pertinent corporate and business documents and properties of the Company, as shall be reasonably necessary to enable them to exercise their due diligence responsibility, and cause the Company’s officers, managers, directors and employees to supply all information reasonably requested by any such seller, underwriter, attorney, accountant or agent in connection with such registration statement; provided, that, unless the disclosure of such records is necessary to avoid or correct a misstatement or omission in the registration statement or the release of such records is ordered pursuant to a subpoena or other order from a court of competent jurisdiction, the Company shall not be required to provide any information under this Section 4(k) if the Company believes, after consultation with counsel for the Company, that to do so would cause the Company to forfeit an attorney-client privilege that was applicable to such information;</w:t>
      </w:r>
    </w:p>
    <w:p>
      <w:pPr>
        <w:spacing w:after="0" w:line="188" w:lineRule="exact"/>
        <w:rPr>
          <w:rFonts w:ascii="Times New Roman" w:cs="Times New Roman" w:eastAsia="Times New Roman" w:hAnsi="Times New Roman"/>
          <w:sz w:val="18"/>
          <w:szCs w:val="18"/>
          <w:color w:val="auto"/>
        </w:rPr>
      </w:pPr>
    </w:p>
    <w:p>
      <w:pPr>
        <w:ind w:right="260" w:firstLine="436"/>
        <w:spacing w:after="0" w:line="258" w:lineRule="auto"/>
        <w:tabs>
          <w:tab w:leader="none" w:pos="65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reasonable actions to ensure that any Free-Writing Prospectus prepared by or on behalf of the Company in connection with any Demand Registration or Piggyback Registration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ind w:right="60" w:firstLine="436"/>
        <w:spacing w:after="0" w:line="261" w:lineRule="auto"/>
        <w:tabs>
          <w:tab w:leader="none" w:pos="74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reasonable best efforts to comply with all applicable rules and regulations of the Commission and make available to its security holders, as soon as reasonably practicable, an earnings statement covering the period of at least twelve (12) months beginning with the first day of the Company’s first full calendar quarter after the effective date of the registration statement, which earnings statement shall satisfy the provisions of Section 11(a) of the Securities Act and Rule 158;</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67" w:name="page368"/>
    <w:bookmarkEnd w:id="367"/>
    <w:p>
      <w:pPr>
        <w:ind w:right="120" w:firstLine="436"/>
        <w:spacing w:after="0" w:line="261" w:lineRule="auto"/>
        <w:tabs>
          <w:tab w:leader="none" w:pos="6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 any holder of Registrable Securities which holder, in its good faith judgment (based on the advice of counsel), could reasonably be expected to be deemed to be an underwriter or a controlling Person of the Company, to participate in the preparation of such registration or comparable statement and to require the insertion therein of material, furnished to the Company in writing, which in the reasonable judgment of such holder and its counsel should be included;</w:t>
      </w:r>
    </w:p>
    <w:p>
      <w:pPr>
        <w:spacing w:after="0" w:line="179"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issuance of any stop order suspending the effectiveness of a registration statement, or the issuance of any order suspending or preventing the use of any related prospectus or suspending the qualification of any equity securities included in such registration statement for sale in any jurisdiction, the Company shall use its reasonable best efforts promptly to obtain the withdrawal of such order;</w:t>
      </w:r>
    </w:p>
    <w:p>
      <w:pPr>
        <w:spacing w:after="0" w:line="175"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 a cold comfort letter from the Company’s independent public accountants in customary form and covering such matters of the type customarily covered by cold comfort letters and (ii) opinions of counsel from the Company’s counsel in customary form and covering such matters of the type customarily covered in a public issuance of securities, in each case, in form and substance reasonably satisfactory to the underwriters and addressed to the managing underwriters; in each case as the holders of a majority of the Registrable Securities included in such registration reasonably request; and</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reasonable best efforts to take all other steps necessary to effect the registration of such Registrable Securities contemplated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w:t>
      </w:r>
    </w:p>
    <w:p>
      <w:pPr>
        <w:spacing w:after="0" w:line="205"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Certain Obligations of Holders of Registrable Securities</w:t>
      </w:r>
      <w:r>
        <w:rPr>
          <w:rFonts w:ascii="Times New Roman" w:cs="Times New Roman" w:eastAsia="Times New Roman" w:hAnsi="Times New Roman"/>
          <w:sz w:val="18"/>
          <w:szCs w:val="18"/>
          <w:color w:val="auto"/>
        </w:rPr>
        <w:t>. Each holder of Registrable Securities that sells such securities pursuant to a registration under this Agreement agrees as follows:</w:t>
      </w:r>
    </w:p>
    <w:p>
      <w:pPr>
        <w:spacing w:after="0" w:line="160" w:lineRule="exact"/>
        <w:rPr>
          <w:sz w:val="20"/>
          <w:szCs w:val="20"/>
          <w:color w:val="auto"/>
        </w:rPr>
      </w:pPr>
    </w:p>
    <w:p>
      <w:pPr>
        <w:ind w:left="680" w:hanging="244"/>
        <w:spacing w:after="0"/>
        <w:tabs>
          <w:tab w:leader="none" w:pos="6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(if such holder is an employee or independent contractor of the Company or any of its Affiliates) shall cooperate with the</w:t>
      </w:r>
    </w:p>
    <w:p>
      <w:pPr>
        <w:spacing w:after="0" w:line="27" w:lineRule="exact"/>
        <w:rPr>
          <w:rFonts w:ascii="Times New Roman" w:cs="Times New Roman" w:eastAsia="Times New Roman" w:hAnsi="Times New Roman"/>
          <w:sz w:val="18"/>
          <w:szCs w:val="18"/>
          <w:color w:val="auto"/>
        </w:rPr>
      </w:pPr>
    </w:p>
    <w:p>
      <w:pPr>
        <w:ind w:right="4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Company (as reasonably requested by the Company) in connection with the preparation of the registration statement, and, for so long as the Company is obligated to file and keep effective such registration statement, each holder of Registrable Securities that is participating in such registration shall provide to the Company, in writing, for use in the applicable registration statement, all such information regarding such holder and its plan of distribution of such securities as may be reasonably necessary to enable the Company to prepare the registration statement and prospectus covering such securities, to maintain the currency and effectiveness thereof and otherwise to comply with all applicable requirements of law in connection therewith.</w:t>
      </w:r>
    </w:p>
    <w:p>
      <w:pPr>
        <w:spacing w:after="0" w:line="173"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time as a holder of Registrable Securities may be engaged in a distribution of such securities, such holder shall distribute such securities under the registration statement solely in the manner described in the registration statement.</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that is participating in any registration under this Agreement, upon receipt of any notice from the Company of the happening of any event of the kind described in Section 4(f), shall immediately discontinue the disposition of its securities of the Company pursuant to the registration statement until such Person’s receipt of the copies of a supplemented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68" w:name="page369"/>
    <w:bookmarkEnd w:id="368"/>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amended prospectus as contemplated by Section 4(f). In the event the Company has given any such notice, the applicable time period set forth in Section 4(c) during which a registration statement is to remain effective shall be extended by the number of days during the period from and including the date of the giving of such notice pursuant to this Section 5(c) to and including the date when each seller of Registrable Securities covered by such registration statement shall have received the copies of the supplemented or amended prospectus contemplated by Section 4(f).</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Registration Expenses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firstLine="436"/>
        <w:spacing w:after="0" w:line="253" w:lineRule="auto"/>
        <w:tabs>
          <w:tab w:leader="none" w:pos="68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incident to the Company’s performance of or compliance with this Agreement, including all registration, qualification and filing fees, fees and expenses of compliance with securities or blue sky laws, filing expenses, printing expenses, messenger and delivery expenses, fees and disbursements of custodians and fees and disbursements of counsel for the Company and all independent certified public accountants, underwriters (excluding underwriting discounts and commissions) and other Persons retained by the Company (all such expenses being herein called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be borne by the Company as provided in this Agreement, and the Company also shall pay all of its internal expenses (including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similar securities issued by the Company are then listed. Notwithstanding anything to the contrary contained herein, each seller of securities pursuant to a registration under this Agreement shall bear and pay all underwriting discounts and commissions applicable to the securities sold for such seller’s account.</w:t>
      </w:r>
    </w:p>
    <w:p>
      <w:pPr>
        <w:spacing w:after="0" w:line="194"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Demand Registration and each Piggyback Registration, the Company shall reimburse the holders of Registrable Securities included in such registration for the reasonable and documented fees and disbursements of one (1) counsel chosen by the holders of a majority of the Registrable Securities requesting inclusion in such registration, subject to the approval of the Company of such counsel (which approval shall not be unreasonably withheld, conditioned or delayed) and for the reasonable and documented fees and disbursements of each additional counsel retained by any holder of Registrable Securities for the purpose of rendering a legal opinion on behalf of such holder in connection with any underwritten Demand Registration or Piggyback Registration.</w:t>
      </w:r>
    </w:p>
    <w:p>
      <w:pPr>
        <w:spacing w:after="0" w:line="187" w:lineRule="exact"/>
        <w:rPr>
          <w:rFonts w:ascii="Times New Roman" w:cs="Times New Roman" w:eastAsia="Times New Roman" w:hAnsi="Times New Roman"/>
          <w:sz w:val="18"/>
          <w:szCs w:val="18"/>
          <w:color w:val="auto"/>
        </w:rPr>
      </w:pPr>
    </w:p>
    <w:p>
      <w:pPr>
        <w:ind w:right="120" w:firstLine="436"/>
        <w:spacing w:after="0" w:line="261" w:lineRule="auto"/>
        <w:tabs>
          <w:tab w:leader="none" w:pos="68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expenses relating to a registration hereunder are not required to be paid by the Company, each holder of securities included (or requested to be included) in any registration hereunder shall pay those expenses allocable to the registration (or proposed registration) of such holder’s securities so included (or requested to be included), and any expenses not so allocable shall be borne by all sellers of securities requested to be included in such registration in proportion to the aggregate selling price of the securities to be so registered.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69" w:name="page370"/>
    <w:bookmarkEnd w:id="36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right="40" w:firstLine="436"/>
        <w:spacing w:after="0" w:line="252" w:lineRule="auto"/>
        <w:tabs>
          <w:tab w:leader="none" w:pos="66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to the fullest extent permitted by law, each holder of Registrable Securities, its officers, directors, members, managers, partners, agents, Affiliates and employees and each Person who controls such holder (within the meaning of Section 15 of the Securities Act or Section 20 of the Exchange Act) against all losses, claims, actions, damages, liabilities and expenses (including with respect to actions or proceedings, whether commenced or threatened, and including reasonable attorney fees and expenses) caused by, resulting from, arising out of or based upon any of the following statements, omissions or violations by the Company: (i) any untrue or alleged untrue statement of material fact contained in any registration statement, prospectus, preliminary prospectus or Free-Writing Prospectus, or any amendment thereof or supplement thereto, (ii) any omission or alleged omission of a material fact required to be stated therein or necessary to make the statements therein not misleading, or (iii) any violation or alleged violation by the Company of the Securities Act, the Exchange Act or any other similar federal or state securities laws or any rule or regulation promulgated thereunder applicable to the Company and relating to action or inaction required of the Company in connection with any such registration, qualification or compliance, and to pay to each holder of Registrable Securities, its officers, directors, members, managers, partners, agents, Affiliates and employees and each Person who controls such holder (within the meaning of Section 15 of the Securities Act or Section 20 of the Exchange Act), as incurred, any legal and any other expenses reasonably incurred in connection with investigating, preparing or defending any such claim, loss, damage, liability or action, except to the extent that the same are caused by or based upon any information furnished in writing to the Company or any managing underwriter by such holder expressly for use therein. In connection with an underwritten offering, the Company shall indemnify any underwriters or deemed underwriters, their officers and directors and each Person who controls such underwriters (within the meaning of Section 15 of the Securities Act or Section 20 of the Exchange Act) to the same extent as provided above with respect to the indemnification of the holders of Registrable Securities (or to such lesser extent that may be agreed to between the underwriters and the Company).</w:t>
      </w:r>
    </w:p>
    <w:p>
      <w:pPr>
        <w:spacing w:after="0" w:line="193"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in which a holder of Registrable Securities is participating, each such holder shall furnish to the Company and the managing underwriter in writing such information and affidavits as the Company or the managing underwriter reasonably requests for use in connection with any such registration statement or prospectus relating to the Registrable Securities, or any amendment or supplement thereto, or any preliminary prospectus or Free Writing Prospectus and, to the fullest extent permitted by law, shall indemnify the Company, its directors, officers, agents and each Person who controls the Company (within the meaning of Section 15 of the Securities Act or Section 20 of the Exchange Act) against any losses, claims, damages, liabilities and expenses resulting from any untrue or alleged untrue statement of material fact contained in the registration statement, prospectus or preliminary prospectus or any amendment thereof or supplement thereto and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and has not been corrected in a subsequent writing prior to or concurrently with the sale of Registrable Securities to the Person asserting the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a court of competent jurisdiction decides against any such allegations of untrue statements or omissions of a material fact, such holders shall be reimbursed for any amounts previously paid hereunder with respect to such allegations;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obligation to indemnify shall be individual, not joint and several, for each holder and shall be limited to the net amount of proceeds received by such holder from the sale of Registrable Securities pursuant to such registration statement.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68" w:right="459" w:bottom="1440" w:gutter="0" w:footer="0" w:header="0"/>
        </w:sectPr>
      </w:pPr>
    </w:p>
    <w:bookmarkStart w:id="370" w:name="page371"/>
    <w:bookmarkEnd w:id="370"/>
    <w:p>
      <w:pPr>
        <w:ind w:right="60" w:firstLine="436"/>
        <w:spacing w:after="0" w:line="253" w:lineRule="auto"/>
        <w:tabs>
          <w:tab w:leader="none" w:pos="68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entitled to indemnification hereunder shall (i)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The indemnifying party shall not be subject to any liability for any settlement made by the indemnified party without the consent of the indemnifying party. An indemnifying party who is not entitled to, or elects not to, assume the defense of a claim shall not be obligated to pay the fees and expenses of more than one (1)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conflicting indemnified parties shall have a right to retain one (1) separate counsel, chosen by the holders of a majority of the Registrable Securities included in the registration by such conflicting indemnified parties, at the expense of the indemnifying party. No indemnifying party, in the defense of such claim or litigation, shall, except with the consent of each indemnified party, consent to the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87"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agrees that, if for any reason the indemnification provisions contemplated by Section 7(a) or Section 7(b) are unavailable to or insufficient to hold harmless an indemnified party in respect of or is otherwise unenforceable with respect to any losses, claims, damages, liabilities or expenses (or actions in respect thereof) referred to therein, then each indemnifying party shall contribute to the amount paid or payable by such indemnified party as a result of such losses, claims, damages, liabilities or expenses (or actions in respect thereof) in such proportion as is appropriate to reflect the relative fault of the indemnifying party and the indemnified party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indemnified party, and the parties’ relative intent, knowledge, access to information and opportunity to correct or prevent such statement or omission. The parties hereto agree that it would not be just and equitable if contribution pursuant to this Section 7(d) were determined by pro rata allocation (even if the holders or any underwriters or all of them were treated as one entity for such purpose) or by any other method of allocation which does not take account of the equitable considerations referred to in this Section 7(d).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Section 7(c), defending any such action or claim. No Person guilty of fraudulent misrepresentation (within the meaning of Section 11(f) of the Securities Act) shall be entitled to contribution from any Person who was not guilty of such fraudulent misrepresentation. The sellers’ obligations in this Section 7(d) to contribute shall be several in proportion to the amount of securities registered by them and not joint and shall be limited for each seller to an amount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71" w:name="page372"/>
    <w:bookmarkEnd w:id="371"/>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equal to the net proceeds actually received by such seller from the sale of Registrable Securities effected pursuant to such registration; provided that in no event shall the aggregate amounts payable by any such seller by way of indemnity or contribution under this Section 7(d) and when combined with any amounts payable under Section 7(b) exceed the net proceeds from the offering actually received by such seller from the sale of Registrable Securities effected pursuant to such registration.</w:t>
      </w:r>
    </w:p>
    <w:p>
      <w:pPr>
        <w:spacing w:after="0" w:line="180" w:lineRule="exact"/>
        <w:rPr>
          <w:sz w:val="20"/>
          <w:szCs w:val="20"/>
          <w:color w:val="auto"/>
        </w:rPr>
      </w:pPr>
    </w:p>
    <w:p>
      <w:pPr>
        <w:ind w:right="220" w:firstLine="436"/>
        <w:spacing w:after="0" w:line="261" w:lineRule="auto"/>
        <w:tabs>
          <w:tab w:leader="none" w:pos="68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contribution provided for under this Agreement shall be in addition to any other rights to indemnification and contribution that any indemnified party may have pursuant to law or contract and shall remain in full force and effect regardless of any investigation made by or on behalf of the indemnified party or any officer, director or controlling Person of such indemnified party and shall survive the transfer of securities.</w:t>
      </w:r>
    </w:p>
    <w:p>
      <w:pPr>
        <w:spacing w:after="0" w:line="17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Participation in Underwritten Registrations</w:t>
      </w:r>
      <w:r>
        <w:rPr>
          <w:rFonts w:ascii="Times New Roman" w:cs="Times New Roman" w:eastAsia="Times New Roman" w:hAnsi="Times New Roman"/>
          <w:sz w:val="18"/>
          <w:szCs w:val="18"/>
          <w:color w:val="auto"/>
        </w:rPr>
        <w:t xml:space="preserve">. No Person may participate in any registration hereunder which is underwritten unless such Person (i) agrees to sell such Person’s Registrable Securities on the basis provided in any underwriting arrangements in form customary for transactions of this type approved by the holders of a majority of the Registrable Securities to be sold in the contemplated offering (including pursuant to any over-allotment or “green shoe” option requested by the underwriters, provided that no holder of Registrable Securities shall be required to sell more than the number of Registrable Securities such holder has requested to include) and (ii) completes and executes all questionnaires, powers of attorney, indemnities, underwriting agreements and other documents required under the terms of such underwriting arrangements;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holder of Registrable Securities included in any underwritten registration shall be required to make any representations or warranties to the Company or the underwriters in connection with an underwritten registration (other than representations and warranties regarding such holder, such holder’s title to the securities and such holder’s intended method of distribution) or to undertake any indemnification obligations to the Company or the underwriters with respect thereto, except as otherwise specifically provided in Section 7, or to agree to any lock-up or holdback restrictions, except as otherwise specifically provided in Section 3.</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Other Agreements.</w:t>
      </w:r>
      <w:r>
        <w:rPr>
          <w:rFonts w:ascii="Times New Roman" w:cs="Times New Roman" w:eastAsia="Times New Roman" w:hAnsi="Times New Roman"/>
          <w:sz w:val="18"/>
          <w:szCs w:val="18"/>
          <w:color w:val="auto"/>
        </w:rPr>
        <w:t xml:space="preserve"> At all times after the Company has filed a registration statement with the Commission pursuant to the requirements of either the Securities Act or the Exchange Act, the Company shall use its reasonable best efforts to file all reports required to be filed by it under the Securities Act and the Exchange Act and the rules and regulations adopted by the Commission thereunder and shall take such further action as the Investors or the Other Shareholders may reasonably request, all to the extent required to enable such Persons to sell securities pursuant to (i) Rule 144 or any similar rule or regulation hereafter adopted by the Commission or (ii) a registration statement on Form S-3 or any similar registration form hereafter adopted by the Commission. Upon reasonable request, the Company shall deliver to the Investors and the Other Shareholders a written statement as to whether it has complied with such requirements. The Company shall at all times after it has consummated the Go Public Transaction use its reasonable best efforts to cause the securities so registered to be listed on one or more of the New York Stock Exchange, NYSE American, LLC and/or the Nasdaq Stock Market. The foregoing agreements in this Section 9 shall not apply to a “take private” or other transaction in which the Common Shares cease to be registered under the Exchange Act, so long as such transaction is approved by the Board.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372" w:name="page373"/>
    <w:bookmarkEnd w:id="372"/>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Times New Roman" w:cs="Times New Roman" w:eastAsia="Times New Roman" w:hAnsi="Times New Roman"/>
          <w:sz w:val="18"/>
          <w:szCs w:val="18"/>
          <w:i w:val="1"/>
          <w:iCs w:val="1"/>
          <w:color w:val="auto"/>
        </w:rPr>
        <w:t>Subsidiary Public Offering</w:t>
      </w:r>
      <w:r>
        <w:rPr>
          <w:rFonts w:ascii="Times New Roman" w:cs="Times New Roman" w:eastAsia="Times New Roman" w:hAnsi="Times New Roman"/>
          <w:sz w:val="18"/>
          <w:szCs w:val="18"/>
          <w:color w:val="auto"/>
        </w:rPr>
        <w:t xml:space="preserve">. If, after an initial public offering of the capital stock or other equity securities of one of its subsidiaries, the Company distributes securities of such subsidiary to its equity holders, then the rights of holders hereunder and the obligations of the Company pursuant to this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such subsidiary, and the Company shall cause such subsidiary to comply with such subsidiary’s obligations under this Agreement.</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This Agreement shall become effective upon consummation of the Go Public Transaction and shall terminate upon the earlier to occur of (i) the seventh anniversary of the date of this Agreement and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all Registrable Securities have been sold under Rule 144 under the Securities Act. The provisions of Section 7 and Section 9 shall survive any termination.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as applied to any Person, means any other Person that, directly or indirectly through one or more intermediaries, controls, is controlled by, or is under common control with such Person, including, without limitation, any general partner, managing member, officer or director of such Person or any venture capital, private equity or other investment fund or account now or hereafter existing that is controlled by one or more general partners or managing members of, or shares the same management company or investment advisor with, such Person, and the term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shall have the correlative meaning. The term “control” means the possession, directly or indirectly, of the power to direct or cause the direction of the management and policies of a Person, whether through the ownership of voting securities, by contract or otherwise.</w:t>
      </w:r>
    </w:p>
    <w:p>
      <w:pPr>
        <w:spacing w:after="0" w:line="182"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Memorandum of Association of the Company, as issued by the Registrar of Companies in Bermuda, and as amended from time to time in accordance with its terms.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Dexcel</w:t>
      </w:r>
      <w:r>
        <w:rPr>
          <w:rFonts w:ascii="Times New Roman" w:cs="Times New Roman" w:eastAsia="Times New Roman" w:hAnsi="Times New Roman"/>
          <w:sz w:val="18"/>
          <w:szCs w:val="18"/>
          <w:color w:val="auto"/>
        </w:rPr>
        <w:t>” means Dexcel Pharma Technologies Ltd., an Israeli limited liability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Dexxon</w:t>
      </w:r>
      <w:r>
        <w:rPr>
          <w:rFonts w:ascii="Times New Roman" w:cs="Times New Roman" w:eastAsia="Times New Roman" w:hAnsi="Times New Roman"/>
          <w:sz w:val="18"/>
          <w:szCs w:val="18"/>
          <w:color w:val="auto"/>
        </w:rPr>
        <w:t>” means Dexxon Holdings Ltd., an Israeli limited liability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Dexxon Investors</w:t>
      </w:r>
      <w:r>
        <w:rPr>
          <w:rFonts w:ascii="Times New Roman" w:cs="Times New Roman" w:eastAsia="Times New Roman" w:hAnsi="Times New Roman"/>
          <w:sz w:val="18"/>
          <w:szCs w:val="18"/>
          <w:color w:val="auto"/>
        </w:rPr>
        <w:t>” means (i) Dexxon and (ii) Dexcel.</w:t>
      </w:r>
    </w:p>
    <w:p>
      <w:pPr>
        <w:spacing w:after="0" w:line="225" w:lineRule="exact"/>
        <w:rPr>
          <w:sz w:val="20"/>
          <w:szCs w:val="20"/>
          <w:color w:val="auto"/>
        </w:rPr>
      </w:pPr>
    </w:p>
    <w:p>
      <w:pPr>
        <w:ind w:right="7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from time-to-time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means a spouse, civil partner, child (natural, step or adopted) parent, sibling or grandchild.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means the Financial Industry Regulatory Authority.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373" w:name="page374"/>
    <w:bookmarkEnd w:id="37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Free-Writing Prospectus</w:t>
      </w:r>
      <w:r>
        <w:rPr>
          <w:rFonts w:ascii="Times New Roman" w:cs="Times New Roman" w:eastAsia="Times New Roman" w:hAnsi="Times New Roman"/>
          <w:sz w:val="18"/>
          <w:szCs w:val="18"/>
          <w:color w:val="auto"/>
        </w:rPr>
        <w:t>” means a free-writing prospectus, as defined in Rule 405 promulgated under the Securities Act.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Registrable Securities</w:t>
      </w:r>
      <w:r>
        <w:rPr>
          <w:rFonts w:ascii="Times New Roman" w:cs="Times New Roman" w:eastAsia="Times New Roman" w:hAnsi="Times New Roman"/>
          <w:sz w:val="18"/>
          <w:szCs w:val="18"/>
          <w:color w:val="auto"/>
        </w:rPr>
        <w:t>” means (i) Common Shares issued, distributed, issuable or distributable to the Major Holders as of the date of this Agreement or hereafter, (ii) any other securities issued or issuable directly or indirectly with respect to the securities described in clause (i) of this definition by way of a dividend, distribution or equity split or in connection with an exchange or a combination of equity interests, recapitalization, reclassification, merger, consolidation or other reorganization (including any common shares issued or issuable to the Investors in anticipation of a registered offering), and (iii) any other equity securities of the Company or its corporate successor held at any time by Persons holding securities described in clause (i) or (ii) of this definition. As to any particular Investor Registrable Securities, such securities shall cease to be an Investor Registrable Security upon the earlier to occur of (x) a registration statement covering such Investor Registrable Security having been declared effective by the Commission and such Investor Registrable Security having been disposed of pursuant to such effective registration statement or (y) such Investor Registrable Securities being able to be disposed of pursuant to Rule 144 under the Securities Act in a single transaction.</w:t>
      </w:r>
    </w:p>
    <w:p>
      <w:pPr>
        <w:spacing w:after="0" w:line="188"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Holder</w:t>
      </w:r>
      <w:r>
        <w:rPr>
          <w:rFonts w:ascii="Times New Roman" w:cs="Times New Roman" w:eastAsia="Times New Roman" w:hAnsi="Times New Roman"/>
          <w:sz w:val="18"/>
          <w:szCs w:val="18"/>
          <w:color w:val="auto"/>
        </w:rPr>
        <w:t>” means each of the Founder, the Dexxon Investors, the QVT Investors, the Viking Investors, Softbank and Sumitomo, and any of their Permitted Transferees.</w:t>
      </w:r>
    </w:p>
    <w:p>
      <w:pPr>
        <w:spacing w:after="0" w:line="15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MNPI</w:t>
      </w:r>
      <w:r>
        <w:rPr>
          <w:rFonts w:ascii="Times New Roman" w:cs="Times New Roman" w:eastAsia="Times New Roman" w:hAnsi="Times New Roman"/>
          <w:sz w:val="18"/>
          <w:szCs w:val="18"/>
          <w:color w:val="auto"/>
        </w:rPr>
        <w:t>” means material non-public information within the meaning of Regulation FD promulgated under the Exchange Act, which shall in any case include the receipt of any notice delivered by the Company under this Agreement, including pursuant to Section 1 or Section 2 hereof and the information contained in any such notice.</w:t>
      </w:r>
    </w:p>
    <w:p>
      <w:pPr>
        <w:spacing w:after="0" w:line="17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Registrable Securities</w:t>
      </w:r>
      <w:r>
        <w:rPr>
          <w:rFonts w:ascii="Times New Roman" w:cs="Times New Roman" w:eastAsia="Times New Roman" w:hAnsi="Times New Roman"/>
          <w:sz w:val="18"/>
          <w:szCs w:val="18"/>
          <w:color w:val="auto"/>
        </w:rPr>
        <w:t>” means (i) the Common Shares issued, distributed, issuable or distributable to the Other Shareholders, (ii) any other securities issued or issuable directly or indirectly with respect to the securities described in clause (i) of this definition by way of a dividend, distribution or equity split or in connection with an exchange or a combination of equity interests, recapitalization, reclassification, merger, consolidation or other reorganization (including any common share issued or issuable in anticipation of a registered offering), and (iii) any other equity securities of the Company or its corporate successor held at any time by Persons holding securities described in clause (i) or (ii) of this definition. As to any particular Other Registrable Securities, such securities shall cease to be Other Registrable Securities upon the earlier to occur of (x) a registration statement covering such Other Registrable Securities having been declared effective by the Commission and such Other Registrable Securities having been disposed of pursuant to such effective registration statement or (y) such Other Registrable Securities being able to be disposed of pursuant to paragraph (b)(1) of Rule 144.</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(i) with respect to any Person, an Affiliate of such Person, (ii) with respect to the Founder, a transfer for bona fide estate planning purposes, either during his or her lifetime or on death by will or intestacy to a Family Member or any custodian or trustee of any trust, executor or other fiduciary all of the beneficial interest in is held for the benefit of, him or her or his or her Family Members, or to a trust for the himself or herself, or a charitable remainder trust, (iii) with respect to any QVT Investor, (a) any investor in such QVT Investor and (b) any entity in which one or more investors in such QVT Investor have the power to control the decisions of such entity or at least 90% of the beneficial interest in which is held, by any such investors and any Family Member thereof, and (iv) with respect to Softbank, each of SVF Holdings (UK) LLP and SoftBank Vision Fund L.P., and any investor in SoftBank Vision Fund L.P.</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66" w:right="499" w:bottom="1440" w:gutter="0" w:footer="0" w:header="0"/>
        </w:sectPr>
      </w:pPr>
    </w:p>
    <w:bookmarkStart w:id="374" w:name="page375"/>
    <w:bookmarkEnd w:id="374"/>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Subsidiary</w:t>
      </w:r>
      <w:r>
        <w:rPr>
          <w:rFonts w:ascii="Times New Roman" w:cs="Times New Roman" w:eastAsia="Times New Roman" w:hAnsi="Times New Roman"/>
          <w:sz w:val="18"/>
          <w:szCs w:val="18"/>
          <w:color w:val="auto"/>
        </w:rPr>
        <w:t>” means any subsidiary of the Company that has a class of securities registered under the Exchange Act.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QVT Investors</w:t>
      </w:r>
      <w:r>
        <w:rPr>
          <w:rFonts w:ascii="Times New Roman" w:cs="Times New Roman" w:eastAsia="Times New Roman" w:hAnsi="Times New Roman"/>
          <w:sz w:val="18"/>
          <w:szCs w:val="18"/>
          <w:color w:val="auto"/>
        </w:rPr>
        <w:t>” means, collectively, QVT Roiv Hldgs Offshore Ltd., a Cayman Islands limited company, QVT Roiv Hldgs Onshore Ltd., a Cayman Islands limited company, QVT Financial Investment Cayman Ltd., a Cayman Islands limited company, QVT Deferred Compensation Holdings Ltd., a Cayman Islands limited company, QVT P&amp;E Roiv Hldgs Ltd., a Cayman Islands limited company, Fourth Avenue Capital Partners LP, a Delaware limited partnership, and any Permitted Transferee of any of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collectively, the Investor Registrable Securities and the Other Registrable Securities.</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405</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Rule 415</w:t>
      </w:r>
      <w:r>
        <w:rPr>
          <w:rFonts w:ascii="Times New Roman" w:cs="Times New Roman" w:eastAsia="Times New Roman" w:hAnsi="Times New Roman"/>
          <w:sz w:val="18"/>
          <w:szCs w:val="18"/>
          <w:color w:val="auto"/>
        </w:rPr>
        <w:t>” mean, in each case, such rule promulgated under the Securities Act (or any successor provision) by the Commission, as the same shall be amended from time to time, or any successor rule then in force.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from time-to-time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Upstream Equity Holder</w:t>
      </w:r>
      <w:r>
        <w:rPr>
          <w:rFonts w:ascii="Times New Roman" w:cs="Times New Roman" w:eastAsia="Times New Roman" w:hAnsi="Times New Roman"/>
          <w:sz w:val="18"/>
          <w:szCs w:val="18"/>
          <w:color w:val="auto"/>
        </w:rPr>
        <w:t>” means, with respect to a Shareholder, its direct or indirect stockholders, partners, members or other equity holders.</w:t>
      </w:r>
    </w:p>
    <w:p>
      <w:pPr>
        <w:spacing w:after="0" w:line="22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Viking Investors</w:t>
      </w:r>
      <w:r>
        <w:rPr>
          <w:rFonts w:ascii="Times New Roman" w:cs="Times New Roman" w:eastAsia="Times New Roman" w:hAnsi="Times New Roman"/>
          <w:sz w:val="18"/>
          <w:szCs w:val="18"/>
          <w:color w:val="auto"/>
        </w:rPr>
        <w:t>” means, collectively, Viking Global Opportunities Illiquid Investments Sub-Master LP, Viking Global Equities LP, Viking Global Equities II LP, VGE III Portfolio Ltd., Viking Long Master Fund Ltd. and Viking Global Equities Master Ltd.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WKSI</w:t>
      </w:r>
      <w:r>
        <w:rPr>
          <w:rFonts w:ascii="Times New Roman" w:cs="Times New Roman" w:eastAsia="Times New Roman" w:hAnsi="Times New Roman"/>
          <w:sz w:val="18"/>
          <w:szCs w:val="18"/>
          <w:color w:val="auto"/>
        </w:rPr>
        <w:t>” means a well-known seasoned issuer, as defined under Rule 405.</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Miscellaneou</w:t>
      </w:r>
      <w:r>
        <w:rPr>
          <w:rFonts w:ascii="Times New Roman" w:cs="Times New Roman" w:eastAsia="Times New Roman" w:hAnsi="Times New Roman"/>
          <w:sz w:val="18"/>
          <w:szCs w:val="18"/>
          <w:color w:val="auto"/>
        </w:rPr>
        <w:t>s.</w:t>
      </w:r>
    </w:p>
    <w:p>
      <w:pPr>
        <w:spacing w:after="0" w:line="225" w:lineRule="exact"/>
        <w:rPr>
          <w:sz w:val="20"/>
          <w:szCs w:val="20"/>
          <w:color w:val="auto"/>
        </w:rPr>
      </w:pPr>
    </w:p>
    <w:p>
      <w:pPr>
        <w:ind w:right="20" w:firstLine="436"/>
        <w:spacing w:after="0" w:line="284" w:lineRule="auto"/>
        <w:tabs>
          <w:tab w:leader="none" w:pos="68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Inconsistent Agreements</w:t>
      </w:r>
      <w:r>
        <w:rPr>
          <w:rFonts w:ascii="Times New Roman" w:cs="Times New Roman" w:eastAsia="Times New Roman" w:hAnsi="Times New Roman"/>
          <w:sz w:val="18"/>
          <w:szCs w:val="18"/>
          <w:color w:val="auto"/>
        </w:rPr>
        <w:t>. The Company shall not hereafter enter into any agreement with respect to its securities which is inconsistent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violates the rights granted to the holders of Registrable Securities in this Agreement.</w:t>
      </w:r>
    </w:p>
    <w:p>
      <w:pPr>
        <w:spacing w:after="0" w:line="158"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69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Affecting Registrable Securities</w:t>
      </w:r>
      <w:r>
        <w:rPr>
          <w:rFonts w:ascii="Times New Roman" w:cs="Times New Roman" w:eastAsia="Times New Roman" w:hAnsi="Times New Roman"/>
          <w:sz w:val="18"/>
          <w:szCs w:val="18"/>
          <w:color w:val="auto"/>
        </w:rPr>
        <w:t>. The Company shall not take any action, or permit any change to occur, with respect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would materially and adversely affect the ability of the holders of Registrable Securities to include such Registrable Securities in a registration undertaken pursuant to this Agreement or that would materially and adversely affect the marketability of such Registrable Securities in any such registration (including effecting a split or a combination of securities).</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66" w:right="499" w:bottom="1440" w:gutter="0" w:footer="0" w:header="0"/>
        </w:sectPr>
      </w:pPr>
    </w:p>
    <w:bookmarkStart w:id="375" w:name="page376"/>
    <w:bookmarkEnd w:id="375"/>
    <w:p>
      <w:pPr>
        <w:ind w:right="20" w:firstLine="436"/>
        <w:spacing w:after="0" w:line="257" w:lineRule="auto"/>
        <w:tabs>
          <w:tab w:leader="none" w:pos="68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Remedies</w:t>
      </w:r>
      <w:r>
        <w:rPr>
          <w:rFonts w:ascii="Times New Roman" w:cs="Times New Roman" w:eastAsia="Times New Roman" w:hAnsi="Times New Roman"/>
          <w:sz w:val="18"/>
          <w:szCs w:val="18"/>
          <w:color w:val="auto"/>
        </w:rPr>
        <w:t>. Any Person having any rights under any provision of this Agreement shall be entitled to enforce such rights specifically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posting a bond or other security), to recover damages by reason of any breach of any provision of this Agreement and to exercise all other rights granted by law. The Parties agree and acknowledge that the Investors and the other holders of Registrable Securities would be irreparably harmed by, and money damages would not be an adequate remedy for, any breach of the provisions of this Agreement and that, in addition to any other rights and remedies existing in its favor,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82"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The provisions of this Agreement may be amended, and any provision of this Agreement may be waived, only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prior written consent of (i) the Company, (ii) the holders of a majority of the Registrable Securities, and (iii) the holders of at least 60% of the Investor Registrable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amendment alters or waives any rights of the Other Shareholders in this Agreement in a manner disproportionately adverse to the Other Shareholders (as compared to the Investors), such amendment or waiver will also require the prior written consent of the Other Shareholders holding a majority of the Registrable Securities held by the Other Shareholders;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this Agreement may not be amended, modified or supplemented and the observance of any term hereof may not be waived with respect to any Investor (each an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without the written consent of such Investor, if such Amendment would (A) disproportionately and materially adversely affect such Investor’s rights hereunder, or (B) grant any rights to any Investor that are not similarly granted or offered to all other Investors. No course of dealing between or among the Parties (including the failure of any Party to enforce any of the provisions of this Agreement) shall be deemed effective to modify, amend, waive or discharge any part of this Agreement or any rights or obligations of any Party under or by reason of this Agreement, and the failure of any Party to enforce any of the provisions of this Agreement shall in no way be construed as a waiver of such provisions and shall not affect the right of such Party thereafter to enforce each and every provision of this Agreement in accordance with its terms. The waiver by any Party hereto of a breach of any provision of this Agreement shall not operate or be construed as a waiver of any preceding or succeeding breach.</w:t>
      </w:r>
    </w:p>
    <w:p>
      <w:pPr>
        <w:spacing w:after="0" w:line="187" w:lineRule="exact"/>
        <w:rPr>
          <w:rFonts w:ascii="Times New Roman" w:cs="Times New Roman" w:eastAsia="Times New Roman" w:hAnsi="Times New Roman"/>
          <w:sz w:val="18"/>
          <w:szCs w:val="18"/>
          <w:color w:val="auto"/>
        </w:rPr>
      </w:pPr>
    </w:p>
    <w:p>
      <w:pPr>
        <w:ind w:right="60" w:firstLine="436"/>
        <w:spacing w:after="0" w:line="255" w:lineRule="auto"/>
        <w:tabs>
          <w:tab w:leader="none" w:pos="68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This Agreement and all of the covenants and agreements contained herein and rights, interests or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by or on behalf of any of the Parties, shall bind and inure to the benefit of the respective successors and assigns of the Parties whether so expressed or not, provided that neither this Agreement nor any of the covenants and agreements herein or rights, interests or obligations hereunder may be assigned or delegated by the Company except in connection with a Business Combination (as defined in the Amended and Restated Bye-laws of the Company (the “</w:t>
      </w:r>
      <w:r>
        <w:rPr>
          <w:rFonts w:ascii="Times New Roman" w:cs="Times New Roman" w:eastAsia="Times New Roman" w:hAnsi="Times New Roman"/>
          <w:sz w:val="18"/>
          <w:szCs w:val="18"/>
          <w:b w:val="1"/>
          <w:bCs w:val="1"/>
          <w:color w:val="auto"/>
        </w:rPr>
        <w:t>Bye-Laws</w:t>
      </w:r>
      <w:r>
        <w:rPr>
          <w:rFonts w:ascii="Times New Roman" w:cs="Times New Roman" w:eastAsia="Times New Roman" w:hAnsi="Times New Roman"/>
          <w:sz w:val="18"/>
          <w:szCs w:val="18"/>
          <w:color w:val="auto"/>
        </w:rPr>
        <w:t>”)) in accordance with the terms and conditions set forth in the Bye-Laws. Without limiting the foregoing, whether or not any express assignment has been made, the provisions of this Agreement which are for the benefit of holders of Investor Registrable Securities or Other Registrable Securities are also for the benefit of, and enforceable by, any subsequent holder of Investor Registrable Securities and Other Registrable Securities.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8" w:right="459" w:bottom="1440" w:gutter="0" w:footer="0" w:header="0"/>
        </w:sectPr>
      </w:pPr>
    </w:p>
    <w:bookmarkStart w:id="376" w:name="page377"/>
    <w:bookmarkEnd w:id="376"/>
    <w:p>
      <w:pPr>
        <w:ind w:left="-20" w:right="220" w:firstLine="436"/>
        <w:spacing w:after="0" w:line="258" w:lineRule="auto"/>
        <w:tabs>
          <w:tab w:leader="none" w:pos="64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 but if any provision of this Agreement or the application of any such provision to any Person or circumstance shall be held to be prohibited by or illegal or unenforceable under applicable law in any respect by a court of competent jurisdiction, such provision shall be ineffective only in such jurisdiction and to the extent of such prohibition or illegality or unenforceability, without invalidating the remainder of such provision or the remaining provisions of this Agreement in such jurisdiction or any provisions of this Agreement in any other jurisdiction.</w:t>
      </w:r>
    </w:p>
    <w:p>
      <w:pPr>
        <w:spacing w:after="0" w:line="183" w:lineRule="exact"/>
        <w:rPr>
          <w:rFonts w:ascii="Times New Roman" w:cs="Times New Roman" w:eastAsia="Times New Roman" w:hAnsi="Times New Roman"/>
          <w:sz w:val="18"/>
          <w:szCs w:val="18"/>
          <w:color w:val="auto"/>
        </w:rPr>
      </w:pPr>
    </w:p>
    <w:p>
      <w:pPr>
        <w:ind w:left="-20" w:right="20" w:firstLine="436"/>
        <w:spacing w:after="0" w:line="255" w:lineRule="auto"/>
        <w:tabs>
          <w:tab w:leader="none" w:pos="67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and any amendments hereto or thereto, to the extent signed and delivered in counterparts (any one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not contain the signatures of more than one Party hereto or thereto, but all such counterparts together shall constitute one and the same Agreement) by means of a facsimile machine or electronic transmission in portable document format (pdf), shall be treated in all manner and respects as an original thereof and shall be considered to have the same binding legal effects as if it were the original signed version thereof delivered in person. At the request of any Party hereto or thereto, each other Party hereto or thereto shall re-execute original forms thereof and deliver them to all other Parties hereto or thereto. No Party hereto shall raise the use of a facsimile machine or electronic transmission in pdf to deliver a signature or the fact that any signature or document was transmitted or communicated through the use of facsimile machine or electronic transmission as a defense to the formation of a contract, and each such Party forever waives any such defense.</w:t>
      </w:r>
    </w:p>
    <w:p>
      <w:pPr>
        <w:spacing w:after="0" w:line="184" w:lineRule="exact"/>
        <w:rPr>
          <w:rFonts w:ascii="Times New Roman" w:cs="Times New Roman" w:eastAsia="Times New Roman" w:hAnsi="Times New Roman"/>
          <w:sz w:val="18"/>
          <w:szCs w:val="18"/>
          <w:color w:val="auto"/>
        </w:rPr>
      </w:pPr>
    </w:p>
    <w:p>
      <w:pPr>
        <w:ind w:left="-20" w:right="40" w:firstLine="436"/>
        <w:spacing w:after="0" w:line="267" w:lineRule="auto"/>
        <w:tabs>
          <w:tab w:leader="none" w:pos="67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Descriptive Headings; Interpretation</w:t>
      </w:r>
      <w:r>
        <w:rPr>
          <w:rFonts w:ascii="Times New Roman" w:cs="Times New Roman" w:eastAsia="Times New Roman" w:hAnsi="Times New Roman"/>
          <w:sz w:val="18"/>
          <w:szCs w:val="18"/>
          <w:color w:val="auto"/>
        </w:rPr>
        <w:t>. The headings and captions used in this Agreement are for reference purposes only and shall not affect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way the meaning or interpretation of this Agreement. The use of the word “including” herein shall mean “including without limitation.” Any reference to the masculine, feminine or neuter gender shall be deemed to include any gender or all three as appropriate.</w:t>
      </w:r>
    </w:p>
    <w:p>
      <w:pPr>
        <w:spacing w:after="0" w:line="173" w:lineRule="exact"/>
        <w:rPr>
          <w:rFonts w:ascii="Times New Roman" w:cs="Times New Roman" w:eastAsia="Times New Roman" w:hAnsi="Times New Roman"/>
          <w:sz w:val="18"/>
          <w:szCs w:val="18"/>
          <w:color w:val="auto"/>
        </w:rPr>
      </w:pPr>
    </w:p>
    <w:p>
      <w:pPr>
        <w:ind w:left="-20" w:firstLine="436"/>
        <w:spacing w:after="0" w:line="254" w:lineRule="auto"/>
        <w:tabs>
          <w:tab w:leader="none" w:pos="63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Jurisdiction; Agreement for Service</w:t>
      </w:r>
      <w:r>
        <w:rPr>
          <w:rFonts w:ascii="Times New Roman" w:cs="Times New Roman" w:eastAsia="Times New Roman" w:hAnsi="Times New Roman"/>
          <w:sz w:val="18"/>
          <w:szCs w:val="18"/>
          <w:color w:val="auto"/>
        </w:rPr>
        <w:t>. All issues and questions concerning the construction, validity, enforcement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 The Parties agree that all disputes, legal actions, suits and proceedings arising out of or relating to this Agreement must be brought exclusively in a federal district court or a state court in New York County, New York. Each Party hereby consents and submits to the exclusive jurisdiction of such courts. Each Party hereby irrevocably waives all claims of immunity from jurisdiction and any right to object on the basis that any dispute, action, suit or proceeding brought in such court has been brought in an improper or inconvenient forum or venue. No legal action, suit or proceeding with respect to this Agreement may be brought in any other forum except to enforce a judgment entered in a court described in the preceding sentence. Each Party hereby irrevocably waives all claims of immunity from jurisdiction and any right to object on the basis that any dispute, action, suit or proceeding brought in such court has been brought in an improper or inconvenient forum or venue. Each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60" w:top="268" w:right="479" w:bottom="1440" w:gutter="0" w:footer="0" w:header="0"/>
        </w:sectPr>
      </w:pPr>
    </w:p>
    <w:bookmarkStart w:id="377" w:name="page378"/>
    <w:bookmarkEnd w:id="377"/>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Softbank and the Dexxon Investors (A) acknowledges that it has, by separate written instrument, irrevocably designated and appointed Corporation Service Company (“</w:t>
      </w:r>
      <w:r>
        <w:rPr>
          <w:rFonts w:ascii="Times New Roman" w:cs="Times New Roman" w:eastAsia="Times New Roman" w:hAnsi="Times New Roman"/>
          <w:sz w:val="17"/>
          <w:szCs w:val="17"/>
          <w:b w:val="1"/>
          <w:bCs w:val="1"/>
          <w:color w:val="auto"/>
        </w:rPr>
        <w:t>CSC</w:t>
      </w:r>
      <w:r>
        <w:rPr>
          <w:rFonts w:ascii="Times New Roman" w:cs="Times New Roman" w:eastAsia="Times New Roman" w:hAnsi="Times New Roman"/>
          <w:sz w:val="17"/>
          <w:szCs w:val="17"/>
          <w:color w:val="auto"/>
        </w:rPr>
        <w:t>”), 1180 Avenue of the Americas, Suite 210, New York, NY 10036-8401 as its authorized agent upon which process may be served in any suit or proceeding arising out of or relating to this Agreement and acknowledges that CSC has accepted such designation and (B) agrees that service of process upon CSC, and written notice of said service to any such Party, in the manner provided in Section 13(k) shall be deemed in every respect effective service of process upon such Party, as the case may be, in any such suit or proceeding. Each of the Company, Softbank and the Dexxon Investors further agrees to take any and all action, including the execution and filing of any and all such documents and instruments, as may be necessary to continue such designation and appointment of CSC in full force and effect so long as this Agreement shall be in effect.</w:t>
      </w:r>
    </w:p>
    <w:p>
      <w:pPr>
        <w:spacing w:after="0" w:line="169" w:lineRule="exact"/>
        <w:rPr>
          <w:sz w:val="20"/>
          <w:szCs w:val="20"/>
          <w:color w:val="auto"/>
        </w:rPr>
      </w:pPr>
    </w:p>
    <w:p>
      <w:pPr>
        <w:ind w:right="100" w:firstLine="436"/>
        <w:spacing w:after="0" w:line="255" w:lineRule="auto"/>
        <w:tabs>
          <w:tab w:leader="none" w:pos="65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TRIAL BY JURY</w:t>
      </w:r>
      <w:r>
        <w:rPr>
          <w:rFonts w:ascii="Times New Roman" w:cs="Times New Roman" w:eastAsia="Times New Roman" w:hAnsi="Times New Roman"/>
          <w:sz w:val="18"/>
          <w:szCs w:val="18"/>
          <w:color w:val="auto"/>
        </w:rPr>
        <w:t>. TO THE EXTENT NOT PROHIBITED BY APPLICABLE LAW THAT CANNOT BE WAIVED,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HEREBY WAIVE, AND COVENANT THAT THEY WILL NOT ASSERT (WHETHER AS PLAINTIFF, DEFENDANT OR OTHERWISE), ANY RIGHT TO TRIAL BY JURY IN ANY ACTION ARISING IN WHOLE OR IN PART UNDER OR IN CONNECTION WITH THIS AGREEMENT OR THE TRANSACTIONS CONTEMPLATED HEREBY,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ITS RIGHT TO TRIAL BY JURY IN ANY PROCEEDING WHATSOEVER BETWEEN THEM RELATING TO THIS AGREEMENT OR ANY OF THE TRANSACTIONS CONTEMPLATED HEREBY.</w:t>
      </w:r>
    </w:p>
    <w:p>
      <w:pPr>
        <w:spacing w:after="0" w:line="184"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All notices, demands or other communications to be given or delivered under or by reason of the provisions of this Agreement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writing and will be deemed to have been given when (i) delivered personally to the recipient, (ii) received, if sent by confirmed electronic mail or facsimile during normal business hours of the recipient (or, if sent outside of normal business hours, then on the next business day) or (iii) one (1) business day after it is sent to the recipient by reputable overnight courier service (charges prepaid). Such notices, demands and other communications will be sent to the Company at the address set forth below and to any other Party to this Agreement at such address as indicated by the Company’s records, or at such other Party’s principal place of business with copies (which shall not constitute notice) to such address or to the attention of such other person as the recipient Party has specified by prior written notice to the sending Party.</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To the Company:</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Roivant Sciences Ltd.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1, 3rd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11-12 St. James’s Square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SW1Y 4LB</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United Kingdom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78" w:name="page379"/>
    <w:bookmarkEnd w:id="378"/>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Attention: Marianne Romeo</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marianne.romeo@roivant.com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copies (which shall not constitute notice to the Company) to:</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Derek J. Dostal; Lee Hochbaum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Telephone: (212) 450-4322; (212) 450-4736</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Email: derek.dostal@davispolk.com; lee.hochbaum@davispolk.com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any of the Dexxon Investors at:</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 Dexxon Holdings Ltd.</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 Dexcel Street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Or Akiva, 30600000, Israel</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Dan Oren, President &amp; CEO</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Telephone: +972-4-6364040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+972-4-6364004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Dan@Dexcel.com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 the Dexxon Investors) to:</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Greenberg Traurig, P.A.</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333 S.E. 2nd Avenue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Miami, FL 33131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Robert L. Grossman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Telephone: 1-305-579-7970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1-305-579-0717</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grossmanb@gtlaw.com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any of the QVT Investors at:</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 QVT Financial 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888 Seventh Avenue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legalnotices@qvt.com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(212) 705-8820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 the QVT Investors) to:</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Davis Graham &amp; Stubbs LLP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1550 17th Street, Suite 500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Denver, CO 80202</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John Elofson</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579"/>
          </w:cols>
          <w:pgMar w:left="880" w:top="270" w:right="1440" w:bottom="1440" w:gutter="0" w:footer="0" w:header="0"/>
        </w:sectPr>
      </w:pPr>
    </w:p>
    <w:bookmarkStart w:id="379" w:name="page380"/>
    <w:bookmarkEnd w:id="379"/>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Telephone: (303) 892-7335</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(303) 893-1379</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John.Elofson@dgslaw.com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any of the Viking Investors at:</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 Viking Global Investors 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55 Railroad Avenue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legalnotices@vikingglobal.com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 the Viking Investors) to:</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Gunderson Dettmer Stough Villeneuve Franklin &amp; Hachigian, LLP</w:t>
      </w:r>
    </w:p>
    <w:p>
      <w:pPr>
        <w:spacing w:after="0" w:line="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1250 Broadway, 23rd Floor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Greg Volkmar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Phone: (212) 430-3170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gvolkmar@gunder.com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Softbank at:</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 SB Investment Advisers (US) Inc.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 Circle Star Way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Attn: Akshay Naheta</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akshay@softbank.com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copies (which shall not constitute notice to Softbank) to:</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SB Investment Advisers (US) Inc.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 Circle Star Way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Attn: Brian Wheeler, General Counsel</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bwheeler@softbank.com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Attn: Matthew S. Bartus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mbartus@cooley.com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Telephone: (650) 843-5756</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579"/>
          </w:cols>
          <w:pgMar w:left="880" w:top="270" w:right="1440" w:bottom="1440" w:gutter="0" w:footer="0" w:header="0"/>
        </w:sectPr>
      </w:pPr>
    </w:p>
    <w:bookmarkStart w:id="380" w:name="page381"/>
    <w:bookmarkEnd w:id="380"/>
    <w:p>
      <w:pPr>
        <w:ind w:left="4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Sumitomo at:</w:t>
      </w:r>
    </w:p>
    <w:p>
      <w:pPr>
        <w:spacing w:after="0" w:line="2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 Sumitomo Dainippon Pharma Co., Ltd</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6-8, Doshomachi 2-Chome, Chuo-ku</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Osaka 541-0045 Japan</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Attention: Shigeyuki Nishinaka, Senior Executive Officer, Global Corporate Strategy</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shigeyuki-nishinaka@ds-pharma.co.jp</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 Sumitomo) to:</w:t>
      </w:r>
    </w:p>
    <w:p>
      <w:pPr>
        <w:spacing w:after="0" w:line="2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3161 Michelson Drive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Irvine, CA 92612-4412</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Attention: Jonn R. Beeson, Esq.</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jbeeson@jonesday.com</w:t>
      </w:r>
    </w:p>
    <w:p>
      <w:pPr>
        <w:spacing w:after="0" w:line="205" w:lineRule="exact"/>
        <w:rPr>
          <w:sz w:val="20"/>
          <w:szCs w:val="20"/>
          <w:color w:val="auto"/>
        </w:rPr>
      </w:pPr>
    </w:p>
    <w:p>
      <w:pPr>
        <w:jc w:val="both"/>
        <w:ind w:left="-20" w:firstLine="436"/>
        <w:spacing w:after="0" w:line="261" w:lineRule="auto"/>
        <w:tabs>
          <w:tab w:leader="none" w:pos="63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Cumulative</w:t>
      </w:r>
      <w:r>
        <w:rPr>
          <w:rFonts w:ascii="Times New Roman" w:cs="Times New Roman" w:eastAsia="Times New Roman" w:hAnsi="Times New Roman"/>
          <w:sz w:val="18"/>
          <w:szCs w:val="18"/>
          <w:color w:val="auto"/>
        </w:rPr>
        <w:t>. The rights and remedies of each of the Parties under this Agreement shall be cumulative and not exclusive of any rights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remedies which a Party would otherwise have hereunder at law or in equity or by statute, and no failure or delay by either Party in exercising any right or remedy shall not impair any such right or remedy or operate as a waiver of such right or remedy, and neither shall any single or partial exercise of any power or right preclude a Party’s other or further exercise thereof or the exercise of any other power or right.</w:t>
      </w:r>
    </w:p>
    <w:p>
      <w:pPr>
        <w:spacing w:after="0" w:line="179" w:lineRule="exact"/>
        <w:rPr>
          <w:rFonts w:ascii="Times New Roman" w:cs="Times New Roman" w:eastAsia="Times New Roman" w:hAnsi="Times New Roman"/>
          <w:sz w:val="18"/>
          <w:szCs w:val="18"/>
          <w:color w:val="auto"/>
        </w:rPr>
      </w:pPr>
    </w:p>
    <w:p>
      <w:pPr>
        <w:jc w:val="both"/>
        <w:ind w:left="-20" w:right="200" w:firstLine="436"/>
        <w:spacing w:after="0" w:line="267" w:lineRule="auto"/>
        <w:tabs>
          <w:tab w:leader="none" w:pos="72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Strict Construction</w:t>
      </w:r>
      <w:r>
        <w:rPr>
          <w:rFonts w:ascii="Times New Roman" w:cs="Times New Roman" w:eastAsia="Times New Roman" w:hAnsi="Times New Roman"/>
          <w:sz w:val="18"/>
          <w:szCs w:val="18"/>
          <w:color w:val="auto"/>
        </w:rPr>
        <w:t>. The Parties have participated jointly in the negotiation and drafting of this Agreement. In the event an ambiguity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73" w:lineRule="exact"/>
        <w:rPr>
          <w:rFonts w:ascii="Times New Roman" w:cs="Times New Roman" w:eastAsia="Times New Roman" w:hAnsi="Times New Roman"/>
          <w:sz w:val="18"/>
          <w:szCs w:val="18"/>
          <w:color w:val="auto"/>
        </w:rPr>
      </w:pPr>
    </w:p>
    <w:p>
      <w:pPr>
        <w:ind w:left="-20" w:right="140" w:firstLine="436"/>
        <w:spacing w:after="0" w:line="267" w:lineRule="auto"/>
        <w:tabs>
          <w:tab w:leader="none" w:pos="67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Complete Agreement. </w:t>
      </w:r>
      <w:r>
        <w:rPr>
          <w:rFonts w:ascii="Times New Roman" w:cs="Times New Roman" w:eastAsia="Times New Roman" w:hAnsi="Times New Roman"/>
          <w:sz w:val="18"/>
          <w:szCs w:val="18"/>
          <w:color w:val="auto"/>
        </w:rPr>
        <w:t>This Agreement and the other agreements and instruments referred to herein contain the complete agreement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Parties with respect to the subject matter hereof and thereof and supersede any prior understandings, agreements and representations by or between the parties hereto (whether written or oral) that may have related to the subject matter hereof or thereof in any way.</w:t>
      </w:r>
    </w:p>
    <w:p>
      <w:pPr>
        <w:spacing w:after="0" w:line="173" w:lineRule="exact"/>
        <w:rPr>
          <w:rFonts w:ascii="Times New Roman" w:cs="Times New Roman" w:eastAsia="Times New Roman" w:hAnsi="Times New Roman"/>
          <w:sz w:val="18"/>
          <w:szCs w:val="18"/>
          <w:color w:val="auto"/>
        </w:rPr>
      </w:pPr>
    </w:p>
    <w:p>
      <w:pPr>
        <w:ind w:left="-20" w:right="440" w:firstLine="436"/>
        <w:spacing w:after="0" w:line="267" w:lineRule="auto"/>
        <w:tabs>
          <w:tab w:leader="none" w:pos="67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Aggregation of Stock</w:t>
      </w:r>
      <w:r>
        <w:rPr>
          <w:rFonts w:ascii="Times New Roman" w:cs="Times New Roman" w:eastAsia="Times New Roman" w:hAnsi="Times New Roman"/>
          <w:sz w:val="18"/>
          <w:szCs w:val="18"/>
          <w:color w:val="auto"/>
        </w:rPr>
        <w:t>. All shares of Registrable Securities held or acquired by Affiliates shall be aggregated together for the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the availability of any rights under this Agreement and such Affiliated persons may apportion such rights as among themselves in any manner they deem appropriate.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60" w:top="268" w:right="479" w:bottom="1440" w:gutter="0" w:footer="0" w:header="0"/>
        </w:sectPr>
      </w:pPr>
    </w:p>
    <w:bookmarkStart w:id="381" w:name="page382"/>
    <w:bookmarkEnd w:id="3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i w:val="1"/>
          <w:iCs w:val="1"/>
          <w:color w:val="auto"/>
        </w:rPr>
        <w:t>MNPI Provisions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4" w:lineRule="auto"/>
        <w:tabs>
          <w:tab w:leader="none" w:pos="68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acknowledges that (i) the provisions of Section 1, 2 and 4 of this Agreement may require certain communications to be made by the Company or other Shareholders to such Shareholder that may result in such Shareholder and its Representatives (as defined below) acquiring MNPI (which may include, solely by way of illustration, the fact that an offering of the Company’s securities is pending or the number of Company securities or the identity of the selling Shareholders) (such communications, “</w:t>
      </w:r>
      <w:r>
        <w:rPr>
          <w:rFonts w:ascii="Times New Roman" w:cs="Times New Roman" w:eastAsia="Times New Roman" w:hAnsi="Times New Roman"/>
          <w:sz w:val="18"/>
          <w:szCs w:val="18"/>
          <w:b w:val="1"/>
          <w:bCs w:val="1"/>
          <w:color w:val="auto"/>
        </w:rPr>
        <w:t>RRA Communications</w:t>
      </w:r>
      <w:r>
        <w:rPr>
          <w:rFonts w:ascii="Times New Roman" w:cs="Times New Roman" w:eastAsia="Times New Roman" w:hAnsi="Times New Roman"/>
          <w:sz w:val="18"/>
          <w:szCs w:val="18"/>
          <w:color w:val="auto"/>
        </w:rPr>
        <w:t>”), and (ii) subject to the time limitations set forth in Section 1(e) and the qualifications in Section 14(b), there is no limitation on the duration of time that such Shareholder and its Representatives may be in possession of MNPI included in such RRA Communications and no requirement that the Company or other Shareholders make any public disclosure to cause information in such RRA Communications to cease to be MNPI; provided that the Company will notify each Shareholder entitled to notice or who received an RRA Communication if any proposed registration or offering for which an RRA Communication has been delivered pursuant to this Agreement has been terminated or aborted to the extent the knowledge of such registration or offering constitutes MNPI.</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agrees that it will maintain the confidentiality of MNPI in RRA Communications delivered to it and, to the extent such Shareholder is not a natural person, such confidential treatment shall be in accordance with procedures adopted by it in good faith to protect confidential information of third parties delivered to such Shareholder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provided that the obligation to maintain confidentiality of MNPI in RRA Communications shall cease when the information in the RRA Communications (i) is known or becomes known to the public in general (other than as a result of a breach of this Section 14(b) by such Shareholder or its Representatives), or (ii) is or has been made known or disclosed to the Shareholder by a third party not known by such Shareholder to be in breach of any obligation of confidentiality such third party may have to the Company; provided further that a Shareholder may deliver or disclose MNPI in such RRA Communications to (1) to its affiliates, its and its affiliates’ respective directors, officers, employees, partners, members, agents, attorneys, consultants and financial and other advisors, and potential sources of capital (including potential limited partners) (collectively,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but solely to the extent such disclosure reasonably relates to its evaluation of exercise of its rights under this Agreement and the sale of any Registrable Securities in connection with the subject of the notice, (2) to any federal, state, national, foreign or other regulatory or self-regulatory authority having jurisdiction over such Shareholder, or (3) to any Person if necessary to effect compliance with any law, rule, regulation, investigation, audit, request or order applicable to such Shareholder, including in response to any subpoena or other legal process, audit or examinations; provided further, that in the case of clause (1), the recipients of such MNPI in such RRA Communications are subject to the Policies or agree to or are otherwise obligated to hold confidential the MNPI in a manner substantially consistent with the terms of this Section 14 and that in the case of clauses (2) and (3), such Shareholder promptly notifies the Company of such disclosure to the extent such Shareholder is legally permitted to give such notice and it is reasonably practicable; provided further, no such notice shall be required where disclosure is made (x) in response to a general request by a regulatory or self-regulatory authority or (y) in connection with a routine audit or examination by a bank examiner or auditor and such audit or examination does not reference the Company or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8" w:right="459" w:bottom="1440" w:gutter="0" w:footer="0" w:header="0"/>
        </w:sectPr>
      </w:pPr>
    </w:p>
    <w:bookmarkStart w:id="382" w:name="page383"/>
    <w:bookmarkEnd w:id="382"/>
    <w:p>
      <w:pPr>
        <w:ind w:left="-40" w:firstLine="436"/>
        <w:spacing w:after="0" w:line="256" w:lineRule="auto"/>
        <w:tabs>
          <w:tab w:leader="none" w:pos="64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Shareholder, by its execution of this Agreement, hereby (i) acknowledges that it is aware that the U.S. securities laws prohibit any Person who has MNPI about a company from purchasing or selling, directly or indirectly, securities of such company (including entering into hedge transactions involving such securities), or from communicating such information to any other Person in certain circumstances, and (ii) agrees that it will not use or permit any third party to use, and that it will use its commercially reasonable efforts to assure that none of its Representatives will use or permit any third party to use, any MNPI the Company provides in contravention of the U.S. securities laws and such Shareholder will cease trading in the Company’s securities while in possession of such MNPI to the extent prohibited by law.</w:t>
      </w:r>
    </w:p>
    <w:p>
      <w:pPr>
        <w:spacing w:after="0" w:line="187" w:lineRule="exact"/>
        <w:rPr>
          <w:rFonts w:ascii="Times New Roman" w:cs="Times New Roman" w:eastAsia="Times New Roman" w:hAnsi="Times New Roman"/>
          <w:sz w:val="18"/>
          <w:szCs w:val="18"/>
          <w:color w:val="auto"/>
        </w:rPr>
      </w:pPr>
    </w:p>
    <w:p>
      <w:pPr>
        <w:ind w:left="-40" w:right="120" w:firstLine="436"/>
        <w:spacing w:after="0" w:line="253" w:lineRule="auto"/>
        <w:tabs>
          <w:tab w:leader="none" w:pos="65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shall have the right, at any time and from time to time (including after receiving information regarding any potential underwritten offering), to elect not to receive RRA Communications that the Company or any other Shareholders otherwise are required to deliver pursuant to this Agreement by delivering to the Company a written statement signed by such Shareholder that it does not want to receive any RRA Communications (an “</w:t>
      </w:r>
      <w:r>
        <w:rPr>
          <w:rFonts w:ascii="Times New Roman" w:cs="Times New Roman" w:eastAsia="Times New Roman" w:hAnsi="Times New Roman"/>
          <w:sz w:val="18"/>
          <w:szCs w:val="18"/>
          <w:b w:val="1"/>
          <w:bCs w:val="1"/>
          <w:color w:val="auto"/>
        </w:rPr>
        <w:t>Opt-Out Request</w:t>
      </w:r>
      <w:r>
        <w:rPr>
          <w:rFonts w:ascii="Times New Roman" w:cs="Times New Roman" w:eastAsia="Times New Roman" w:hAnsi="Times New Roman"/>
          <w:sz w:val="18"/>
          <w:szCs w:val="18"/>
          <w:color w:val="auto"/>
        </w:rPr>
        <w:t>”); in which case, and notwithstanding anything to the contrary in this Agreement, the Company and other Shareholders shall not be required to, and shall not, deliver any RRA Communications for which the Shareholder has indicated in the Opt-Out Request that it does not want to receive hereunder to the extent that such RRA Communications would result in a Shareholder acquiring MNPI. An Opt-Out Request may state a date on which it expires or, if no such date is specified, shall remain in effect until the Shareholder notifies the Company that it withdraws the Opt-Out Request, and the Shareholder may, in its sole discretion, determine the scope and applicability of the Opt-Out Request as set forth in the Opt-Out Request. A Shareholder who previously has given the Company an Opt-Out Request may update or revoke such request at any time, and there shall be no limit on the ability of a Shareholder to issue, update and revoke subsequent Opt-Out Requests; provided that each Shareholder shall use commercially reasonable efforts to minimize the administrative burden on the Company arising in connection with any such Opt-Out Requests.</w:t>
      </w:r>
    </w:p>
    <w:p>
      <w:pPr>
        <w:spacing w:after="0" w:line="189" w:lineRule="exact"/>
        <w:rPr>
          <w:rFonts w:ascii="Times New Roman" w:cs="Times New Roman" w:eastAsia="Times New Roman" w:hAnsi="Times New Roman"/>
          <w:sz w:val="18"/>
          <w:szCs w:val="18"/>
          <w:color w:val="auto"/>
        </w:rPr>
      </w:pPr>
    </w:p>
    <w:p>
      <w:pPr>
        <w:ind w:left="5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480" w:top="270" w:right="479" w:bottom="1440" w:gutter="0" w:footer="0" w:header="0"/>
        </w:sectPr>
      </w:pPr>
    </w:p>
    <w:bookmarkStart w:id="383" w:name="page384"/>
    <w:bookmarkEnd w:id="383"/>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or caused to be executed on their behalf this Third Amended and Restated Registration Rights Agreement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ROIVANT SCIENCES LTD.</w:t>
      </w:r>
    </w:p>
    <w:p>
      <w:pPr>
        <w:spacing w:after="0" w:line="23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Marianne Romeo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Marianne Romeo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7"/>
          <w:szCs w:val="17"/>
          <w:color w:val="auto"/>
        </w:rPr>
        <w:t>Title:</w:t>
        <w:tab/>
        <w:t>Head, Global Transactions &amp; Risk Management</w:t>
      </w: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Registration Rights Agreement]</w:t>
      </w:r>
    </w:p>
    <w:p>
      <w:pPr>
        <w:sectPr>
          <w:pgSz w:w="11900" w:h="16838" w:orient="portrait"/>
          <w:cols w:equalWidth="0" w:num="1">
            <w:col w:w="10660"/>
          </w:cols>
          <w:pgMar w:left="440" w:top="270" w:right="799" w:bottom="1440" w:gutter="0" w:footer="0" w:header="0"/>
        </w:sectPr>
      </w:pPr>
    </w:p>
    <w:bookmarkStart w:id="384" w:name="page385"/>
    <w:bookmarkEnd w:id="38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or caused to be executed on their behalf this Third Amended and Restated Registration Rights Agreement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SVF Investments (UK) Limited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[authorized signatory]</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Registration Rights Agreement]</w:t>
      </w:r>
    </w:p>
    <w:p>
      <w:pPr>
        <w:sectPr>
          <w:pgSz w:w="11900" w:h="16838" w:orient="portrait"/>
          <w:cols w:equalWidth="0" w:num="1">
            <w:col w:w="10560"/>
          </w:cols>
          <w:pgMar w:left="440" w:top="270" w:right="899" w:bottom="1440" w:gutter="0" w:footer="0" w:header="0"/>
        </w:sectPr>
      </w:pPr>
    </w:p>
    <w:bookmarkStart w:id="385" w:name="page386"/>
    <w:bookmarkEnd w:id="38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or caused to be executed on their behalf this Third Amended and Restated Registration Rights Agreement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DEXXON HOLDINGS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Dan Oren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Registration Rights Agreement]</w:t>
      </w:r>
    </w:p>
    <w:p>
      <w:pPr>
        <w:sectPr>
          <w:pgSz w:w="11900" w:h="16838" w:orient="portrait"/>
          <w:cols w:equalWidth="0" w:num="1">
            <w:col w:w="10560"/>
          </w:cols>
          <w:pgMar w:left="440" w:top="270" w:right="899" w:bottom="1440" w:gutter="0" w:footer="0" w:header="0"/>
        </w:sectPr>
      </w:pPr>
    </w:p>
    <w:bookmarkStart w:id="386" w:name="page387"/>
    <w:bookmarkEnd w:id="38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DEXCEL PHARMA TECHNOLOGIES LTD</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 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Chairman of the Board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Third Amended and Restated Registration Rights Agreement]</w:t>
      </w:r>
    </w:p>
    <w:p>
      <w:pPr>
        <w:sectPr>
          <w:pgSz w:w="11900" w:h="16838" w:orient="portrait"/>
          <w:cols w:equalWidth="0" w:num="1">
            <w:col w:w="9019"/>
          </w:cols>
          <w:pgMar w:left="1440" w:top="270" w:right="1440" w:bottom="1440" w:gutter="0" w:footer="0" w:header="0"/>
        </w:sectPr>
      </w:pPr>
    </w:p>
    <w:bookmarkStart w:id="387" w:name="page388"/>
    <w:bookmarkEnd w:id="38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or caused to be executed on their behalf this Third Amended and Restated Registration Rights Agreement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QVT INVESTORS: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QVT FINANCIAL INVESTMENT CAYMAN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Ian Pilgrim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Ian Pilgrim</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QVT ROIV HLDGS OFFSHORE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Ian Pilgrim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Ian Pilgrim</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QVT ROIV HLDGS ONSHORE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Ian Pilgrim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Ian Pilgrim</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Registration Rights Agreement]</w:t>
      </w:r>
    </w:p>
    <w:p>
      <w:pPr>
        <w:sectPr>
          <w:pgSz w:w="11900" w:h="16838" w:orient="portrait"/>
          <w:cols w:equalWidth="0" w:num="1">
            <w:col w:w="10560"/>
          </w:cols>
          <w:pgMar w:left="440" w:top="270" w:right="899" w:bottom="1440" w:gutter="0" w:footer="0" w:header="0"/>
        </w:sectPr>
      </w:pPr>
    </w:p>
    <w:bookmarkStart w:id="388" w:name="page389"/>
    <w:bookmarkEnd w:id="38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QVT DEFERRED COMPENSATION HOLDINGS LTD.</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 Gold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QVT P&amp;E ROIV HLDGS LTD.</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 Gold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Registration Rights Agreement]</w:t>
      </w:r>
    </w:p>
    <w:p>
      <w:pPr>
        <w:sectPr>
          <w:pgSz w:w="11900" w:h="16838" w:orient="portrait"/>
          <w:cols w:equalWidth="0" w:num="1">
            <w:col w:w="9780"/>
          </w:cols>
          <w:pgMar w:left="1440" w:top="270" w:right="679" w:bottom="1440" w:gutter="0" w:footer="0" w:header="0"/>
        </w:sectPr>
      </w:pPr>
    </w:p>
    <w:bookmarkStart w:id="389" w:name="page390"/>
    <w:bookmarkEnd w:id="38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 Avenue Capital Partners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its general partner Fourth Avenue Capital Partners GP</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LLC</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 Gold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Registration Rights Agreement]</w:t>
      </w:r>
    </w:p>
    <w:p>
      <w:pPr>
        <w:sectPr>
          <w:pgSz w:w="11900" w:h="16838" w:orient="portrait"/>
          <w:cols w:equalWidth="0" w:num="1">
            <w:col w:w="9760"/>
          </w:cols>
          <w:pgMar w:left="1440" w:top="270" w:right="699" w:bottom="1440" w:gutter="0" w:footer="0" w:header="0"/>
        </w:sectPr>
      </w:pPr>
    </w:p>
    <w:bookmarkStart w:id="390" w:name="page391"/>
    <w:bookmarkEnd w:id="390"/>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or caused to be executed on their behalf this Third Amended and Restated Registration Rights Agreement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VIKING INVESTORS: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VIKING GLOBAL OPPORTUNITIES ILLIQUID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INVESTMENTS SUB-MASTER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Viking Global Opportunities Portfolio GP LLC, its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Bloom</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VIKING GLOBAL EQUITIES II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 Viking Global Performance LLC, its general partner</w:t>
      </w:r>
    </w:p>
    <w:p>
      <w:pPr>
        <w:spacing w:after="0" w:line="232"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Bloom</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Registration Rights Agreement]</w:t>
      </w:r>
    </w:p>
    <w:p>
      <w:pPr>
        <w:sectPr>
          <w:pgSz w:w="11900" w:h="16838" w:orient="portrait"/>
          <w:cols w:equalWidth="0" w:num="1">
            <w:col w:w="10680"/>
          </w:cols>
          <w:pgMar w:left="440" w:top="270" w:right="779" w:bottom="1440" w:gutter="0" w:footer="0" w:header="0"/>
        </w:sectPr>
      </w:pPr>
    </w:p>
    <w:bookmarkStart w:id="391" w:name="page392"/>
    <w:bookmarkEnd w:id="39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PURCHASERS (CONTINUED):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VIKING GLOBAL EQUITIES MASTER LTD.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Viking Global Performance LLC, its investment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Bloom</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VIKING LONG FUND MASTER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Viking Long Fund GP LLC, its investment manager</w:t>
      </w:r>
    </w:p>
    <w:p>
      <w:pPr>
        <w:spacing w:after="0" w:line="232"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Bloom</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Registration Rights Agreement]</w:t>
      </w:r>
    </w:p>
    <w:p>
      <w:pPr>
        <w:sectPr>
          <w:pgSz w:w="11900" w:h="16838" w:orient="portrait"/>
          <w:cols w:equalWidth="0" w:num="1">
            <w:col w:w="9660"/>
          </w:cols>
          <w:pgMar w:left="1440" w:top="270" w:right="799" w:bottom="1440" w:gutter="0" w:footer="0" w:header="0"/>
        </w:sectPr>
      </w:pPr>
    </w:p>
    <w:bookmarkStart w:id="392" w:name="page393"/>
    <w:bookmarkEnd w:id="39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or caused to be executed on their behalf this Third Amended and Restated Registration Rights Agreement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SUMITOMO DAINIPPON PHARMA CO.,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Hiroshi Nomura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Hiroshi Nomura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Representative Director, President and CEO</w:t>
      </w:r>
    </w:p>
    <w:p>
      <w:pPr>
        <w:spacing w:after="0" w:line="2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Registration Rights Agreement]</w:t>
      </w:r>
    </w:p>
    <w:p>
      <w:pPr>
        <w:sectPr>
          <w:pgSz w:w="11900" w:h="16838" w:orient="portrait"/>
          <w:cols w:equalWidth="0" w:num="1">
            <w:col w:w="10560"/>
          </w:cols>
          <w:pgMar w:left="440" w:top="270" w:right="899" w:bottom="1440" w:gutter="0" w:footer="0" w:header="0"/>
        </w:sectPr>
      </w:pPr>
    </w:p>
    <w:bookmarkStart w:id="393" w:name="page394"/>
    <w:bookmarkEnd w:id="39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or caused to be executed on their behalf this Third Amended and Restated Registration Rights Agreement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VIVEK RAMASWAMY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Vivek Ramaswamy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Registration Rights Agreement]</w:t>
      </w:r>
    </w:p>
    <w:p>
      <w:pPr>
        <w:sectPr>
          <w:pgSz w:w="11900" w:h="16838" w:orient="portrait"/>
          <w:cols w:equalWidth="0" w:num="1">
            <w:col w:w="10560"/>
          </w:cols>
          <w:pgMar w:left="440" w:top="270" w:right="899" w:bottom="1440" w:gutter="0" w:footer="0" w:header="0"/>
        </w:sectPr>
      </w:pPr>
    </w:p>
    <w:bookmarkStart w:id="394" w:name="page395"/>
    <w:bookmarkEnd w:id="394"/>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Cutler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S. Roemer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Rafael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Home Assurance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Anchorage Illiquid Opportunities Offshore Master 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Anchorage Illiquid Opportunities Offshore Master VI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Astellas Pharma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Beatriz Toporowicz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Silver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Symonds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Chidambar Kulkarni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Christiana Trust as trustee of the Alan S. Roemer 2015 Family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CRS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Michalow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F. Roemer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Shankman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Elaine S. Roemer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IMEDRA 841 Family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Strong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Fassberg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Jorge Goti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Ryan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Nunziata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Friedhoff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LBV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Malcolm Levine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Spiro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Navroz Udwadia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Nicholas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Novaquest Pharma Opportunities Fund 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Novaquest Pharma Opportunities Fund V (Delaware),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Omar Musa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Parvinder Thiara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Perea Capital Partners,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One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Randolph Street Investment Partners, L.P.—2014 DIF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 Cahnman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Schinazi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RFS Partners,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Kim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RMG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RPY Investments,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Innovation Master Fund, Ltd.</w:t>
      </w:r>
    </w:p>
    <w:p>
      <w:pPr>
        <w:sectPr>
          <w:pgSz w:w="11900" w:h="16838" w:orient="portrait"/>
          <w:cols w:equalWidth="0" w:num="1">
            <w:col w:w="10019"/>
          </w:cols>
          <w:pgMar w:left="440" w:top="266" w:right="1440"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RTW Master Fund, Ltd.Sahsen Foundation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Viju Kulkarni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Vikram Modi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Waqas Khatri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Symonds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Xiaotong Zhou</w:t>
      </w:r>
    </w:p>
    <w:p>
      <w:pPr>
        <w:sectPr>
          <w:pgSz w:w="11900" w:h="16838" w:orient="portrait"/>
          <w:cols w:equalWidth="0" w:num="1">
            <w:col w:w="10019"/>
          </w:cols>
          <w:pgMar w:left="440" w:top="270" w:right="1440" w:bottom="1440" w:gutter="0" w:footer="0" w:header="0"/>
        </w:sectPr>
      </w:pPr>
    </w:p>
    <w:bookmarkStart w:id="396" w:name="page397"/>
    <w:bookmarkEnd w:id="396"/>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397" w:name="page398"/>
    <w:bookmarkEnd w:id="39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JOINDER AGREEMENT</w:t>
      </w:r>
    </w:p>
    <w:p>
      <w:pPr>
        <w:spacing w:after="0" w:line="117" w:lineRule="exact"/>
        <w:rPr>
          <w:sz w:val="20"/>
          <w:szCs w:val="20"/>
          <w:color w:val="auto"/>
        </w:rPr>
      </w:pPr>
    </w:p>
    <w:p>
      <w:pPr>
        <w:ind w:right="480" w:firstLine="440"/>
        <w:spacing w:after="0" w:line="262"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is being delivered to Roivant Sciences Ltd., a Bermuda exempted limited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Reference is made to the Third Amended and Restated Registration Rights Agreement, dated as of May 1, 2021, by and among the Company and certain shareholders of the Company from time to time Party thereto (as amended, modified or restated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Capitalized terms used but not otherwise defined herein shall have the meaning set forth in the Agreement.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undersigned hereby acknowledges and agrees that its signature below constitutes an executed counterpart signature page to the Agreement and hereby agrees to become a Party to the Agreement and to be subject to, and bound by, all of the terms and conditions of the Agreement as an “Other Shareholder.” The undersigned hereby acknowledges that it has received a copy of the Agreement and has had an opportunity to consult with independent legal counsel regarding the terms and conditions therein.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has executed this Joinder as of the date set forth below.</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17145</wp:posOffset>
            </wp:positionV>
            <wp:extent cx="222885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5715</wp:posOffset>
            </wp:positionV>
            <wp:extent cx="222885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151384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9">
                      <a:extLst>
                        <a:ext uri="{28A0092B-C50C-407E-A947-70E740481C1C}"/>
                      </a:extLst>
                    </a:blip>
                    <a:srcRect/>
                    <a:stretch>
                      <a:fillRect/>
                    </a:stretch>
                  </pic:blipFill>
                  <pic:spPr bwMode="auto">
                    <a:xfrm>
                      <a:off x="0" y="0"/>
                      <a:ext cx="1513840" cy="8890"/>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SUBSCRIPTION AGREEMENT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Montes Archimedes Acquisition Corp.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724 Oak Grove, Suite 130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being entered into as of the date set forth on the signature page hereto, by and among Montes Archimedes Acquisition Corp., a Delaware corporation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the undersigned subscriber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solely for the purposes of Sections 6, 8 and 11, Roivant Sciences Ltd., a Bermuda exempted limited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Business Combination Agreement, dated as of the date hereof (as may be amended, supplemented or otherwise modified from time to time, the “</w:t>
      </w:r>
      <w:r>
        <w:rPr>
          <w:rFonts w:ascii="Times New Roman" w:cs="Times New Roman" w:eastAsia="Times New Roman" w:hAnsi="Times New Roman"/>
          <w:sz w:val="18"/>
          <w:szCs w:val="18"/>
          <w:u w:val="single" w:color="auto"/>
          <w:color w:val="auto"/>
        </w:rPr>
        <w:t>BCA</w:t>
      </w:r>
      <w:r>
        <w:rPr>
          <w:rFonts w:ascii="Times New Roman" w:cs="Times New Roman" w:eastAsia="Times New Roman" w:hAnsi="Times New Roman"/>
          <w:sz w:val="18"/>
          <w:szCs w:val="18"/>
          <w:color w:val="auto"/>
        </w:rPr>
        <w:t>”), by and among SPAC, the Company, Rhine Merger Sub, Inc., a Delaware corporation and a direct wholly-owned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other parties thereto, pursuant to which, among other things, Merger Sub will merge with and into SPAC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SPAC as the surviving company in the Merger and, after giving effect to the Merger, will become a subsidiary of the Company, on the terms and subject to the conditions therein (the transactions contemplated by the BCA, including the Merger,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Transaction, SPAC is seeking commitments from interested investors to purchase, contingent upon, and immediately prior to the closing of the Transaction, shares of SPAC’s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a private placement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On or about the date of this Subscription Agreement, SPAC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the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substantially similar to this Subscription Agreement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pursuant to which the Investors, severally and not jointly, have agreed to purchase on the closing date of the Transaction, inclusive of the Shares subscribed for by the Investor, an aggregate amount of up to 20,000,000 Shares, at the Per Share Purchase Price. The aggregate purchase price to be paid by the Investor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Pursuant to the BCA, on the Closing Date (as defined herein), the Shares so purchased will be exchanged for shares of the Company on a one-for-one basis, as described more fully in the BCA. For the avoidance of doubt, with respect to any obligations existing in this Subscription Agreement, following consummation of the Transaction, (i) the Company shall be the public issuer and (ii) the term “Shares” as defined above shall refer to the as-converted shares in the Company. Notwithstanding anything to the contrary herein, nothing in this Subscription Agreement shall be interpreted to limit the consummation of the Transaction in accordance with the terms of the BCA.</w:t>
      </w:r>
    </w:p>
    <w:p>
      <w:pPr>
        <w:spacing w:after="0" w:line="187" w:lineRule="exact"/>
        <w:rPr>
          <w:sz w:val="20"/>
          <w:szCs w:val="20"/>
          <w:color w:val="auto"/>
        </w:rPr>
      </w:pPr>
    </w:p>
    <w:p>
      <w:pPr>
        <w:ind w:left="4" w:right="20" w:firstLine="440"/>
        <w:spacing w:after="0" w:line="312" w:lineRule="auto"/>
        <w:rPr>
          <w:sz w:val="20"/>
          <w:szCs w:val="20"/>
          <w:color w:val="auto"/>
        </w:rPr>
      </w:pPr>
      <w:r>
        <w:rPr>
          <w:rFonts w:ascii="Times New Roman" w:cs="Times New Roman" w:eastAsia="Times New Roman" w:hAnsi="Times New Roman"/>
          <w:sz w:val="17"/>
          <w:szCs w:val="17"/>
          <w:color w:val="auto"/>
        </w:rPr>
        <w:t>In connection therewith, and in consideration of the foregoing and the mutual representations, warranties and covenants, and subject to the conditions, set forth herein, and intending to be legally bound hereby, each of the Investor, the Company and SPAC acknowledges and agrees as follows:</w:t>
      </w:r>
    </w:p>
    <w:p>
      <w:pPr>
        <w:spacing w:after="0" w:line="32" w:lineRule="exact"/>
        <w:rPr>
          <w:sz w:val="20"/>
          <w:szCs w:val="20"/>
          <w:color w:val="auto"/>
        </w:rPr>
      </w:pPr>
    </w:p>
    <w:p>
      <w:pPr>
        <w:ind w:left="4" w:right="80" w:firstLine="436"/>
        <w:spacing w:after="0" w:line="282" w:lineRule="auto"/>
        <w:tabs>
          <w:tab w:leader="none" w:pos="62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irrevocably subscribes for and agrees to purchase from SPAC the number of Shares set forth on the signature page of this Subscription Agreement on the terms and subject to the conditions provided for herein.</w:t>
      </w:r>
    </w:p>
    <w:p>
      <w:pPr>
        <w:spacing w:after="0" w:line="53" w:lineRule="exact"/>
        <w:rPr>
          <w:rFonts w:ascii="Times New Roman" w:cs="Times New Roman" w:eastAsia="Times New Roman" w:hAnsi="Times New Roman"/>
          <w:sz w:val="18"/>
          <w:szCs w:val="18"/>
          <w:color w:val="auto"/>
        </w:rPr>
      </w:pPr>
    </w:p>
    <w:p>
      <w:pPr>
        <w:ind w:left="4" w:right="40" w:firstLine="436"/>
        <w:spacing w:after="0" w:line="269" w:lineRule="auto"/>
        <w:tabs>
          <w:tab w:leader="none" w:pos="624"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The closing of the sale of the Shares contemplated hereby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is contingent upon the substantially concurrent consummation of the Transaction. The Closing shall occur on the date of, and substantially concurrently with and conditioned upon the effectiveness of, the Transaction. Upon (a) satisfaction or waiver of the conditions set forth in Section 3 below and (b) delivery of written notice from (or on behalf of) SPAC to the Investor (the “</w:t>
      </w:r>
      <w:r>
        <w:rPr>
          <w:rFonts w:ascii="Times New Roman" w:cs="Times New Roman" w:eastAsia="Times New Roman" w:hAnsi="Times New Roman"/>
          <w:sz w:val="17"/>
          <w:szCs w:val="17"/>
          <w:u w:val="single" w:color="auto"/>
          <w:color w:val="auto"/>
        </w:rPr>
        <w:t>Closing Notice</w:t>
      </w:r>
      <w:r>
        <w:rPr>
          <w:rFonts w:ascii="Times New Roman" w:cs="Times New Roman" w:eastAsia="Times New Roman" w:hAnsi="Times New Roman"/>
          <w:sz w:val="17"/>
          <w:szCs w:val="17"/>
          <w:color w:val="auto"/>
        </w:rPr>
        <w:t>”), that SPAC reasonably expects all conditions to the closing of the Transaction to be satisfied or waived on a date that is not less than five (5) business days from the date on which the Closing Notice is delivered to the Investor, the Investor shall deliver to SPAC</w:t>
      </w:r>
    </w:p>
    <w:p>
      <w:pPr>
        <w:spacing w:after="0" w:line="2" w:lineRule="exact"/>
        <w:rPr>
          <w:rFonts w:ascii="Times New Roman" w:cs="Times New Roman" w:eastAsia="Times New Roman" w:hAnsi="Times New Roman"/>
          <w:sz w:val="17"/>
          <w:szCs w:val="17"/>
          <w:color w:val="auto"/>
        </w:rPr>
      </w:pPr>
    </w:p>
    <w:p>
      <w:pPr>
        <w:ind w:left="4" w:right="60" w:hanging="4"/>
        <w:spacing w:after="0" w:line="265" w:lineRule="auto"/>
        <w:tabs>
          <w:tab w:leader="none" w:pos="219"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(1) business day prior to the closing date specified in the Closing Notice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the Subscription Amount by wire transfer of United States dollars in immediately available funds to the account(s) specified by SPAC in the Closing Notice to be held in escrow until the Closing, or (ii) on the Closing Date, the Subscription Amount to an account specified by SPAC otherwise mutually agreed by the Investor and SPAC due to legal reasons that apply to such Investor (the “</w:t>
      </w:r>
      <w:r>
        <w:rPr>
          <w:rFonts w:ascii="Times New Roman" w:cs="Times New Roman" w:eastAsia="Times New Roman" w:hAnsi="Times New Roman"/>
          <w:sz w:val="17"/>
          <w:szCs w:val="17"/>
          <w:u w:val="single" w:color="auto"/>
          <w:color w:val="auto"/>
        </w:rPr>
        <w:t>Alternative Settlement Procedures</w:t>
      </w:r>
      <w:r>
        <w:rPr>
          <w:rFonts w:ascii="Times New Roman" w:cs="Times New Roman" w:eastAsia="Times New Roman" w:hAnsi="Times New Roman"/>
          <w:sz w:val="17"/>
          <w:szCs w:val="17"/>
          <w:color w:val="auto"/>
        </w:rPr>
        <w:t>”) by wire transfer of United States dollars in immediately available funds.</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Investor shall also deliver</w:t>
      </w:r>
    </w:p>
    <w:p>
      <w:pPr>
        <w:sectPr>
          <w:pgSz w:w="11900" w:h="16838" w:orient="portrait"/>
          <w:cols w:equalWidth="0" w:num="1">
            <w:col w:w="11024"/>
          </w:cols>
          <w:pgMar w:left="436" w:top="117" w:right="439" w:bottom="1440" w:gutter="0" w:footer="0" w:header="0"/>
        </w:sectPr>
      </w:pPr>
    </w:p>
    <w:bookmarkStart w:id="399" w:name="page400"/>
    <w:bookmarkEnd w:id="399"/>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SPAC, at least one (1) business day prior to the Closing Date, any other information that is reasonably requested in the Closing Notice in order for SPAC to issue the Shares to the Investor in accordance with the Subscription Agreement, including, without limitation, the legal name of the person in whose name such Shares are to be issued and a duly executed Internal Revenue Service Form W-9 or W-8, as applicable. On the Closing Date, SPAC shall (1) issue a number of Shares to the Investor set forth on the signature page to this Subscription Agreement and subsequently cause such Shares to be registered in book entry form in the name of the Investor (or its nominee in accordance with its delivery instructions) on SPAC’s share register, free and clear of any liens or other restrictions (other than those arising under this Subscription Agreement or applicable securities laws), and (2) provide evidence from the Company’s transfer agent of such issuance on and as of the Closing Date. If the Closing does not occur within three (3) business days following the Closing Date specified in the Closing Notice, SPAC shall promptly (but not later than one (1) business day thereafter) return the Subscription Amount in full to the Investor, in immediately available funds to the account specified by the Investor in writing, and any book entries for the Shares shall be deemed cancelled. For purposes of this Subscription Agreement, “business day” shall mean a day other than a Saturday, Sunday or other day on which commercial banks in New York, New York are authorized or required by law to close.</w:t>
      </w:r>
    </w:p>
    <w:p>
      <w:pPr>
        <w:spacing w:after="0" w:line="84" w:lineRule="exact"/>
        <w:rPr>
          <w:sz w:val="20"/>
          <w:szCs w:val="20"/>
          <w:color w:val="auto"/>
        </w:rPr>
      </w:pPr>
    </w:p>
    <w:p>
      <w:pPr>
        <w:ind w:left="620" w:hanging="184"/>
        <w:spacing w:after="0"/>
        <w:tabs>
          <w:tab w:leader="none" w:pos="6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40" w:firstLine="987"/>
        <w:spacing w:after="0" w:line="282" w:lineRule="auto"/>
        <w:tabs>
          <w:tab w:leader="none" w:pos="123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53" w:lineRule="exact"/>
        <w:rPr>
          <w:rFonts w:ascii="Times New Roman" w:cs="Times New Roman" w:eastAsia="Times New Roman" w:hAnsi="Times New Roman"/>
          <w:sz w:val="18"/>
          <w:szCs w:val="18"/>
          <w:color w:val="auto"/>
        </w:rPr>
      </w:pPr>
    </w:p>
    <w:p>
      <w:pPr>
        <w:ind w:left="980" w:right="440" w:firstLine="408"/>
        <w:spacing w:after="0" w:line="261" w:lineRule="auto"/>
        <w:tabs>
          <w:tab w:leader="none" w:pos="1596"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injunction, judgment, order, law, rule or regulation (whether temporary, preliminary or permanent) which is then in effect and has the effect of making the consummation of the transactions contemplated hereby illegal or otherwise enjoining, restraining or prohibiting consummation of the transactions contemplated hereby; and</w:t>
      </w:r>
    </w:p>
    <w:p>
      <w:pPr>
        <w:spacing w:after="0" w:line="71" w:lineRule="exact"/>
        <w:rPr>
          <w:rFonts w:ascii="Times New Roman" w:cs="Times New Roman" w:eastAsia="Times New Roman" w:hAnsi="Times New Roman"/>
          <w:sz w:val="18"/>
          <w:szCs w:val="18"/>
          <w:color w:val="auto"/>
        </w:rPr>
      </w:pPr>
    </w:p>
    <w:p>
      <w:pPr>
        <w:ind w:left="980" w:right="40" w:firstLine="408"/>
        <w:spacing w:after="0" w:line="258" w:lineRule="auto"/>
        <w:tabs>
          <w:tab w:leader="none" w:pos="1646"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under the BCA shall have been satisfied (as determined by the parties to the BCA and other than those conditions under the BCA which, by their nature, are to be fulfilled at the closing of the Transaction, including to the extent that any such condition is dependent upon the consummation of the purchase and sale of the Shares pursuant to this Subscription Agreement or Other Subscription Agreements) or waived and the closing of the Transaction shall be scheduled to occur concurrently with or on the same date as the Closing Date.</w:t>
      </w:r>
    </w:p>
    <w:p>
      <w:pPr>
        <w:spacing w:after="0" w:line="75" w:lineRule="exact"/>
        <w:rPr>
          <w:rFonts w:ascii="Times New Roman" w:cs="Times New Roman" w:eastAsia="Times New Roman" w:hAnsi="Times New Roman"/>
          <w:sz w:val="18"/>
          <w:szCs w:val="18"/>
          <w:color w:val="auto"/>
        </w:rPr>
      </w:pPr>
    </w:p>
    <w:p>
      <w:pPr>
        <w:ind w:right="80" w:firstLine="987"/>
        <w:spacing w:after="0" w:line="253" w:lineRule="auto"/>
        <w:tabs>
          <w:tab w:leader="none" w:pos="124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SPAC to consummate the issuance and sale of the Shares pursuant to this Subscription Agreement shall be subject to the satisfaction or waiver of the following conditions: (i) all representations and warranties of the Investor contained in this Subscription Agreement are true and correct in all material respects (other than representations and warranties that are qualified as to materiality, which representations and warranties shall be true in all respects) at and as of the Closing Date (except for those representations and warranties that speak as of a specified earlier date, which shall be true and correct in all material respects as of such specified earlier date (other than representations and warranties that are qualified as to materiality as of such specified earlier date, which representations and warranties shall be true in all respects)), and consummation of the Closing shall constitute a reaffirmation by the Investor that each of the representations and warranties of the Investor contained in this Subscription Agreement as of the Closing Date are true and correct in all material respects (or, in the case of representations and warranties that are qualified as to materiality, in all respects as of the Closing Date) and (ii) all obligations, covenants and agreements of the Investor required to be performed by it at or prior to the Closing Date shall have been performed in all material respects.</w:t>
      </w:r>
    </w:p>
    <w:p>
      <w:pPr>
        <w:spacing w:after="0" w:line="86"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satisfaction or waiver of the following conditions: (i) all representations and warranties of SPAC and the Company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SPAC and the Company that each of the representations and warranties of SPAC and the Company contained in this Subscription Agreement as of the Closing Date are true and correct in all material respects (or, in the case of representations and warranties that are qualified as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400" w:name="page401"/>
    <w:bookmarkEnd w:id="40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materiality or Material Adverse Effect, in all respects) as of the Closing Date (except for those representations and warranties that speak as of a specified earlier date, which shall be true and correct in all material respects as of such specified earlier date (other than representations and warranties that are qualified as to materiality as of such specified earlier date, which representations and warranties shall be true in all respects)); (ii) all obligations, covenants and agreements of SPAC and the Company required by the Subscription Agreement to be performed by them at or prior to the Closing Date shall have been performed in all material respects; and (iii) the BCA shall not have been amended or waived in a manner that materially and adversely affects the economic benefits that the Investor (in its capacity as such) would reasonably expect to receive under this Subscription Agreement; provided, that, the SEC’s (as defined herein) issuance of the Statement on Accounting and Reporting Considerations for Warrants Issued by Special Purpose Acquisition Companies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made on April 12, 2021, and any consequences thereof or actions taken by SPAC directly in response thereto, shall not cause either of the conditions in this clause (c) to be deemed to not have been satisfied so long as any such consequences or actions shall not have caused a material adverse effect on the business, financial condition or results of operations of SPAC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For the avoidance of doubt, any restatement of the financial statements of SPAC and any amendments to previously filed SEC reports or delays in filing SEC reports, in connection with the Statement or any subsequent related agreements or other guidance from the SEC with respect to the Statement, shall not be considered to result in a Material Adverse Effect.</w:t>
      </w:r>
    </w:p>
    <w:p>
      <w:pPr>
        <w:spacing w:after="0" w:line="79" w:lineRule="exact"/>
        <w:rPr>
          <w:sz w:val="20"/>
          <w:szCs w:val="20"/>
          <w:color w:val="auto"/>
        </w:rPr>
      </w:pPr>
    </w:p>
    <w:p>
      <w:pPr>
        <w:jc w:val="both"/>
        <w:ind w:right="400" w:firstLine="436"/>
        <w:spacing w:after="0" w:line="266" w:lineRule="auto"/>
        <w:tabs>
          <w:tab w:leader="none" w:pos="6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At or prior to the Closing Date, the parties hereto shall execute and deliver or cause to be executed and delivered such additional documents and take such additional actions as the parties reasonably may deem to be practical and necessary in order to consummate the subscription as contemplated by this Subscription Agreement.</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SPAC Representations and Warranties</w:t>
      </w:r>
      <w:r>
        <w:rPr>
          <w:rFonts w:ascii="Times New Roman" w:cs="Times New Roman" w:eastAsia="Times New Roman" w:hAnsi="Times New Roman"/>
          <w:sz w:val="18"/>
          <w:szCs w:val="18"/>
          <w:color w:val="auto"/>
        </w:rPr>
        <w:t>. SPAC represents and warrants to the Investor that:</w:t>
      </w:r>
    </w:p>
    <w:p>
      <w:pPr>
        <w:spacing w:after="0" w:line="117"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is duly incorporated, validly existing and in good standing under the laws of the State of Delaware. SPAC has all power (corporate or otherwise) and authority to own, lease and operate its properties and conduct its business as presently conducted and to enter into, deliver and perform its obligations under this Subscription Agreement.</w:t>
      </w:r>
    </w:p>
    <w:p>
      <w:pPr>
        <w:spacing w:after="0" w:line="67"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SPAC’s certificate of incorporation and bylaws (each as amended on the Closing Date) by contract or under the General Corporation Law of the State of Delaware.</w:t>
      </w:r>
    </w:p>
    <w:p>
      <w:pPr>
        <w:spacing w:after="0" w:line="71" w:lineRule="exact"/>
        <w:rPr>
          <w:rFonts w:ascii="Times New Roman" w:cs="Times New Roman" w:eastAsia="Times New Roman" w:hAnsi="Times New Roman"/>
          <w:sz w:val="18"/>
          <w:szCs w:val="18"/>
          <w:color w:val="auto"/>
        </w:rPr>
      </w:pPr>
    </w:p>
    <w:p>
      <w:pPr>
        <w:ind w:right="400" w:firstLine="987"/>
        <w:spacing w:after="0" w:line="258" w:lineRule="auto"/>
        <w:tabs>
          <w:tab w:leader="none" w:pos="123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SPAC and, assuming that this Subscription Agreement constitutes the valid and binding agreement of the Investor, this Subscription Agreement constitutes the valid and binding agreement of SPAC and is enforceable against SPAC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75"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and the performance of the transactions contemplated hereby, including the issuance and sale of the Shares and the compliance by SPAC with all of the provisions of this Subscription Agreement and the consummation of the transactions contemplated herein will be done in accordance with the Nasdaq marketplace rules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will not conflict with or result in a breach or violation of any of the terms or provisions of, or constitute a default under, or result in the creation or imposition of any lien, charge or encumbrance upon any of the property or assets of SPAC or any of its subsidiaries pursuant to the terms of (i) any indenture, mortgage, deed of trust, loan agreement, lease, license or other agreement or instrument to which SPAC or any of its subsidiaries is a party or by which SPAC or any of its subsidiaries is bound or to which any of the property or assets of SPAC is subject that would reasonably be expected to have, individually or in the aggregate, a Material Adverse Effect or materially affect the validity of the Shares or the legal authority of SPAC to comply in all material respects with the terms of this Subscription Agreement; (ii) result in any violation of the provisions of the organizational documents of SPAC; or (iii) result in any violation of any statute or any judgment, order, rule or regulation of any court or governmental agency or body, domestic or foreign, having jurisdiction over SPAC or any of its properties that would reasonably be expected to have, individually or in the aggregate, a Material Adverse Effect or materially affect the validity of the Shares or the legal authority of SPAC to comply in all material respects with this Subscription Agreement.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01" w:name="page402"/>
    <w:bookmarkEnd w:id="401"/>
    <w:p>
      <w:pPr>
        <w:ind w:right="100" w:firstLine="987"/>
        <w:spacing w:after="0" w:line="253" w:lineRule="auto"/>
        <w:tabs>
          <w:tab w:leader="none" w:pos="123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their respective dates, all reports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required to be filed by SPAC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SPAC included in the SEC Reports comply in all material respects with applicable accounting requirements and the rules and regulations of the SEC with respect thereto as in effect at the time of filing and fairly present in all material respects the financial position of SPAC as of and for the dates thereof and the results of operations and cash flows for the periods then ended, subject, in the case of unaudited financial statements, to normal, year-end audit adjustments. A copy of each SEC Report is available to the Investor via the SEC’s EDGAR system. There are no material outstanding or unresolved comments in comment letters from the staff of the Division of Corporation Finance of the SEC with respect to any of the SEC Reports. SPAC has timely filed each report, statement, schedule, prospectus, and registration statement that SPAC was required to file with the SEC since its inception.</w:t>
      </w:r>
    </w:p>
    <w:p>
      <w:pPr>
        <w:spacing w:after="0" w:line="83" w:lineRule="exact"/>
        <w:rPr>
          <w:rFonts w:ascii="Times New Roman" w:cs="Times New Roman" w:eastAsia="Times New Roman" w:hAnsi="Times New Roman"/>
          <w:sz w:val="18"/>
          <w:szCs w:val="18"/>
          <w:color w:val="auto"/>
        </w:rPr>
      </w:pPr>
    </w:p>
    <w:p>
      <w:pPr>
        <w:ind w:right="60" w:firstLine="987"/>
        <w:spacing w:after="0" w:line="253" w:lineRule="auto"/>
        <w:tabs>
          <w:tab w:leader="none" w:pos="121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Other Subscription Agreements, including any subscription agreement entered into consistent with Section 7(b) of this Subscription Agreement, the BCA and any other agreement contemplated by the BCA, including any Ancillary Documents as defined therein, or described in the SEC Reports, SPAC has not entered into any side letter or similar agreement with any investor in connection with such investor’s direct or indirect investment in SPAC (other than any side letter or similar agreement to the extent relating to the transfer to any investor of (i) securities of SPAC by existing securityholders of SPAC, which may be effectuated as a forfeiture to SPAC and reissuance, or (ii) securities to be issued to the direct or indirect securityholders of the Company pursuant to the BCA). Except for any Alternative Settlement Procedures, no Other Subscription Agreement includes a lesser Per Share Purchase Price or other terms and conditions that are materially more advantageous to any such Other Investor than Investor hereunder, and such Other Subscription Agreements have not been amended, modified or waived in any material respect, or in any respect that materially benefits the Other Investors thereunder unless the Investor has been offered substantially similar benefits in writing, following the date of this Subscription Agreement.</w:t>
      </w:r>
    </w:p>
    <w:p>
      <w:pPr>
        <w:spacing w:after="0" w:line="86"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Subscription Agreement, the authorized capital stock of SPAC consists of (i) 400,000,000 shares of Class A common stock, (ii) 40,000,000 shares of Class B common stock and (iii) 1,000,000 shares of preferred stock, each with a par value of $0.0001 per share. As of the date of this Subscription Agreement, (A) 41,071,823 shares of Class A common stock of SPAC are issued and outstanding, (B) 10,267,956 shares of Class B common stock of SPAC are issued and outstanding, (C) 30,750,267 warrants to purchase shares of Class A common stock of SPAC are issued and outstanding, and (D) no shares of preferred stock are issued and outstanding. All (1) issued and outstanding shares of Class A common stock and Class B common stock of SPAC have been duly authorized and validly issued, are fully paid and are non-assessable and (2) outstanding warrants have been duly authorized and validly issued. Except as set forth above and pursuant to the Other Subscription Agreements, the BCA and the other agreements and arrangements referred to therein or in the SEC Reports, as of the date hereof, there are no outstanding options, warrants or other rights to subscribe for, purchase or acquire from SPAC any Class A common shares, Class B common shares or other equity interests in SPAC, or securities convertible into or exchangeable or exercisable for such equity interests. As of the date hereof, SPAC has no subsidiaries and does not own, directly or indirectly, interests or investments (whether equity or debt) in any person, whether incorporated or unincorporated. There are no shareholder agreements, voting trusts or other agreements or understandings to which SPAC is a party or by which it is bound relating to the voting of any securities of SPAC, other than (1) as set forth in the SEC Reports and (2) as contemplated by the BCA.</w:t>
      </w:r>
    </w:p>
    <w:p>
      <w:pPr>
        <w:spacing w:after="0" w:line="79"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the Investor’s representations and warranties set forth in Section 7, no registration under the Securities Act is required for the offer and sale of the Shares by SPAC to the Investor hereunder. The Shares (i) were not offered by any form of general solicitation or general advertising (as those terms are used in Regulation D under the Securities Act) and (ii) are not being offered in a manner involving a public offering under, or in a distribution in violation of, the Securities Act, or any state securities laws, or in a manner that would otherwise adversely affect reliance by SPAC on Section 4(a)(2) of the Securities Act for the exemption from registration for the transactions contemplated hereby or would require registration of the Shares under the Securities 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402" w:name="page403"/>
    <w:bookmarkEnd w:id="402"/>
    <w:p>
      <w:pPr>
        <w:ind w:left="4" w:firstLine="987"/>
        <w:spacing w:after="0" w:line="261" w:lineRule="auto"/>
        <w:tabs>
          <w:tab w:leader="none" w:pos="1210"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SPAC, threatened against SPAC or (ii) judgment, decree, injunction, ruling or order of any governmental entity or arbitrator outstanding against SPAC.</w:t>
      </w:r>
    </w:p>
    <w:p>
      <w:pPr>
        <w:spacing w:after="0" w:line="71"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10"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is in compliance with all applicable laws, except where such noncompliance would not reasonably be expected to have a Material Adverse Effect. As of the date hereof, SPAC has not received any written communication from a governmental authority that alleges that SPAC is not in compliance with or is in default or violation of any applicable law, except where such non-compliance, default or violation would not reasonably be expected to have, individually or in the aggregate, a Material Adverse Effect. As of the date hereof, the issued and outstanding Shares of SPAC are registered pursuant to Section 12(b) of the Exchange Act, and are listed for trading on Nasdaq, under the symbol “MAAC” (it being understood that the trading symbol will be different for the Company upon completion of the Transaction). There is no suit, action, proceeding or investigation pending or, to the knowledge of SPAC, threatened against SPAC by Nasdaq or the SEC, respectively, to prohibit or terminate the listing of SPAC’s Shares on Nasdaq or to deregister the Shares under the Exchange Act. Except as described in or contemplated by the BCA, SPAC has taken no action as of the date hereof that is designed to terminate the registration of the Shares under the Exchange Act.</w:t>
      </w:r>
    </w:p>
    <w:p>
      <w:pPr>
        <w:spacing w:after="0" w:line="80"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50"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Placement Agents (as defined below), SPAC has not engaged any broker, finder, commission agent, placement agent or arranger in connection with the sale of the Shares, and SPAC is not under any obligation to pay any broker’s fee or commission in connection with the sale of the Shares other than to the Placement Agents.</w:t>
      </w:r>
    </w:p>
    <w:p>
      <w:pPr>
        <w:spacing w:after="0" w:line="67" w:lineRule="exact"/>
        <w:rPr>
          <w:rFonts w:ascii="Times New Roman" w:cs="Times New Roman" w:eastAsia="Times New Roman" w:hAnsi="Times New Roman"/>
          <w:sz w:val="18"/>
          <w:szCs w:val="18"/>
          <w:color w:val="auto"/>
        </w:rPr>
      </w:pPr>
    </w:p>
    <w:p>
      <w:pPr>
        <w:ind w:left="4" w:right="40" w:firstLine="987"/>
        <w:spacing w:after="0" w:line="270" w:lineRule="auto"/>
        <w:tabs>
          <w:tab w:leader="none" w:pos="1210" w:val="left"/>
        </w:tabs>
        <w:numPr>
          <w:ilvl w:val="2"/>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SPAC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SPAC of this Subscription Agreement (including, without limitation, the issuance of the Shares), other than (i) filings with the SEC, (ii) filings required by applicable state securities laws, (iii) filings required in accordance with Section 13 of this Subscription Agreement,</w:t>
      </w:r>
    </w:p>
    <w:p>
      <w:pPr>
        <w:spacing w:after="0" w:line="2" w:lineRule="exact"/>
        <w:rPr>
          <w:rFonts w:ascii="Times New Roman" w:cs="Times New Roman" w:eastAsia="Times New Roman" w:hAnsi="Times New Roman"/>
          <w:sz w:val="17"/>
          <w:szCs w:val="17"/>
          <w:color w:val="auto"/>
        </w:rPr>
      </w:pPr>
    </w:p>
    <w:p>
      <w:pPr>
        <w:ind w:left="4" w:right="240" w:hanging="4"/>
        <w:spacing w:after="0" w:line="260" w:lineRule="auto"/>
        <w:tabs>
          <w:tab w:leader="none" w:pos="30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required by Nasdaq, or such other applicable stock exchange on which SPAC’s common stock is then listed, and (v) the failure of which to obtain would not be reasonably likely to have, individually or in the aggregate, a Material Adverse Effect.</w:t>
      </w:r>
    </w:p>
    <w:p>
      <w:pPr>
        <w:spacing w:after="0" w:line="73"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30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is not, and immediately after receipt of payment for the Shares will not be, an “investment company” within the meaning of the Investment Company Act of 1940, as amended.</w:t>
      </w:r>
    </w:p>
    <w:p>
      <w:pPr>
        <w:spacing w:after="0" w:line="53" w:lineRule="exact"/>
        <w:rPr>
          <w:rFonts w:ascii="Times New Roman" w:cs="Times New Roman" w:eastAsia="Times New Roman" w:hAnsi="Times New Roman"/>
          <w:sz w:val="18"/>
          <w:szCs w:val="18"/>
          <w:color w:val="auto"/>
        </w:rPr>
      </w:pPr>
    </w:p>
    <w:p>
      <w:pPr>
        <w:ind w:left="4" w:right="100" w:firstLine="987"/>
        <w:spacing w:after="0" w:line="254" w:lineRule="auto"/>
        <w:tabs>
          <w:tab w:leader="none" w:pos="125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acknowledges and agrees that, notwithstanding anything herein to the contrary, the Shares may be pledged by the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 Investor effecting a pledge of Shares shall not be required to provide SPAC with any notice thereof; provided, however, that neither SPAC, the Company or their respective counsels shall be required to take any action (or refrain from taking any action) in connection with any such pledge, other than providing any such lender of such margin agreement, upon the prior written request of the Investor, with an acknowledgment that the Shares are not subject to a contractual prohibition on pledging or lock up pursuant to this Subscription Agreement, the form of such acknowledgment to be subject to review and comment by SPAC in all respects.</w:t>
      </w:r>
    </w:p>
    <w:p>
      <w:pPr>
        <w:spacing w:after="0" w:line="8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Representations and Warranties</w:t>
      </w:r>
      <w:r>
        <w:rPr>
          <w:rFonts w:ascii="Times New Roman" w:cs="Times New Roman" w:eastAsia="Times New Roman" w:hAnsi="Times New Roman"/>
          <w:sz w:val="18"/>
          <w:szCs w:val="18"/>
          <w:color w:val="auto"/>
        </w:rPr>
        <w:t>. The Company represents and warrants to the Investor that:</w:t>
      </w:r>
    </w:p>
    <w:p>
      <w:pPr>
        <w:spacing w:after="0" w:line="117"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40"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exempted limited company duly organized, validly existing and in good standing (or the equivalent thereto with respect to the jurisdictions that recognize the concept of good standing or any equivalent thereof) under the laws of the Bermuda. The Company has all power (corporate or otherwise) and authority to own, lease and operate its properties and conduct its business as presently conducted and to enter into, deliver and perform its obligations under this Subscription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403" w:name="page404"/>
    <w:bookmarkEnd w:id="403"/>
    <w:p>
      <w:pPr>
        <w:jc w:val="both"/>
        <w:ind w:left="4" w:right="40" w:firstLine="987"/>
        <w:spacing w:after="0" w:line="261" w:lineRule="auto"/>
        <w:tabs>
          <w:tab w:leader="none" w:pos="1250"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Subscription Agreement has been duly authorized, executed and delivered by the Company and, assuming that this Subscription Agreement constitutes the valid and binding agreement of the Investor, this Subscription Agreement is enforceable against the Company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71"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and the performance of the transactions contemplated hereby,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or any of its subsidiaries pursuant to the terms of (i) any indenture, mortgage, deed of trust, loan agreement, lease, license or other agreement or instrument to which the Company or any of its subsidiaries is a party or by which the Company or any of its subsidiaries is bound or to which any of the property or assets of the Company or any of its subsidiaries is subject that would reasonably be expected to have a material adverse effect on the business, financial condition or results of operations of the Company and its subsidiaries, taken as a whole (a “Company Material Adverse Effect”) or materially affect the legal authority of the Company to comply in all material respects with the terms of this Subscription Agreement; (ii) result in any violation of the provisions of the organizational documents of the Company; or (iii) result in any violation of any statute or any judgment, order, rule or regulation of any court or governmental agency or body, domestic or foreign, having jurisdiction over the Company or any of its properties that would reasonably be expected to have a Company Material Adverse Effect or materially affect the legal authority of the Company to comply in all material respects with this Subscription Agreement.</w:t>
      </w:r>
    </w:p>
    <w:p>
      <w:pPr>
        <w:spacing w:after="0" w:line="81" w:lineRule="exact"/>
        <w:rPr>
          <w:rFonts w:ascii="Times New Roman" w:cs="Times New Roman" w:eastAsia="Times New Roman" w:hAnsi="Times New Roman"/>
          <w:sz w:val="18"/>
          <w:szCs w:val="18"/>
          <w:color w:val="auto"/>
        </w:rPr>
      </w:pPr>
    </w:p>
    <w:p>
      <w:pPr>
        <w:ind w:left="4" w:right="260" w:firstLine="987"/>
        <w:spacing w:after="0" w:line="261" w:lineRule="auto"/>
        <w:tabs>
          <w:tab w:leader="none" w:pos="1250"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expected to have, individually or in the aggregate, a Company Material Adverse Effect, as of the date hereof, there is no (i) action, suit, claim or other proceeding, in each case by or before any governmental authority pending, or, to the knowledge of the Company, threatened against the Company or (ii) judgment, decree, injunction, ruling or order of any governmental entity or arbitrator outstanding against the Company.</w:t>
      </w:r>
    </w:p>
    <w:p>
      <w:pPr>
        <w:spacing w:after="0" w:line="71"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40"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issued and outstanding Company Shares will be registered pursuant to Section 12(b) of the Exchange Act, and will be listed for trading on Nasdaq or another national stock exchange. There is no suit, action, proceeding or investigation pending or, to the knowledge of the Company, threatened against the Company by Nasdaq or the SEC, respectively, to prohibit the listing of the Company Shares on Nasdaq or to deregister the Company Shares under the Exchange Act.</w:t>
      </w:r>
    </w:p>
    <w:p>
      <w:pPr>
        <w:spacing w:after="0" w:line="7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20"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applicable laws, except where such non-compliance would not reasonably be expected to have a Company Material Adverse Effect. The Company has not received any written communication from a governmental authority that alleges that the Company is not in compliance with or is in default or violation of any applicable law, except where such non-compliance, default or violation would not reasonably be expected to have a Company Material Adverse Effect.</w:t>
      </w:r>
    </w:p>
    <w:p>
      <w:pPr>
        <w:spacing w:after="0" w:line="7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SPAC that: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or each of the funds managed by or affiliated with the Investor for which the Investor is acting as nominee, as applicable,</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21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a “qualified institutional buyer” (as defined in Rule 144A under the Securities Act), or an institutional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an “institutional account” (as defined in FINRA Rule 4512(c)), (iii) is acquiring the Shares only for his, her 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404" w:name="page405"/>
    <w:bookmarkEnd w:id="404"/>
    <w:p>
      <w:pPr>
        <w:ind w:left="4" w:right="220" w:firstLine="987"/>
        <w:spacing w:after="0" w:line="256" w:lineRule="auto"/>
        <w:tabs>
          <w:tab w:leader="none" w:pos="125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set forth herein, the Investor acknowledges and agrees that, subsequent to the date of this Subscription Agreement and prior to the Closing, SPAC may enter into one or more additional subscription agreements with additional investors with terms and conditions that are not materially more advantageous to the investor thereunder than this Subscription Agreement, and entry into such agreements may increase the aggregate amount of Shares being subscribed for in the private placement contemplated by this Subscription Agreement. For the avoidance of doubt, such additional agreements shall reflect not less than the same Per Share Purchase Price and shall constitute Other Subscription Agreements for purposes of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jc w:val="both"/>
        <w:ind w:left="4" w:right="180" w:firstLine="987"/>
        <w:spacing w:after="0" w:line="270" w:lineRule="auto"/>
        <w:tabs>
          <w:tab w:leader="none" w:pos="1240"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acknowledges and agrees that the Shares are being offered in a transaction not involving any public offering within the meaning of the Securities Act and that the Shares have not been registered under the Securities Act. The Investor acknowledges and agrees that, other than with respect to any actions taken to consummate the Transaction pursuant to the BCA, the Shares may not be offered, resold, transferred, pledged or otherwise disposed of by the Investor absent an effective registration statement under the Securities Act except (i) to SPAC or an affiliate thereof,</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non-U.S. persons pursuant to offers and sales that occur outside the United States within the meaning of Regulation S under the Securities Act or</w:t>
      </w:r>
    </w:p>
    <w:p>
      <w:pPr>
        <w:spacing w:after="0" w:line="9" w:lineRule="exact"/>
        <w:rPr>
          <w:rFonts w:ascii="Times New Roman" w:cs="Times New Roman" w:eastAsia="Times New Roman" w:hAnsi="Times New Roman"/>
          <w:sz w:val="18"/>
          <w:szCs w:val="18"/>
          <w:color w:val="auto"/>
        </w:rPr>
      </w:pPr>
    </w:p>
    <w:p>
      <w:pPr>
        <w:ind w:left="4" w:hanging="4"/>
        <w:spacing w:after="0" w:line="251" w:lineRule="auto"/>
        <w:tabs>
          <w:tab w:leader="none" w:pos="31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the foregoing transfer restrictions and, as a result of these transfer restrictions, other than with respect to any actions taken to consummate the Transaction pursuant to the BCA, the Investor may not be able to readily offer, resell, transfer, pledge or otherwise dispose of the Shares and may be required to bear the financial risk of an investment in the Shares for an indefinite period of time. The Investor acknowledges and agrees that, other than with respect to any actions taken to consummate the Transaction pursuant to the BCA, the Shares will not immediately be eligible for offer, resale, transfer, pledge or disposition pursuant to Rule 144 promulgated under the Securities Act. The Investor acknowledges and agrees that it has been advised to consult legal counsel and tax and accounting advisors prior to making any offer, resale, transfer, pledge or disposition of any of the Shares.</w:t>
      </w:r>
    </w:p>
    <w:p>
      <w:pPr>
        <w:spacing w:after="0" w:line="85"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is purchasing the Shares directly from SPAC. The Investor further acknowledges that there have been no representations, warranties, covenants and agreements made to the Investor by or on behalf of SPAC, the Company, the Placement Agents or any of their respective affiliates or any control persons, officers, directors, employees, partners, agents or representatives of any of the foregoing or any other person or entity, expressly or by implication, other than those representations, warranties, covenants and agreements of SPAC and the Company expressly set forth in Section 5 and Section 6 of this Subscription Agreement, respectively.</w:t>
      </w:r>
    </w:p>
    <w:p>
      <w:pPr>
        <w:spacing w:after="0" w:line="75"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4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67" w:lineRule="exact"/>
        <w:rPr>
          <w:rFonts w:ascii="Times New Roman" w:cs="Times New Roman" w:eastAsia="Times New Roman" w:hAnsi="Times New Roman"/>
          <w:sz w:val="18"/>
          <w:szCs w:val="18"/>
          <w:color w:val="auto"/>
        </w:rPr>
      </w:pPr>
    </w:p>
    <w:p>
      <w:pPr>
        <w:ind w:left="4" w:firstLine="987"/>
        <w:spacing w:after="0" w:line="256" w:lineRule="auto"/>
        <w:tabs>
          <w:tab w:leader="none" w:pos="122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SPAC, the Transaction and the business of the Company and its subsidiaries. Without limiting the generality of the foregoing, the Investor acknowledges that he, she or it has reviewed SPAC’s filings with the SEC.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w:t>
      </w:r>
    </w:p>
    <w:p>
      <w:pPr>
        <w:spacing w:after="0" w:line="79"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5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SPAC, the Company or a representative of SPAC or the Company, or by means of contact from any of the Placement Agents in their capacity as such, and the Shares were offered to the Investor solely by direct contact between the Investor and SPAC, the Company or a representative of SPAC or the Company, or by contact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405" w:name="page406"/>
    <w:bookmarkEnd w:id="405"/>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between the Investor and one or more Placement Agents in their capacity as such. The Investor did not become aware of this offering of the Shares, nor were the Shares offered to the Investor, by any other means. The Investor acknowledges that the Shares (i) were not offered to it by any form of general solicitation or general advertising, including methods described in section 502(c) of Regulation D under the Securities Act and (ii) to its knowledge, 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SPAC, the Company, the Placement Agents, any of their respective affiliates or any control persons, officers, directors, employees, partners, agents or representatives of any of the foregoing), other than the representations and warranties of SPAC and the Company contained in Section 5 and Section 6 of this Subscription Agreement, respectively, in making its investment or decision to invest in SPAC.</w:t>
      </w:r>
    </w:p>
    <w:p>
      <w:pPr>
        <w:spacing w:after="0" w:line="64" w:lineRule="exact"/>
        <w:rPr>
          <w:sz w:val="20"/>
          <w:szCs w:val="20"/>
          <w:color w:val="auto"/>
        </w:rPr>
      </w:pPr>
    </w:p>
    <w:p>
      <w:pPr>
        <w:ind w:left="4" w:right="240" w:firstLine="987"/>
        <w:spacing w:after="0" w:line="256" w:lineRule="auto"/>
        <w:tabs>
          <w:tab w:leader="none" w:pos="125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those set forth in SPAC’s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 and the Investor has made its own assessment and has satisfied itself concerning relevant tax and other economic considerations relative to its purchase of the Shares.. The Investor is able to sustain a complete loss on its investment in the Shares, has no immediate need for liquidity with respect to its investment in the Shares.</w:t>
      </w:r>
    </w:p>
    <w:p>
      <w:pPr>
        <w:spacing w:after="0" w:line="79" w:lineRule="exact"/>
        <w:rPr>
          <w:rFonts w:ascii="Times New Roman" w:cs="Times New Roman" w:eastAsia="Times New Roman" w:hAnsi="Times New Roman"/>
          <w:sz w:val="18"/>
          <w:szCs w:val="18"/>
          <w:color w:val="auto"/>
        </w:rPr>
      </w:pPr>
    </w:p>
    <w:p>
      <w:pPr>
        <w:ind w:left="4" w:right="360" w:firstLine="987"/>
        <w:spacing w:after="0" w:line="261" w:lineRule="auto"/>
        <w:tabs>
          <w:tab w:leader="none" w:pos="121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SPAC. The Investor acknowledges specifically that a possibility of total loss exists.</w:t>
      </w:r>
    </w:p>
    <w:p>
      <w:pPr>
        <w:spacing w:after="0" w:line="71"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1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and SPAC’s and the Company’s representations and warranties expressly set forth in Section 5 and Section 6 of this Subscription Agreement, respectively, and no other representations and warranties of any kind, whether express or implied, of SPAC or any other person. Without limiting the generality of the foregoing, the Investor has not relied on any statements or other information provided by or on behalf of the Placement Agents or any of their respective affiliates or any control persons, officers, directors, employees, partners, agents or representatives of any of the foregoing concerning SPAC, the Company, the Transaction, the BCA, this Subscription Agreement or the transactions contemplated hereby or thereby, the Shares or the offer and sale of the Shares.</w:t>
      </w:r>
    </w:p>
    <w:p>
      <w:pPr>
        <w:spacing w:after="0" w:line="80" w:lineRule="exact"/>
        <w:rPr>
          <w:rFonts w:ascii="Times New Roman" w:cs="Times New Roman" w:eastAsia="Times New Roman" w:hAnsi="Times New Roman"/>
          <w:sz w:val="18"/>
          <w:szCs w:val="18"/>
          <w:color w:val="auto"/>
        </w:rPr>
      </w:pPr>
    </w:p>
    <w:p>
      <w:pPr>
        <w:ind w:left="4" w:firstLine="987"/>
        <w:spacing w:after="0" w:line="268" w:lineRule="auto"/>
        <w:tabs>
          <w:tab w:leader="none" w:pos="1250" w:val="left"/>
        </w:tabs>
        <w:numPr>
          <w:ilvl w:val="1"/>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acknowledges that the Placement Agents: (i) are each acting solely as the SPAC’s Placement Agent in connection with the transactions contemplated by the Subscription Agreements and is not acting as an underwriter or in any other capacity and is not and shall not be construed as a fiduciary for the Investor, (ii) have not made or make any representation or warranty, express or implied, of any kind or character and have not provided any advice or recommendation in connection with the transactions contemplated by the Subscription Agreements, (iii) will have no responsibility with respect to (a) any representations, warranties or agreements made by any person or entity under or in connection with the Transaction or any of the documents furnished pursuant thereto or in connection therewith, or the execution, legality, validity or enforceability (with respect to any person) of any thereof, or (b) the business, affairs, financial condition, operations, properties or prospects of, or any other matter concerning the SPAC, the Company or the Transaction, (iv) have not acted as the Investor’s financial advisor or fiduciary in connection with the issue and purchase of Shares,</w:t>
      </w:r>
    </w:p>
    <w:p>
      <w:pPr>
        <w:ind w:left="4" w:hanging="4"/>
        <w:spacing w:after="0" w:line="251" w:lineRule="auto"/>
        <w:tabs>
          <w:tab w:leader="none" w:pos="25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acquired, or during the term of the Shares may acquire, non-public information with respect to the Company, which, subject to the requirements of applicable law, the Investor agrees need not be provided to it, (vi) may have existing or future business relationships with SPAC and the Company (including, but not limited to, lending, depository, risk management, advisory and banking relationships) and will pursue actions and take steps that it deems or they deem necessary or appropriate to protect its or their interests arising therefrom without regard to the consequences for a holder of Shares, and that certain of these actions may have material and adverse consequences for a holder of Shares; and (vii) shall have no liability or obligation (including without limitation, for or with respect to any losses, claims, damages, obligations, penalties, judgments, awards, liabilities, costs, expenses or disbursements incurred by the Investor, the Company or any other person or entity), whether in contract, tort or otherwise, to the Investor, or to any person claiming through the Investor, in respect of the Transaction.</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406" w:name="page407"/>
    <w:bookmarkEnd w:id="406"/>
    <w:p>
      <w:pPr>
        <w:ind w:right="100" w:firstLine="987"/>
        <w:spacing w:after="0" w:line="261" w:lineRule="auto"/>
        <w:tabs>
          <w:tab w:leader="none" w:pos="120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Investor acknowledges that it has not relied on the Placement Agents in connection with its determination as to the legality of its acquisition of the Shares or as to the other matters referred to herein and the Investor has not relied on any investigation that the Placement Agents, any of their affiliates or any person acting on their behalf have conducted with respect to the Shares, SPAC or the Company. The Investor further acknowledges that it has not relied on any information contained in any research reports prepared by the Placement Agents or any of their affiliates.</w:t>
      </w:r>
    </w:p>
    <w:p>
      <w:pPr>
        <w:spacing w:after="0" w:line="71" w:lineRule="exact"/>
        <w:rPr>
          <w:rFonts w:ascii="Times New Roman" w:cs="Times New Roman" w:eastAsia="Times New Roman" w:hAnsi="Times New Roman"/>
          <w:sz w:val="18"/>
          <w:szCs w:val="18"/>
          <w:color w:val="auto"/>
        </w:rPr>
      </w:pPr>
    </w:p>
    <w:p>
      <w:pPr>
        <w:ind w:right="20" w:firstLine="987"/>
        <w:spacing w:after="0" w:line="277" w:lineRule="auto"/>
        <w:tabs>
          <w:tab w:leader="none" w:pos="1296"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acknowledges that J.P. Morgan Securities LLC and SVB Leerink LLC are each acting as financial advisors to the Company (i) in connection with the Transaction and (ii) in connection with the Company’s contemplated acquisition of all issued and outstanding shares of common stock of Immunovant, Inc. not currently owned by the Company (the “</w:t>
      </w:r>
      <w:r>
        <w:rPr>
          <w:rFonts w:ascii="Times New Roman" w:cs="Times New Roman" w:eastAsia="Times New Roman" w:hAnsi="Times New Roman"/>
          <w:sz w:val="17"/>
          <w:szCs w:val="17"/>
          <w:u w:val="single" w:color="auto"/>
          <w:color w:val="auto"/>
        </w:rPr>
        <w:t>Immunovant Acquisition</w:t>
      </w:r>
      <w:r>
        <w:rPr>
          <w:rFonts w:ascii="Times New Roman" w:cs="Times New Roman" w:eastAsia="Times New Roman" w:hAnsi="Times New Roman"/>
          <w:sz w:val="17"/>
          <w:szCs w:val="17"/>
          <w:color w:val="auto"/>
        </w:rPr>
        <w:t>”), as disclosed on Schedule 13D filed on March 8, 2021 by the Company (it being understood and agreed by the Investor that the purchase of the Shares pursuant to this Subscription Agreement on the Closing Date and the closing of the Transaction shall not be contingent on the consummation of the contemplated Immunovant Acquisition).</w:t>
      </w:r>
    </w:p>
    <w:p>
      <w:pPr>
        <w:spacing w:after="0" w:line="59" w:lineRule="exact"/>
        <w:rPr>
          <w:rFonts w:ascii="Times New Roman" w:cs="Times New Roman" w:eastAsia="Times New Roman" w:hAnsi="Times New Roman"/>
          <w:sz w:val="17"/>
          <w:szCs w:val="17"/>
          <w:color w:val="auto"/>
        </w:rPr>
      </w:pPr>
    </w:p>
    <w:p>
      <w:pPr>
        <w:ind w:right="360" w:firstLine="987"/>
        <w:spacing w:after="0" w:line="282" w:lineRule="auto"/>
        <w:tabs>
          <w:tab w:leader="none" w:pos="124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no federal or state agency has passed upon or endorsed the merits of the offering of the Shares or made any findings or determination as to the fairness of this investment.</w:t>
      </w:r>
    </w:p>
    <w:p>
      <w:pPr>
        <w:spacing w:after="0" w:line="53"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if not an individual, has been duly formed or incorporated and is validly existing and is in good standing under the laws of its jurisdiction of formation or incorporation, with power and authority to enter into, deliver and perform its obligations under this Subscription Agreement.</w:t>
      </w:r>
    </w:p>
    <w:p>
      <w:pPr>
        <w:spacing w:after="0" w:line="67"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violate any provisions of the Investor’s organizational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SPAC, this Subscription Agreement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83"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owned, directly or indirectly, or controlled by, or acting on behalf of, one or more persons that are named on the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(each,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07" w:name="page408"/>
    <w:bookmarkEnd w:id="40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it maintains policies and procedures reasonably designed to ensure compliance with OFAC-administered sanctions programs, including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 and were not obtained, directly or indirectly, from a Prohibited Investor.</w:t>
      </w:r>
    </w:p>
    <w:p>
      <w:pPr>
        <w:spacing w:after="0" w:line="72" w:lineRule="exact"/>
        <w:rPr>
          <w:sz w:val="20"/>
          <w:szCs w:val="20"/>
          <w:color w:val="auto"/>
        </w:rPr>
      </w:pPr>
    </w:p>
    <w:p>
      <w:pPr>
        <w:ind w:right="20" w:firstLine="987"/>
        <w:spacing w:after="0" w:line="266" w:lineRule="auto"/>
        <w:tabs>
          <w:tab w:leader="none" w:pos="121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no disclosure or offering document has been prepared by J.P. Morgan Securities LLC, SVB Leerink LLC, Citigroup Global Markets Inc., any additional placement agent that may be engaged by SPAC, or any of their respective affiliates (collectively,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in connection with the offer and sale of the Shares.</w:t>
      </w:r>
    </w:p>
    <w:p>
      <w:pPr>
        <w:spacing w:after="0" w:line="67" w:lineRule="exact"/>
        <w:rPr>
          <w:rFonts w:ascii="Times New Roman" w:cs="Times New Roman" w:eastAsia="Times New Roman" w:hAnsi="Times New Roman"/>
          <w:sz w:val="18"/>
          <w:szCs w:val="18"/>
          <w:color w:val="auto"/>
        </w:rPr>
      </w:pPr>
    </w:p>
    <w:p>
      <w:pPr>
        <w:ind w:right="160" w:firstLine="987"/>
        <w:spacing w:after="0" w:line="261" w:lineRule="auto"/>
        <w:tabs>
          <w:tab w:leader="none" w:pos="122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neither Placement Agents, nor any of their respective affiliates nor any control persons, officers, directors, employees, partners, agents or representatives of any of the foregoing have made any independent investigation with respect to SPAC, the Company or its subsidiaries or any of their respective businesses, or the Shares or the accuracy, completeness or adequacy of any information supplied to the Investor by SPAC.</w:t>
      </w:r>
    </w:p>
    <w:p>
      <w:pPr>
        <w:spacing w:after="0" w:line="71"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when required to deliver payment to SPAC pursuant to Section 2 above, will have, sufficient funds to pay the Subscription Amount and consummate the purchase and sale of the Shares pursuant to this Subscription Agreement.</w:t>
      </w:r>
    </w:p>
    <w:p>
      <w:pPr>
        <w:spacing w:after="0" w:line="53"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that, from the date of this Subscription Agreement until the Closing or the earlier termination of this Subscription Agreement, none of Investor, its controlled affiliates, or any person or entity acting on behalf of the Investor or any of its controlled affiliates or pursuant to any understanding with the Investor or any of its controlled affiliates will engage in any Short Sales with respect to securities of the SPAC. For the purposes hereof, “Short Sales”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including through non-U.S. broker dealers or foreign regulated brokers. Notwithstanding the foregoing, (A) nothing herein shall prohibit (x) other entities under common management with the Investor with whom the Investor is not acting in concert with respect to any trading in securities of the SPAC, this Subscription Agreement or the Investor’s participation in this offering of the Shares including the Investor’s controlled affiliates and/or affiliates, or (y) in the case of an Investor that is externally managed, advised or sub-advised by another person, any other person that is not directly controlled or managed by such manager, adviser or sub-adviser, in each case from entering into any Short Sale and (B) in the case of an Investor that is a multi-managed investment bank or vehicle whereby separate portfolio managers manage separate portions of such Investor’s assets and the portfolio managers have no knowledge of the investment decisions made by the portfolio managers managing other portions of such Investor’s assets, this Section (u) shall apply only with respect to the portion of assets managed by the portfolio manager that made the investment decision to purchase the Shares covered by this Subscription Agreement. For the avoidance of doubt, nothing in this Section (u) shall restrict any transactions with respect to securities of SPAC other than transactions that are Short Sales including the exercise of any redemption with respect to securities of the SPAC.</w:t>
      </w:r>
    </w:p>
    <w:p>
      <w:pPr>
        <w:spacing w:after="0" w:line="86"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4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disclosed in a Schedule 13D or Schedule 13G (or amendments thereto) filed by such Investor with the SEC with respect to the beneficial ownership of the SPAC’s common stock, the Investor is not currently (and at all times through Closing will refrain from being or becoming) a member of a “group” (within the meaning of section 13(d)(3) or section 14(d)(2) of the Exchange Act) acting for the purpose of acquiring, holding or disposing of equity securities of the SPAC (within the meaning of Rule 13d-5(b)(1) under the Exchange Act).</w:t>
      </w:r>
    </w:p>
    <w:p>
      <w:pPr>
        <w:spacing w:after="0" w:line="71" w:lineRule="exact"/>
        <w:rPr>
          <w:rFonts w:ascii="Times New Roman" w:cs="Times New Roman" w:eastAsia="Times New Roman" w:hAnsi="Times New Roman"/>
          <w:sz w:val="18"/>
          <w:szCs w:val="18"/>
          <w:color w:val="auto"/>
        </w:rPr>
      </w:pPr>
    </w:p>
    <w:p>
      <w:pPr>
        <w:ind w:right="200" w:firstLine="987"/>
        <w:spacing w:after="0" w:line="282" w:lineRule="auto"/>
        <w:tabs>
          <w:tab w:leader="none" w:pos="128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finder or other financial consultant has acted on behalf of the Investor in connection with this Subscription Agreement or the transactions contemplated hereby.</w:t>
      </w:r>
    </w:p>
    <w:p>
      <w:pPr>
        <w:spacing w:after="0" w:line="53" w:lineRule="exact"/>
        <w:rPr>
          <w:rFonts w:ascii="Times New Roman" w:cs="Times New Roman" w:eastAsia="Times New Roman" w:hAnsi="Times New Roman"/>
          <w:sz w:val="18"/>
          <w:szCs w:val="18"/>
          <w:color w:val="auto"/>
        </w:rPr>
      </w:pPr>
    </w:p>
    <w:p>
      <w:pPr>
        <w:jc w:val="both"/>
        <w:ind w:right="20" w:firstLine="987"/>
        <w:spacing w:after="0" w:line="289" w:lineRule="auto"/>
        <w:tabs>
          <w:tab w:leader="none" w:pos="1246"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acknowledges the SEC’s issuance of the Statement, and the Investor agrees that any actions taken by SPAC in connection with, or as may be necessary or advisable to address the potential implications of, such Statement or review shall not be deemed to constitute a breach of any of the representations, warranties or covenants in this Subscription Agreement; provided, however, that any such actions may not materially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08" w:name="page409"/>
    <w:bookmarkEnd w:id="40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adversely affect the rights of the Investor (in its capacity as such) under this Subscription Agreement. For the avoidance of doubt, any restatement or the financial statements of SPAC and any amendments to previously filed SEC reports or delays in filing SEC reports, in connection with the Statement or any subsequent related agreements or other guidance from the SEC with respect to the Statement shall not be considered to materially and adversely affect the rights of the Investor (in its capacity as such) under this Subscription agreement.</w:t>
      </w:r>
    </w:p>
    <w:p>
      <w:pPr>
        <w:spacing w:after="0" w:line="72" w:lineRule="exact"/>
        <w:rPr>
          <w:sz w:val="20"/>
          <w:szCs w:val="20"/>
          <w:color w:val="auto"/>
        </w:rPr>
      </w:pPr>
    </w:p>
    <w:p>
      <w:pPr>
        <w:ind w:left="620" w:hanging="184"/>
        <w:spacing w:after="0"/>
        <w:tabs>
          <w:tab w:leader="none" w:pos="6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1" w:lineRule="auto"/>
        <w:tabs>
          <w:tab w:leader="none" w:pos="123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the Company agrees that, within thirty (30) calendar days after the Closing Date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its sole cost and expense) a registration statement (the “Registration Statement”) registering the resale of the Shares, and it shall use its commercially reasonable efforts to have the Registration Statement declared effective as soon as practicable after the filing thereof, but no later than the earlier of (i) sixty (60) calendar days after the filing thereof (or ninety (90) calendar days after the filing thereof if the SEC notifies the Company that it will “review” the Registration Statement) and (ii) five (5) business days after the Company is notified (orally or in writing, whichever is earlier) by the SEC that the Registration Statement will not be “reviewed” or will not be subject to further review ((i) and (ii) collectively,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In connection with the foregoing and with all transactions contemplated by this Subscription Agreement, Investor shall not be required to execute any lock-up or similar agreement or otherwise be subject to any contractual restriction on the ability to transfer the Shares. The Company agrees to use commercially reasonable efforts to cause such Registration Statement, or another shelf registration statement that includes the Shares to be sold pursuant to this Subscription Agreement, to remain effective until the earliest of (i) the second anniversary of the Closing, (ii) the date on which the Investor ceases to hold any Shares issued pursuant to this Subscription Agreement, or (iii) on the first date on which the Investor is able to sell all of its Shares issued pursuant to this Subscription Agreement (or shares received in exchange therefor) under Rule 144 promulgated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within ninety (90) calendar days without the public information, volume or manner of sale limitations of such rule (such date,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Prior to the End Date, the Company will use commercially reasonable efforts to (1) qualify the Shares for listing on Nasdaq or another applicable national stock exchange and (2) update or amend the Registration Statement as necessary to include the Shares. Subject to receipt from the Investor by the Company and its transfer agent of customary representations and other documentation reasonably acceptable to the Company and the transfer agent in connection therewith, including, if required by the transfer agent, an opinion of the Company’s counsel in a form reasonably acceptable to the transfer agent, the Investor may request that the Company remove any legend from the book-entry position evidencing the Shares following the earliest of such time as the Shares (A) have been or are being sold or transferred pursuant to an effective registration statement or (B) have been or are being sold pursuant to Rule 144 promulgated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To the extent required by the Company’s transfer agent, the Company shall use commercially reasonable efforts to cause its legal counsel to deliver a customary opinion within two business days of the delivery of all reasonably necessary representations and other documentation from the Investor as reasonably requested by the Company’s transfer agent. If restrictive legends are no longer required for the Shares pursuant to the foregoing, the Company shall, reasonably promptly following any request therefor from the Investor as described above (and no later than five (5) business days after such request), deliver to the transfer agent instructions to remove such restrictive legends from the Shares of the Investor. The Company may amend the Registration Statement so as to convert the Registration Statement to a Registration Statement on Form S-3 at such time after the Company becomes eligible to use such Form S-3. For as long as the Investor holds the Shares, the Company will use commercially reasonable efforts to file all reports, and provide all customary and reasonable cooperation, necessary to enable the Investor to resell the Shares pursuant to the Registration Statement or Rule 144 of the Securities Act (when Rule 144 of the Securities Act becomes available to the Investor), as applicable. In no event shall the undersigned be identified as a statutory underwriter in the Registration Statement unless in response to a comment or request from the staff of the SEC or another regulatory agency; provided, however, that if the SEC requests that the undersigned be identified as a statutory underwriter in the Registration Statement, the undersigned will have an opportunity to withdraw from the Registration Statement. For purposes of clarification, any failure by the Company to file the Registration Statement by the Filing Deadline or to effect such Registration Statement by the Effectiveness Deadline shall not otherwise relieve the Company of its obligations to file the Registration Statement or effect the registration of the Shares set forth in this Section 8. The Investor acknowledges and agrees that the Company may suspend the use of any such registration statement if it determines in good faith, upon advice of legal counsel (internal counsel being sufficient), that in order for such registration statement not to contain a material misstatement or omission, an amendment thereto would be needed to include information that would at that time not otherwise be required in a current, quarterly, or annual report under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09" w:name="page410"/>
    <w:bookmarkEnd w:id="40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Exchange Act, provided, that, (I) the Company shall not so delay filing or so suspend the use of the Registration Statement on more than three</w:t>
      </w:r>
    </w:p>
    <w:p>
      <w:pPr>
        <w:spacing w:after="0" w:line="27" w:lineRule="exact"/>
        <w:rPr>
          <w:sz w:val="20"/>
          <w:szCs w:val="20"/>
          <w:color w:val="auto"/>
        </w:rPr>
      </w:pPr>
    </w:p>
    <w:p>
      <w:pPr>
        <w:ind w:left="4" w:right="40" w:hanging="4"/>
        <w:spacing w:after="0" w:line="251" w:lineRule="auto"/>
        <w:tabs>
          <w:tab w:leader="none" w:pos="25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occasions for a period of more than sixty (60) consecutive days or more than a total of ninety (90) calendar days, in each case in any three hundred sixty (360) day period and (II) the Company shall use commercially reasonable efforts to make such Registration Statement available for the sale by the Investor of such securities as soon as practicable thereafter. The Company’s obligations to include the Shares issued pursuant to this Subscription Agreement (or shares issued in exchange therefor) for resale in the Registration Statement are contingent upon the Investor furnishing in writing to the Company such information regarding the Investor, the securities of the Company held by the Investor and the intended method of disposition of such Shares, as shall be reasonably requested by the Company to effect the registration of such Shares, and shall execute such documents in connection with such registration as the Company may reasonably request that are customary of a selling stockholder in similar situations. The Company shall use its commercially reasonable efforts to provide a draft of the Registration Statement to the Investor for review at least two (2) business days in advance of filing the Registration Statement; provided that, for the avoidance of doubt, in no event shall the Company be required to delay or postpone the filing of such Registration Statement as a result of or in connection with the Investor’s review.</w:t>
      </w:r>
    </w:p>
    <w:p>
      <w:pPr>
        <w:spacing w:after="0" w:line="84"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the SEC prevents the Company from including any or all of the Shares proposed to be registered under the Registration Statement due to limitations on the use of Rule 415 of the Securities Act for the resale of Shares by the applicable stockholders or otherwise, such Registration Statement shall register for resale such number of Shares which is equal to the maximum number of Shares as is permitted by the SEC. In such event, the number of Shares to be registered for each selling stockholder named in the Registration Statement shall be reduced pro rata among all such selling stockholders and as promptly as practicable after being permitted to register additional Shares under Rule 415 under the Securities Act, the Company shall amend the Registration Statement or file a new Registration Statement to register such Shares not included in the initial Registration Statement and use its commercially reasonable efforts to cause such amendment or Registration Statement to become effective as promptly as practicable.</w:t>
      </w:r>
    </w:p>
    <w:p>
      <w:pPr>
        <w:spacing w:after="0" w:line="83" w:lineRule="exact"/>
        <w:rPr>
          <w:rFonts w:ascii="Times New Roman" w:cs="Times New Roman" w:eastAsia="Times New Roman" w:hAnsi="Times New Roman"/>
          <w:sz w:val="18"/>
          <w:szCs w:val="18"/>
          <w:color w:val="auto"/>
        </w:rPr>
      </w:pPr>
    </w:p>
    <w:p>
      <w:pPr>
        <w:ind w:left="4" w:right="140" w:firstLine="987"/>
        <w:spacing w:after="0" w:line="266" w:lineRule="auto"/>
        <w:tabs>
          <w:tab w:leader="none" w:pos="124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registration, qualification, exemption or compliance effected by the Company pursuant to this Agreement, the Company shall, upon reasonable request, inform Investor as to the status of such registration, qualification, exemption and compliance. At its expense, the Company shall use its commercially reasonable efforts to advise Investor reasonably promptly (but within no later than 5 business days):</w:t>
      </w:r>
    </w:p>
    <w:p>
      <w:pPr>
        <w:spacing w:after="0" w:line="67" w:lineRule="exact"/>
        <w:rPr>
          <w:rFonts w:ascii="Times New Roman" w:cs="Times New Roman" w:eastAsia="Times New Roman" w:hAnsi="Times New Roman"/>
          <w:sz w:val="18"/>
          <w:szCs w:val="18"/>
          <w:color w:val="auto"/>
        </w:rPr>
      </w:pPr>
    </w:p>
    <w:p>
      <w:pPr>
        <w:ind w:left="984" w:right="140" w:firstLine="408"/>
        <w:spacing w:after="0" w:line="282" w:lineRule="auto"/>
        <w:tabs>
          <w:tab w:leader="none" w:pos="1600"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Registration Statement or any amendment thereto has been filed with the SEC and when a Registration Statement or any post-effective amendment thereto has become effective;</w:t>
      </w:r>
    </w:p>
    <w:p>
      <w:pPr>
        <w:spacing w:after="0" w:line="53" w:lineRule="exact"/>
        <w:rPr>
          <w:rFonts w:ascii="Times New Roman" w:cs="Times New Roman" w:eastAsia="Times New Roman" w:hAnsi="Times New Roman"/>
          <w:sz w:val="18"/>
          <w:szCs w:val="18"/>
          <w:color w:val="auto"/>
        </w:rPr>
      </w:pPr>
    </w:p>
    <w:p>
      <w:pPr>
        <w:ind w:left="984" w:right="920" w:firstLine="408"/>
        <w:spacing w:after="0" w:line="282" w:lineRule="auto"/>
        <w:tabs>
          <w:tab w:leader="none" w:pos="1650"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it shall receive notice or obtain knowledge thereof, of the issuance by the SEC of any stop order suspending the effectiveness of any Registration Statement or the initiation of any proceedings for such purpose;</w:t>
      </w:r>
    </w:p>
    <w:p>
      <w:pPr>
        <w:spacing w:after="0" w:line="53" w:lineRule="exact"/>
        <w:rPr>
          <w:rFonts w:ascii="Times New Roman" w:cs="Times New Roman" w:eastAsia="Times New Roman" w:hAnsi="Times New Roman"/>
          <w:sz w:val="18"/>
          <w:szCs w:val="18"/>
          <w:color w:val="auto"/>
        </w:rPr>
      </w:pPr>
    </w:p>
    <w:p>
      <w:pPr>
        <w:ind w:left="984" w:right="460" w:firstLine="408"/>
        <w:spacing w:after="0" w:line="282" w:lineRule="auto"/>
        <w:tabs>
          <w:tab w:leader="none" w:pos="1700"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notification with respect to the suspension of the qualification of the Shares included therein for sale in any jurisdiction or the initiation or threatening of any proceeding for such purpose; and</w:t>
      </w:r>
    </w:p>
    <w:p>
      <w:pPr>
        <w:spacing w:after="0" w:line="53" w:lineRule="exact"/>
        <w:rPr>
          <w:rFonts w:ascii="Times New Roman" w:cs="Times New Roman" w:eastAsia="Times New Roman" w:hAnsi="Times New Roman"/>
          <w:sz w:val="18"/>
          <w:szCs w:val="18"/>
          <w:color w:val="auto"/>
        </w:rPr>
      </w:pPr>
    </w:p>
    <w:p>
      <w:pPr>
        <w:ind w:left="984" w:right="60" w:firstLine="408"/>
        <w:spacing w:after="0" w:line="261" w:lineRule="auto"/>
        <w:tabs>
          <w:tab w:leader="none" w:pos="1690"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80"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Upon receipt of any written notice from the Company (which notice shall not contain any material non-public information regarding the Company) of the happening any event contemplated in clauses (ii) through (iv) above during the period that the Registration Statement is effective or if as a result of the occurrence of such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Investor agrees that (1) it will immediately discontinue offers and sales of the Shares under the Registration Statement (excluding, for the avoidance of doubt, sales conducted pursuant to Rule 144)</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410" w:name="page411"/>
    <w:bookmarkEnd w:id="410"/>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until the undersigned Investor receives copies of a supplemental or amended prospectus (which Company agrees to promptly prepare) that corrects the misstatement(s) or omission(s) referred to above and receives notice that any post-effective amendment has become effective or unless otherwise notified by Company that it may resume such offers and sales, and (2) it will maintain the confidentiality of any information included in such written notice delivered by Company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The Company shall use its commercially reasonable efforts to obtain the withdrawal of any order suspending the effectiveness of any Registration Statement as soon as reasonably practicable. Upon the occurrence of any event contemplated in clauses (ii) through (iv) above, except for such times as the Company is permitted hereunder to suspend, and has suspended, the use of a prospectus forming part of a Registration Statement, the Company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79" w:lineRule="exact"/>
        <w:rPr>
          <w:sz w:val="20"/>
          <w:szCs w:val="20"/>
          <w:color w:val="auto"/>
        </w:rPr>
      </w:pPr>
    </w:p>
    <w:p>
      <w:pPr>
        <w:ind w:left="1240" w:hanging="253"/>
        <w:spacing w:after="0"/>
        <w:tabs>
          <w:tab w:leader="none" w:pos="124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firstLine="408"/>
        <w:spacing w:after="0" w:line="253" w:lineRule="auto"/>
        <w:tabs>
          <w:tab w:leader="none" w:pos="159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Investor (to the extent a seller under the Registration Statement), its officers, directors, advisers and agents, and each person who controls Investor (within the meaning of Section 15 of the Securities Act or Section 20 of the Exchange Act) to the fullest extent permitted by applicable law, from and against any and all losses, claims, damages, liabilities, costs (including reasonably incurred and documented attorneys’ fees) and reasonably incurred and documented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that arise out of or are based upon any untrue or alleged untrue statement of a material fact contained or incorporated by reference in the Registration Statement pursuant to which Investor’s Shares are registered,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Investor furnished in writing to the Company by Investor expressly for use therein or Investor has omitted a material fact from such information.</w:t>
      </w:r>
    </w:p>
    <w:p>
      <w:pPr>
        <w:spacing w:after="0" w:line="81" w:lineRule="exact"/>
        <w:rPr>
          <w:rFonts w:ascii="Times New Roman" w:cs="Times New Roman" w:eastAsia="Times New Roman" w:hAnsi="Times New Roman"/>
          <w:sz w:val="18"/>
          <w:szCs w:val="18"/>
          <w:color w:val="auto"/>
        </w:rPr>
      </w:pPr>
    </w:p>
    <w:p>
      <w:pPr>
        <w:ind w:left="980" w:right="80" w:firstLine="408"/>
        <w:spacing w:after="0" w:line="253" w:lineRule="auto"/>
        <w:tabs>
          <w:tab w:leader="none" w:pos="164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indemnify and hold harmless the Company, its directors, officers, agents and employees, and each person who controls the Company (within the meaning of Section 15 of the Securities Act and Section 20 of the Exchange Act), to the fullest extent permitted by applicable law, from and against all Losses arising out of or are based upon any untrue or alleged untrue statement of a material fact contained or incorporated by reference in any Registration Statement pursuant to which Investor’s Shares are registered,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Investor furnished in writing to the Company by the Investor expressly for use therein. In no event shall the liability of Investor be greater in amount than the dollar amount of the net proceeds received by Investor upon the sale of the subscribed Shares giving rise to such indemnification obligation. The Investor shall notify the Company promptly of the institution, threat or assertion of any proceeding arising from or in connection with the transactions contemplated by this Section 8 of which the Investor is aware.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411" w:name="page412"/>
    <w:bookmarkEnd w:id="411"/>
    <w:p>
      <w:pPr>
        <w:ind w:left="980" w:right="80" w:firstLine="408"/>
        <w:spacing w:after="0" w:line="253" w:lineRule="auto"/>
        <w:tabs>
          <w:tab w:leader="none" w:pos="169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written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(which consent shall not be unreasonably withheld, conditioned or delayed),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79"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8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Shares purchased pursuant to this Subscription Agreement.</w:t>
      </w:r>
    </w:p>
    <w:p>
      <w:pPr>
        <w:spacing w:after="0" w:line="67" w:lineRule="exact"/>
        <w:rPr>
          <w:rFonts w:ascii="Times New Roman" w:cs="Times New Roman" w:eastAsia="Times New Roman" w:hAnsi="Times New Roman"/>
          <w:sz w:val="18"/>
          <w:szCs w:val="18"/>
          <w:color w:val="auto"/>
        </w:rPr>
      </w:pPr>
    </w:p>
    <w:p>
      <w:pPr>
        <w:ind w:left="980" w:right="20" w:firstLine="408"/>
        <w:spacing w:after="0" w:line="252" w:lineRule="auto"/>
        <w:tabs>
          <w:tab w:leader="none" w:pos="163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8(d)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Section 8(d),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(8(d)</w:t>
      </w:r>
    </w:p>
    <w:p>
      <w:pPr>
        <w:spacing w:after="0" w:line="2" w:lineRule="exact"/>
        <w:rPr>
          <w:rFonts w:ascii="Times New Roman" w:cs="Times New Roman" w:eastAsia="Times New Roman" w:hAnsi="Times New Roman"/>
          <w:sz w:val="18"/>
          <w:szCs w:val="18"/>
          <w:color w:val="auto"/>
        </w:rPr>
      </w:pPr>
    </w:p>
    <w:p>
      <w:pPr>
        <w:ind w:left="980" w:firstLine="7"/>
        <w:spacing w:after="0" w:line="253" w:lineRule="auto"/>
        <w:tabs>
          <w:tab w:leader="none" w:pos="123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person who was not guilty of such fraudulent misrepresentation. Each indemnifying party’s obligation to make a contribution pursuant to this Section 8(d)(v) shall be individual, not joint and several, and in no event shall the liability of any Investor hereunder be greater in amount than the dollar amount of the net proceeds received by such Investor upon the sale of the subscribed Shares giving rise to such indemnification obligation.</w:t>
      </w:r>
    </w:p>
    <w:p>
      <w:pPr>
        <w:spacing w:after="0" w:line="81" w:lineRule="exact"/>
        <w:rPr>
          <w:sz w:val="20"/>
          <w:szCs w:val="20"/>
          <w:color w:val="auto"/>
        </w:rPr>
      </w:pPr>
    </w:p>
    <w:p>
      <w:pPr>
        <w:ind w:right="140" w:firstLine="987"/>
        <w:spacing w:after="0" w:line="255" w:lineRule="auto"/>
        <w:tabs>
          <w:tab w:leader="none" w:pos="12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hereafter enter into, and is not currently a party to, any Other Subscription Agreements with respect to the Shares that is inconsistent in any material respect with, or superior to, the registration rights granted to Investor by this Subscription Agreement. Notwithstanding any other rights and remedies Investor may have in respect of the Company or such Other Investors pursuant to this Subscription Agreement, if the Company enters into any other registration rights or similar agreement with respect to the Shares that contains provisions that violate the preceding sentence, the terms and conditions of this Subscription Agreement shall be deemed to have been amended without further action by the Company or Investor so that Investor shall be entitled to the benefit of any such more favorable or less restrictive terms or conditions, as the case may 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412" w:name="page413"/>
    <w:bookmarkEnd w:id="412"/>
    <w:p>
      <w:pPr>
        <w:ind w:left="4" w:right="160" w:firstLine="436"/>
        <w:spacing w:after="0" w:line="254" w:lineRule="auto"/>
        <w:tabs>
          <w:tab w:leader="none" w:pos="624"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BCA is terminated in accordance with its terms without being consummated, (b) upon the mutual written agreement of each of the parties hereto to terminate this Subscription Agreement, (c) December 30, 2021, if the Closing has not occurred by such date, or (d) if any of the conditions to Closing set forth in Section 3 of this Subscription Agreement are (i) not satisfied or waived or (ii) not capable of being satisfied and, in each case of</w:t>
      </w:r>
    </w:p>
    <w:p>
      <w:pPr>
        <w:spacing w:after="0" w:line="3" w:lineRule="exact"/>
        <w:rPr>
          <w:rFonts w:ascii="Times New Roman" w:cs="Times New Roman" w:eastAsia="Times New Roman" w:hAnsi="Times New Roman"/>
          <w:sz w:val="18"/>
          <w:szCs w:val="18"/>
          <w:color w:val="auto"/>
        </w:rPr>
      </w:pPr>
    </w:p>
    <w:p>
      <w:pPr>
        <w:ind w:left="4" w:right="40" w:hanging="4"/>
        <w:spacing w:after="0" w:line="251" w:lineRule="auto"/>
        <w:tabs>
          <w:tab w:leader="none" w:pos="219"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as a result thereof, the transactions contemplated by this Subscription Agreement will not be and are not consummated at the Closing (the termination events described in clauses (a)–(d) above, collectively, the “</w:t>
      </w:r>
      <w:r>
        <w:rPr>
          <w:rFonts w:ascii="Times New Roman" w:cs="Times New Roman" w:eastAsia="Times New Roman" w:hAnsi="Times New Roman"/>
          <w:sz w:val="18"/>
          <w:szCs w:val="18"/>
          <w:u w:val="single" w:color="auto"/>
          <w:color w:val="auto"/>
        </w:rPr>
        <w:t>Termination Events</w:t>
      </w:r>
      <w:r>
        <w:rPr>
          <w:rFonts w:ascii="Times New Roman" w:cs="Times New Roman" w:eastAsia="Times New Roman" w:hAnsi="Times New Roman"/>
          <w:sz w:val="18"/>
          <w:szCs w:val="18"/>
          <w:color w:val="auto"/>
        </w:rPr>
        <w:t>”); provided that in the case of clause (d), to the extent such failure to satisfy the conditions to Closing set forth in Section 3 of this Subscription Agreement is caused by the Investor’s failure to satisfy such conditions, termination shall instead be at the election of SPAC; provided, further, that nothing herein will relieve any party from liability for any willful breach hereof prior to the time of termination, and each party will be entitled to any remedies at law or in equity to recover losses, liabilities or damages arising from any such willful breach. SPAC shall notify the Investor in writing of the termination of the BCA promptly after the termination of such agreement. Upon the occurrence of any Termination Event and subject to the provisions of this Section 9, this Subscription Agreement shall be void and of no further effect and any monies paid by the Investor to SPAC in connection herewith shall promptly (and in any event within one (1) business day) following the Termination Event be returned to the Investor.</w:t>
      </w:r>
    </w:p>
    <w:p>
      <w:pPr>
        <w:spacing w:after="0" w:line="85" w:lineRule="exact"/>
        <w:rPr>
          <w:rFonts w:ascii="Times New Roman" w:cs="Times New Roman" w:eastAsia="Times New Roman" w:hAnsi="Times New Roman"/>
          <w:sz w:val="18"/>
          <w:szCs w:val="18"/>
          <w:color w:val="auto"/>
        </w:rPr>
      </w:pPr>
    </w:p>
    <w:p>
      <w:pPr>
        <w:ind w:left="4" w:firstLine="436"/>
        <w:spacing w:after="0" w:line="252" w:lineRule="auto"/>
        <w:tabs>
          <w:tab w:leader="none" w:pos="71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acknowledges that SPAC is a blank check company with the powers and privileges to effect a merger, asset acquisition, reorganization or similar business combination involving SPAC and one or more businesses or assets. The Investor further acknowledges that, as described in SPAC’s prospectus relating to its initial public offering dated October 6,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available at www.sec.gov, substantially all of SPAC’s assets consist of the cash proceeds of SPAC’s initial public offering and private placement of its securities, and substantially all of those proceeds have been deposited in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for the benefit of SPAC, its public shareholders and the underwriters of SPAC’s initial public offering. Except with respect to interest earned on the funds held in the Trust Account that may be released to SPAC to pay its tax obligations and to fund certain of its working capital requirements, the cash in the Trust Account may be disbursed only for the purposes set forth in the Prospectus. For and in consideration of SPAC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provided, however, that nothing in this Section 10 shall be deemed to limit the Investor’s right, title, interest or claim to any monies held in the Trust Account by virtue of its record or beneficial ownership of Shares (x) acquired by any means other than pursuant to this Subscription Agreement or (y) currently outstanding on the date hereof, pursuant to a validly exercised redemption right with respect to any such Shares, except to the extent that the Investor has otherwise agreed in writing with SPAC to not exercise such redemption right.</w:t>
      </w:r>
    </w:p>
    <w:p>
      <w:pPr>
        <w:spacing w:after="0" w:line="8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parties hereunder (other than the Shares acquired hereunder, if any) may be transferred or assigned without the prior written consent of each of the other parties hereto; provided that (i) this Subscription Agreement and any of the Investor’s rights and obligations hereunder may be assigned to an affiliate or any fund or account advised or managed by the Investor or the same investment manager or investment advisor as the Investor or by an affiliate (as defined in Rule 12b-2 of the Exchange Act) of such investment manager or investment advisor without the prior consent of SPAC or the Company; provided, however, the Investor shall provide notice of any such assignment to SPAC and the Company and (ii) the Investor’s rights under Section 8 may be assigned to an assignee or transferee of the Shares; provided further that prior to such assignment any such assignee shall agree in writing to be bound by the terms hereof. Upon such assignment by the Investor in accordance with this Section (a), the assignee shall become an Investor hereunder and have the rights and obligations provided for herein to the extent of such assignment; provided, that no assignment pursuant to clause (i) of this Section 11(a) shall relieve the Investor of its obligations hereunder, except to the extent actually performed in accordance with the terms hereof, unless consented to in writing by SPAC and the Company (such consent not to be unreasonably conditioned, delayed or withheld).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413" w:name="page414"/>
    <w:bookmarkEnd w:id="413"/>
    <w:p>
      <w:pPr>
        <w:ind w:firstLine="987"/>
        <w:spacing w:after="0" w:line="253" w:lineRule="auto"/>
        <w:tabs>
          <w:tab w:leader="none" w:pos="124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SPAC and/or the Company may request from the Investor such additional information as they may reasonably deem necessary to register the resale of the Shares and evaluate the eligibility of the Investor to acquire the Shares, and the Investor shall promptly provide such information as may reasonably be requested to the extent readily available; provided, that, each of SPAC and the Company agrees to keep any such information provided by Investor confidential except (i) as necessary to include in any registration statement required to be filed hereunder, (ii) as required by the federal securities law or pursuant to other routine proceedings of regulatory authorities or (iii) to the extent such disclosure is required by law, at the request of the staff of the SEC or regulatory agency or under the regulations of any national securities exchange on which SPAC’s or the Company’s securities, as the case may be, are listed for trading. The Investor acknowledges and agrees that if it does not provide SPAC and/or the Company with such requested information, the Investor’s Shares may not be registered for resale pursuant to Section 8 hereof. The Investor acknowledges that SPAC and/or the Company may file a copy of this Subscription Agreement (or a form of this Subscription Agreement) with the SEC as an exhibit to a periodic report or a registration statement of SPAC or the Company.</w:t>
      </w:r>
    </w:p>
    <w:p>
      <w:pPr>
        <w:spacing w:after="0" w:line="86"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 SPAC and the Company will rely on the acknowledgments, understandings, agreements, representations and warranties of the Investor contained in this Subscription Agreement, including Schedule A hereto and (ii) the Placement Agents will rely on the acknowledgments, understandings, agreements, representations and warranties of the Investor contained in Section 7 of this Subscription Agreement, including Schedule A hereto. Each of SPAC and the Company acknowledges that the Investor will rely on the acknowledgments, understandings, agreements, representations and warranties of each of SPAC and the Company contained in this Subscription Agreement. Prior to the Closing, the Investor agrees to promptly notify SPAC and the Company if any of the acknowledgments, understandings, agreements, representations and warranties set forth in Section 7 above are no longer accurate in any material respect (other than those acknowledgments, understandings, agreements, representations and warranties qualified by materiality, in which case the Investor shall notify SPAC if they are no longer accurate in any respect). Investor further acknowledges and agrees that each of the Placement Agents is a third-party beneficiary of the representations and warranties of the Investor contained in this Subscription Agreement. The Investor acknowledges and agrees that the purchase by the Investor of Shares from SPAC will constitute a reaffirmation of the acknowledgments, understandings, agreements, representations and warranties herein (as modified by any such notice) by the Investor as of the time of such purchase.</w:t>
      </w:r>
    </w:p>
    <w:p>
      <w:pPr>
        <w:spacing w:after="0" w:line="8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SPAC, the Company, the Investor and the Placement Agents is each entitled to rely upon this Subscription Agreement and each is irrevocably authorized to produce this Subscription Agreement or a copy hereof to any interested party in any administrative or legal proceeding or official inquiry with respect to the matters covered hereby; provided, however, that the foregoing clause of this Section 11(d) shall not give the Company or the Placement Agents any rights other than those expressly set forth in this Section 11(d) and, without limiting the generality of the foregoing and for the avoidance of doubt, in no event shall the Company be entitled to rely on any of the representations and warranties of SPAC set forth in this Subscription Agreement.</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w:t>
      </w:r>
    </w:p>
    <w:p>
      <w:pPr>
        <w:spacing w:after="0" w:line="98" w:lineRule="exact"/>
        <w:rPr>
          <w:rFonts w:ascii="Times New Roman" w:cs="Times New Roman" w:eastAsia="Times New Roman" w:hAnsi="Times New Roman"/>
          <w:sz w:val="18"/>
          <w:szCs w:val="18"/>
          <w:color w:val="auto"/>
        </w:rPr>
      </w:pPr>
    </w:p>
    <w:p>
      <w:pPr>
        <w:ind w:right="80" w:firstLine="987"/>
        <w:spacing w:after="0" w:line="256" w:lineRule="auto"/>
        <w:tabs>
          <w:tab w:leader="none" w:pos="121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amended, modified, waived or terminated (other than pursuant to the terms of Section 9 above)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(including the schedule hereto) constitutes the entire agreement, and supersedes all other prior agreements, understandings, representations and warranties, both written and oral, among the parties, with respect to the subject matter hereof. Except as expressly otherwise provided herein, this Subscription Agreement shall not confer any rights or remedies upon any person other than the parties hereto, and their respective successors and assigns, and the parties hereto acknowledge that such persons so referenced are third party beneficiaries of this Subscription Agreement with right of enforcement for the purposes of, and to the extent of, the rights granted to them, if any, pursuant to the applicable provisions.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14" w:name="page415"/>
    <w:bookmarkEnd w:id="414"/>
    <w:p>
      <w:pPr>
        <w:ind w:right="160" w:firstLine="987"/>
        <w:spacing w:after="0" w:line="261" w:lineRule="auto"/>
        <w:tabs>
          <w:tab w:leader="none" w:pos="124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71" w:lineRule="exact"/>
        <w:rPr>
          <w:rFonts w:ascii="Times New Roman" w:cs="Times New Roman" w:eastAsia="Times New Roman" w:hAnsi="Times New Roman"/>
          <w:sz w:val="18"/>
          <w:szCs w:val="18"/>
          <w:color w:val="auto"/>
        </w:rPr>
      </w:pPr>
    </w:p>
    <w:p>
      <w:pPr>
        <w:ind w:right="380" w:firstLine="987"/>
        <w:spacing w:after="0" w:line="266" w:lineRule="auto"/>
        <w:tabs>
          <w:tab w:leader="none" w:pos="120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67" w:lineRule="exact"/>
        <w:rPr>
          <w:rFonts w:ascii="Times New Roman" w:cs="Times New Roman" w:eastAsia="Times New Roman" w:hAnsi="Times New Roman"/>
          <w:sz w:val="18"/>
          <w:szCs w:val="18"/>
          <w:color w:val="auto"/>
        </w:rPr>
      </w:pPr>
    </w:p>
    <w:p>
      <w:pPr>
        <w:ind w:right="60" w:firstLine="987"/>
        <w:spacing w:after="0" w:line="266" w:lineRule="auto"/>
        <w:tabs>
          <w:tab w:leader="none" w:pos="120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67"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75" w:lineRule="exact"/>
        <w:rPr>
          <w:rFonts w:ascii="Times New Roman" w:cs="Times New Roman" w:eastAsia="Times New Roman" w:hAnsi="Times New Roman"/>
          <w:sz w:val="18"/>
          <w:szCs w:val="18"/>
          <w:color w:val="auto"/>
        </w:rPr>
      </w:pPr>
    </w:p>
    <w:p>
      <w:pPr>
        <w:ind w:right="240" w:firstLine="987"/>
        <w:spacing w:after="0" w:line="261" w:lineRule="auto"/>
        <w:tabs>
          <w:tab w:leader="none" w:pos="120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the number, type or classes of authorized shares of SPAC (including the Shares), other than as contemplated by the BCA or any agreement contemplated by the BCA, shall occur between the date hereof and immediately prior to the Closing by reason of reclassification, recapitalization, stock split (including reverse stock split) or combination, exchange or readjustment of shares, or any stock dividend, the number of Shares issued to the Investor and the Per Share Purchase Price shall be appropriately adjusted to reflect such change.</w:t>
      </w:r>
    </w:p>
    <w:p>
      <w:pPr>
        <w:spacing w:after="0" w:line="71" w:lineRule="exact"/>
        <w:rPr>
          <w:rFonts w:ascii="Times New Roman" w:cs="Times New Roman" w:eastAsia="Times New Roman" w:hAnsi="Times New Roman"/>
          <w:sz w:val="18"/>
          <w:szCs w:val="18"/>
          <w:color w:val="auto"/>
        </w:rPr>
      </w:pPr>
    </w:p>
    <w:p>
      <w:pPr>
        <w:ind w:right="140" w:firstLine="987"/>
        <w:spacing w:after="0" w:line="261" w:lineRule="auto"/>
        <w:tabs>
          <w:tab w:leader="none" w:pos="129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shall be governed by and construed in accordance with the laws of the State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w:t>
      </w:r>
    </w:p>
    <w:p>
      <w:pPr>
        <w:spacing w:after="0" w:line="71"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and any person asserting rights as a third party beneficiary may do so only if he, she or it, irrevocably agrees that any action, suit or proceeding between or among the parties hereto, whether arising in contract, tort or otherwise, arising in connection with any disagreement, dispute, controversy or claim arising out of or relating to this Subscription Agreement or any related document or any of the transactions contemplated hereby or thereby (“</w:t>
      </w:r>
      <w:r>
        <w:rPr>
          <w:rFonts w:ascii="Times New Roman" w:cs="Times New Roman" w:eastAsia="Times New Roman" w:hAnsi="Times New Roman"/>
          <w:sz w:val="18"/>
          <w:szCs w:val="18"/>
          <w:u w:val="single" w:color="auto"/>
          <w:color w:val="auto"/>
        </w:rPr>
        <w:t>Legal Dispute</w:t>
      </w:r>
      <w:r>
        <w:rPr>
          <w:rFonts w:ascii="Times New Roman" w:cs="Times New Roman" w:eastAsia="Times New Roman" w:hAnsi="Times New Roman"/>
          <w:sz w:val="18"/>
          <w:szCs w:val="18"/>
          <w:color w:val="auto"/>
        </w:rPr>
        <w:t>”) shall be brought only to the exclusive jurisdiction of the courts of the State of Delaware or the federal courts located in the State of Delaware, and each party hereto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that is brought in any such court has been brought in an inconvenient forum. During the period a Legal Dispute that is filed in accordance with this</w:t>
      </w: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11(n) is pending before a court, all actions, suits or proceedings with respect to such Legal Dispute or any other Legal Dispute, including any counterclaim, cross-claim or interpleader, shall be subject to the exclusive jurisdiction of such court. Each party hereto and any person asserting rights as a third party beneficiary may do so only if he, she or it hereby waives, and shall not assert as a defense in any Legal Dispute, that (i) such party is not personally subject to the jurisdiction of the above named courts for any reason, (ii) such action, suit or proceeding may not be brought or is not maintainable in such court, (iii) such party’s property is exempt or immune from execution, (iv) such action, suit or proceeding is brought in an inconvenient forum, or (v) the venue of such action, suit or proceeding is improper. A final judgment in any action, suit or proceeding described in this Section 11(n) following the expiration of any period permitted for appeal and subject to any stay during appeal shall be conclusive and may be enforced in other jurisdictions by suit on the judgment or in any other manner provided by applicable laws. EACH OF THE PARTIES HERETO AND ANY PERSON ASSERTING RIGHTS AS A THIRD PARTY BENEFICIARY MAY DO SO ONLY IF HE, SHE OR IT IRREVOCABLY AND UNCONDITIONALLY WAIVES ANY RIGHT TO TRIAL BY JURY ON ANY CLAIMS OR COUNTERCLAIMS ASSERTED IN ANY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15" w:name="page416"/>
    <w:bookmarkEnd w:id="415"/>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DISPUTE RELATING TO THIS SUBSCRIPTION AGREEMENT OR THE TRANSACTIONS CONTEMPLATED HEREBY AND FOR ANY COUNTERCLAIM RELATING THERETO. IF THE SUBJECT MATTER OF ANY SUCH LEGAL DISPUTE IS ONE IN WHICH THE WAIVER OF JURY TRIAL IS PROHIBITED, NO PARTY HERETO NOR ANY PERSON ASSERTING RIGHTS AS A THIRD PARTY BENEFICIARY SHALL ASSERT IN SUCH LEGAL DISPUTE A NONCOMPULSORY COUNTERCLAIM ARISING OUT OF OR RELATING TO THIS SUBSCRIPTION AGREEMENT OR THE TRANSACTIONS CONTEMPLATED HEREBY. FURTHERMORE, NO PARTY HERETO NOR ANY PERSON ASSERTING RIGHTS AS A THIRD PARTY BENEFICIARY SHALL SEEK TO CONSOLIDATE ANY SUCH LEGAL DISPUTE WITH A SEPARATE ACTION OR OTHER LEGAL PROCEEDING IN WHICH A JURY TRIAL CANNOT BE WAIVED.</w:t>
      </w:r>
    </w:p>
    <w:p>
      <w:pPr>
        <w:spacing w:after="0" w:line="81" w:lineRule="exact"/>
        <w:rPr>
          <w:sz w:val="20"/>
          <w:szCs w:val="20"/>
          <w:color w:val="auto"/>
        </w:rPr>
      </w:pPr>
    </w:p>
    <w:p>
      <w:pPr>
        <w:ind w:left="4" w:right="200" w:firstLine="987"/>
        <w:spacing w:after="0" w:line="272" w:lineRule="auto"/>
        <w:tabs>
          <w:tab w:leader="none" w:pos="1250" w:val="left"/>
        </w:tabs>
        <w:numPr>
          <w:ilvl w:val="1"/>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communication required or permitted hereunder to be given to a party hereto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w:t>
      </w:r>
    </w:p>
    <w:p>
      <w:pPr>
        <w:spacing w:after="0" w:line="1" w:lineRule="exact"/>
        <w:rPr>
          <w:rFonts w:ascii="Times New Roman" w:cs="Times New Roman" w:eastAsia="Times New Roman" w:hAnsi="Times New Roman"/>
          <w:sz w:val="17"/>
          <w:szCs w:val="17"/>
          <w:color w:val="auto"/>
        </w:rPr>
      </w:pPr>
    </w:p>
    <w:p>
      <w:pPr>
        <w:ind w:left="4" w:right="520" w:hanging="4"/>
        <w:spacing w:after="0" w:line="260" w:lineRule="auto"/>
        <w:tabs>
          <w:tab w:leader="none" w:pos="26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sent, with no mail undeliverable or other rejection notice, if sent by email, or (iii) three (3) business days after the date of mailing to the address below or to such other address or addresses as the party may hereafter designate by notice given hereunder:</w:t>
      </w:r>
    </w:p>
    <w:p>
      <w:pPr>
        <w:spacing w:after="0" w:line="73"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2"/>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Investor, to such address(es) or email address(es) as set forth herein;</w:t>
      </w:r>
    </w:p>
    <w:p>
      <w:pPr>
        <w:spacing w:after="0" w:line="11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2"/>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SPAC, to:</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Montes Archimedes Acquisition Corp.</w:t>
      </w:r>
    </w:p>
    <w:p>
      <w:pPr>
        <w:spacing w:after="0" w:line="2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724 Oak Grove, Suite 130</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1384"/>
        <w:spacing w:after="0"/>
        <w:tabs>
          <w:tab w:leader="none" w:pos="2324" w:val="left"/>
        </w:tabs>
        <w:rPr>
          <w:sz w:val="20"/>
          <w:szCs w:val="20"/>
          <w:color w:val="auto"/>
        </w:rPr>
      </w:pPr>
      <w:r>
        <w:rPr>
          <w:rFonts w:ascii="Times New Roman" w:cs="Times New Roman" w:eastAsia="Times New Roman" w:hAnsi="Times New Roman"/>
          <w:sz w:val="18"/>
          <w:szCs w:val="18"/>
          <w:color w:val="auto"/>
        </w:rPr>
        <w:t>Attention:</w:t>
        <w:tab/>
        <w:t>Maria Walker</w:t>
      </w:r>
    </w:p>
    <w:p>
      <w:pPr>
        <w:spacing w:after="0" w:line="9" w:lineRule="exact"/>
        <w:rPr>
          <w:sz w:val="20"/>
          <w:szCs w:val="20"/>
          <w:color w:val="auto"/>
        </w:rPr>
      </w:pPr>
    </w:p>
    <w:p>
      <w:pPr>
        <w:ind w:left="1384"/>
        <w:spacing w:after="0"/>
        <w:tabs>
          <w:tab w:leader="none" w:pos="232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maria@patientsquarecapital.com</w:t>
      </w:r>
    </w:p>
    <w:p>
      <w:pPr>
        <w:spacing w:after="0" w:line="9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p>
    <w:p>
      <w:pPr>
        <w:spacing w:after="0" w:line="11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Attention: Michael E. Weisser, P.C.</w:t>
      </w:r>
    </w:p>
    <w:p>
      <w:pPr>
        <w:spacing w:after="0" w:line="9" w:lineRule="exact"/>
        <w:rPr>
          <w:sz w:val="20"/>
          <w:szCs w:val="20"/>
          <w:color w:val="auto"/>
        </w:rPr>
      </w:pPr>
    </w:p>
    <w:p>
      <w:pPr>
        <w:ind w:left="2164"/>
        <w:spacing w:after="0"/>
        <w:rPr>
          <w:sz w:val="20"/>
          <w:szCs w:val="20"/>
          <w:color w:val="auto"/>
        </w:rPr>
      </w:pPr>
      <w:r>
        <w:rPr>
          <w:rFonts w:ascii="Times New Roman" w:cs="Times New Roman" w:eastAsia="Times New Roman" w:hAnsi="Times New Roman"/>
          <w:sz w:val="18"/>
          <w:szCs w:val="18"/>
          <w:color w:val="auto"/>
        </w:rPr>
        <w:t>Ryan Brissette</w:t>
      </w:r>
    </w:p>
    <w:p>
      <w:pPr>
        <w:spacing w:after="0" w:line="9" w:lineRule="exact"/>
        <w:rPr>
          <w:sz w:val="20"/>
          <w:szCs w:val="20"/>
          <w:color w:val="auto"/>
        </w:rPr>
      </w:pPr>
    </w:p>
    <w:p>
      <w:pPr>
        <w:ind w:left="1384"/>
        <w:spacing w:after="0"/>
        <w:tabs>
          <w:tab w:leader="none" w:pos="214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michael.weisser@kirkland.com</w:t>
      </w:r>
    </w:p>
    <w:p>
      <w:pPr>
        <w:spacing w:after="0" w:line="9" w:lineRule="exact"/>
        <w:rPr>
          <w:sz w:val="20"/>
          <w:szCs w:val="20"/>
          <w:color w:val="auto"/>
        </w:rPr>
      </w:pPr>
    </w:p>
    <w:p>
      <w:pPr>
        <w:ind w:left="2164"/>
        <w:spacing w:after="0"/>
        <w:rPr>
          <w:sz w:val="20"/>
          <w:szCs w:val="20"/>
          <w:color w:val="auto"/>
        </w:rPr>
      </w:pPr>
      <w:r>
        <w:rPr>
          <w:rFonts w:ascii="Times New Roman" w:cs="Times New Roman" w:eastAsia="Times New Roman" w:hAnsi="Times New Roman"/>
          <w:sz w:val="18"/>
          <w:szCs w:val="18"/>
          <w:color w:val="auto"/>
        </w:rPr>
        <w:t>ryan.brissette@kirkland.com</w:t>
      </w:r>
    </w:p>
    <w:p>
      <w:pPr>
        <w:spacing w:after="0" w:line="9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(iii) if to the Company, to:</w:t>
      </w:r>
    </w:p>
    <w:p>
      <w:pPr>
        <w:spacing w:after="0" w:line="11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Roivant Sciences Ltd.</w:t>
      </w:r>
    </w:p>
    <w:p>
      <w:pPr>
        <w:spacing w:after="0" w:line="2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Suite 1, 3rd Floor,</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11-12 St. James’s Square,</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London SW1Y 4LB</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1384"/>
        <w:spacing w:after="0"/>
        <w:tabs>
          <w:tab w:leader="none" w:pos="2324" w:val="left"/>
        </w:tabs>
        <w:rPr>
          <w:sz w:val="20"/>
          <w:szCs w:val="20"/>
          <w:color w:val="auto"/>
        </w:rPr>
      </w:pPr>
      <w:r>
        <w:rPr>
          <w:rFonts w:ascii="Times New Roman" w:cs="Times New Roman" w:eastAsia="Times New Roman" w:hAnsi="Times New Roman"/>
          <w:sz w:val="18"/>
          <w:szCs w:val="18"/>
          <w:color w:val="auto"/>
        </w:rPr>
        <w:t>Attention:</w:t>
        <w:tab/>
        <w:t>Matthew Gline</w:t>
      </w:r>
    </w:p>
    <w:p>
      <w:pPr>
        <w:spacing w:after="0" w:line="9" w:lineRule="exact"/>
        <w:rPr>
          <w:sz w:val="20"/>
          <w:szCs w:val="20"/>
          <w:color w:val="auto"/>
        </w:rPr>
      </w:pPr>
    </w:p>
    <w:p>
      <w:pPr>
        <w:ind w:left="1384"/>
        <w:spacing w:after="0"/>
        <w:tabs>
          <w:tab w:leader="none" w:pos="232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matthew.gline@roivant.com</w:t>
      </w:r>
    </w:p>
    <w:p>
      <w:pPr>
        <w:spacing w:after="0" w:line="9"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color w:val="auto"/>
        </w:rPr>
        <w:t>legalnotices@roivant.com</w:t>
      </w:r>
    </w:p>
    <w:p>
      <w:pPr>
        <w:spacing w:after="0" w:line="9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p>
    <w:p>
      <w:pPr>
        <w:spacing w:after="0" w:line="11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Roivant Sciences, Inc.</w:t>
      </w:r>
    </w:p>
    <w:p>
      <w:pPr>
        <w:spacing w:after="0" w:line="2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151 West 42nd Street, 15th Floor</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70" w:right="499" w:bottom="1440" w:gutter="0" w:footer="0" w:header="0"/>
        </w:sectPr>
      </w:pPr>
    </w:p>
    <w:bookmarkStart w:id="416" w:name="page417"/>
    <w:bookmarkEnd w:id="416"/>
    <w:p>
      <w:pPr>
        <w:ind w:left="1380"/>
        <w:spacing w:after="0"/>
        <w:tabs>
          <w:tab w:leader="none" w:pos="2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E-mail:</w:t>
        <w:tab/>
        <w:t>jo.chen@roivant.com</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Derek Dostal</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Brian Wolfe</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Lee Hochbaum</w:t>
      </w:r>
    </w:p>
    <w:p>
      <w:pPr>
        <w:spacing w:after="0" w:line="9" w:lineRule="exact"/>
        <w:rPr>
          <w:sz w:val="20"/>
          <w:szCs w:val="20"/>
          <w:color w:val="auto"/>
        </w:rPr>
      </w:pPr>
    </w:p>
    <w:p>
      <w:pPr>
        <w:ind w:left="1380"/>
        <w:spacing w:after="0"/>
        <w:tabs>
          <w:tab w:leader="none" w:pos="21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derek.dostal@davispolk.com</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brian.wolfe@davispolk.com</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lee.hochbaum@davispolk.com</w:t>
      </w:r>
    </w:p>
    <w:p>
      <w:pPr>
        <w:spacing w:after="0" w:line="99" w:lineRule="exact"/>
        <w:rPr>
          <w:sz w:val="20"/>
          <w:szCs w:val="20"/>
          <w:color w:val="auto"/>
        </w:rPr>
      </w:pPr>
    </w:p>
    <w:p>
      <w:pPr>
        <w:ind w:firstLine="436"/>
        <w:spacing w:after="0" w:line="252" w:lineRule="auto"/>
        <w:tabs>
          <w:tab w:leader="none" w:pos="71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 and Exculpation</w:t>
      </w:r>
      <w:r>
        <w:rPr>
          <w:rFonts w:ascii="Times New Roman" w:cs="Times New Roman" w:eastAsia="Times New Roman" w:hAnsi="Times New Roman"/>
          <w:sz w:val="18"/>
          <w:szCs w:val="18"/>
          <w:color w:val="auto"/>
        </w:rPr>
        <w:t>. The Investor acknowledges that it is not relying upon, and has not relied upon, any statement, representation or warranty made by any person, firm or corporation (including, without limitation, the Placement Agents, any of their respective affiliates or any control persons, officers, directors, employees, partners, agents or representatives of any of the foregoing), other than the statements, representations and warranties of SPAC and the Company expressly contained in Section 5 and Section 6 of this Subscription Agreement, respectively, in making its investment or decision to invest in SPAC. The Investor acknowledges and agrees that none of (i) any other investor pursuant to this Subscription Agreement or any other subscription agreement related to the private placement of the Shares (including the investor’s respective affiliates or any control persons, officers, directors, employees, partners, agents or representatives of any of the foregoing), (ii) the Placement Agents, their respective affiliates or any control persons, officers, directors, employees, partners, agents or representatives of any of the foregoing, or (iii) any other party to the BCA or any Non-Party Affiliate (other than SPAC or the Company with respect to the previous sentence),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SPAC, the Company, the Placement Agents or any Non-Party Affiliate concerning SPAC, the Company, the Placement Agents, any of their controlled affiliates, this Subscription Agreement or the transactions contemplated hereby. For purposes of this Subscription Agreement, “Non-Party Affiliates” means each former, current or future officer, director, employee, partner, member, manager, direct or indirect equityholder or affiliate of SPAC, the Company, the Placement Agents or any of SPAC’s, the Company’s or the Placement Agents’ controlled affiliates or any family member of the foregoing.</w:t>
      </w:r>
    </w:p>
    <w:p>
      <w:pPr>
        <w:spacing w:after="0" w:line="82" w:lineRule="exact"/>
        <w:rPr>
          <w:rFonts w:ascii="Times New Roman" w:cs="Times New Roman" w:eastAsia="Times New Roman" w:hAnsi="Times New Roman"/>
          <w:sz w:val="18"/>
          <w:szCs w:val="18"/>
          <w:color w:val="auto"/>
        </w:rPr>
      </w:pPr>
    </w:p>
    <w:p>
      <w:pPr>
        <w:ind w:right="20" w:firstLine="436"/>
        <w:spacing w:after="0" w:line="253" w:lineRule="auto"/>
        <w:tabs>
          <w:tab w:leader="none" w:pos="71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SPAC shall, by 9:00 a.m., New York City time, on the first (1st) business day immediately following the date of this Subscription Agreement, issue one or more press releases or file with the SEC a Current Report on Form 8-K (collectively, the “Disclosure Document”) disclosing all material terms of the transactions contemplated hereby and by the Other Subscription Agreements, the Transaction and any other material, nonpublic information that SPAC has provided to the Investor at any time prior to the filing of the Disclosure Document. Upon the issuance of the Disclosure Document, to the actual knowledge of SPAC, the Investor shall not be in possession of any material, non-public information received from SPAC or any of its officers, directors, or employees or agents (including the Placement Agents), and the Investor shall no longer be subject to any confidentiality or similar obligations under any current agreement, whether written or oral, with SPAC or any of its affiliates, relating to the transactions contemplated by this Subscription Agreement. Notwithstanding anything in this Subscription Agreement to the contrary, neither SPAC nor the Company shall publicly disclose the name of the Investor or any of its affiliates or advisers, or include the name of the Investor or any of its affiliates or advisers without the prior written consent of the Investor (a) in any press release or marketing materials or (b) in any filing with the SEC or any regulatory agency or trading market except (i) as required by the federal securities law or pursuant to other routine proceedings of regulatory authorities, (ii) to the extent such disclosure is required by law, at the request of the staff of the SEC or regulatory agency or under the regulations of any national securities exchange on which SPAC’s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17" w:name="page418"/>
    <w:bookmarkEnd w:id="41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are listed for trading or (iii) to the extent such announcements or other communications contain only information previously disclosed in a public statement, press release or other communication previously approved in accordance with this Section 13; provided that, in each case of (i), (ii), or (iii), SPAC will provide the Investor with written notice (including by e-mail) of any such disclosure and shall reasonably consult with Investor regarding such disclosure.</w:t>
      </w:r>
    </w:p>
    <w:p>
      <w:pPr>
        <w:spacing w:after="0" w:line="72" w:lineRule="exact"/>
        <w:rPr>
          <w:sz w:val="20"/>
          <w:szCs w:val="20"/>
          <w:color w:val="auto"/>
        </w:rPr>
      </w:pPr>
    </w:p>
    <w:p>
      <w:pPr>
        <w:ind w:firstLine="436"/>
        <w:spacing w:after="0" w:line="252" w:lineRule="auto"/>
        <w:tabs>
          <w:tab w:leader="none" w:pos="71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 Obligations</w:t>
      </w:r>
      <w:r>
        <w:rPr>
          <w:rFonts w:ascii="Times New Roman" w:cs="Times New Roman" w:eastAsia="Times New Roman" w:hAnsi="Times New Roman"/>
          <w:sz w:val="18"/>
          <w:szCs w:val="18"/>
          <w:color w:val="auto"/>
        </w:rPr>
        <w:t>. For the avoidance of doubt, all obligations of the Investor hereunder are separate and several from the obligations of any Other Investor. The decision of Investor to purchase the Shares pursuant to this Subscription Agreement has been made by Investor independently of any Other Investor or any other investor and independently of any information, materials, statements or opinions as to the business, affairs, operations, assets, properties, liabilities, results of operations, condition (financial or otherwise) or prospects of SPAC, the Company, or any of their respective subsidiaries which may have been made or given by any Other Investor or investor or by any agent or employee of any Other Investor or investor, and neither Investor nor any of its agents or employees shall have any liability to any Other Investor or investor (or any other person) relating to or arising from any such information, materials, statements or opinions. Nothing contained herein or in any Other Subscription Agreement, and no action taken by Investor or Other Investors pursuant hereto or thereto, shall be deemed to constitute Investor and Other Investor or other investors as a partnership, an association, a joint venture or any other kind of entity, or create a presumption that Investor and Other Investors or other investors are in any way acting in concert or as a group with respect to such obligations or the transactions contemplated by this Subscription Agreement and the Other Subscription Agreements. The Investor acknowledges that no Other Investor has acted as agent for Investor in connection with making its investment hereunder and no Other Investor will be acting as agent of Investor in connection with monitoring its investment in the Shares or enforcing its rights under this Subscription Agreement. The Investor shall be entitled to independently protect and enforce its rights, including without limitation the rights arising out of this Subscription Agreement, and it shall not be necessary for any Other Investor or investor to be joined as an additional party in any proceeding for such purpose.</w:t>
      </w:r>
    </w:p>
    <w:p>
      <w:pPr>
        <w:spacing w:after="0" w:line="88" w:lineRule="exact"/>
        <w:rPr>
          <w:rFonts w:ascii="Times New Roman" w:cs="Times New Roman" w:eastAsia="Times New Roman" w:hAnsi="Times New Roman"/>
          <w:sz w:val="18"/>
          <w:szCs w:val="18"/>
          <w:color w:val="auto"/>
        </w:rPr>
      </w:pPr>
    </w:p>
    <w:p>
      <w:pPr>
        <w:ind w:right="360" w:firstLine="436"/>
        <w:spacing w:after="0" w:line="258" w:lineRule="auto"/>
        <w:tabs>
          <w:tab w:leader="none" w:pos="71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Massachusetts Business Trust</w:t>
      </w:r>
      <w:r>
        <w:rPr>
          <w:rFonts w:ascii="Times New Roman" w:cs="Times New Roman" w:eastAsia="Times New Roman" w:hAnsi="Times New Roman"/>
          <w:sz w:val="18"/>
          <w:szCs w:val="18"/>
          <w:color w:val="auto"/>
        </w:rPr>
        <w:t>. If Investor is a Massachusetts Business Trust, a copy of the Declaration of Trust of Investor or any affiliate thereof is on file with the Secretary of State of the Commonwealth of Massachusetts and notice is hereby given that the Subscription Agreement is executed on behalf of the trustees of Investor or any affiliate thereof as trustees and not individually and that the obligations of the Subscription Agreement are not binding on any of the trustees, officers or stockholders of Investor or any affiliate thereof individually but are binding only upon Investor or any affiliate thereof and its assets and property.</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418" w:name="page419"/>
    <w:bookmarkEnd w:id="418"/>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Investor:</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State/Country of Formation or Domicile:</w:t>
            </w:r>
          </w:p>
        </w:tc>
      </w:tr>
      <w:tr>
        <w:trPr>
          <w:trHeight w:val="459"/>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682"/>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in which Shares are to be registered (if different):</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Date: ________, 2021</w:t>
            </w:r>
          </w:p>
        </w:tc>
      </w:tr>
      <w:tr>
        <w:trPr>
          <w:trHeight w:val="432"/>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Investor’s EIN:</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Address-Street:</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Mailing Address-Street (if different):</w:t>
            </w:r>
          </w:p>
        </w:tc>
      </w:tr>
      <w:tr>
        <w:trPr>
          <w:trHeight w:val="432"/>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State, Zip:</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City, State, Zip:</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5080" w:type="dxa"/>
            <w:vAlign w:val="bottom"/>
            <w:tcBorders>
              <w:bottom w:val="single" w:sz="8" w:color="auto"/>
            </w:tcBorders>
            <w:gridSpan w:val="2"/>
          </w:tcPr>
          <w:p>
            <w:pPr>
              <w:spacing w:after="0"/>
              <w:rPr>
                <w:sz w:val="24"/>
                <w:szCs w:val="24"/>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Attn:</w:t>
            </w:r>
          </w:p>
        </w:tc>
        <w:tc>
          <w:tcPr>
            <w:tcW w:w="4740" w:type="dxa"/>
            <w:vAlign w:val="bottom"/>
            <w:tcBorders>
              <w:bottom w:val="single" w:sz="8" w:color="auto"/>
            </w:tcBorders>
          </w:tcPr>
          <w:p>
            <w:pPr>
              <w:spacing w:after="0"/>
              <w:rPr>
                <w:sz w:val="24"/>
                <w:szCs w:val="24"/>
                <w:color w:val="auto"/>
              </w:rPr>
            </w:pPr>
          </w:p>
        </w:tc>
      </w:tr>
      <w:tr>
        <w:trPr>
          <w:trHeight w:val="448"/>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Telephone No.:</w:t>
            </w:r>
          </w:p>
        </w:tc>
      </w:tr>
      <w:tr>
        <w:trPr>
          <w:trHeight w:val="234"/>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Facsimile No.:</w:t>
            </w:r>
          </w:p>
        </w:tc>
      </w:tr>
      <w:tr>
        <w:trPr>
          <w:trHeight w:val="432"/>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subscribed for:</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Subscription Amount: $</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Price Per Share: $10.00</w:t>
            </w:r>
          </w:p>
        </w:tc>
      </w:tr>
    </w:tbl>
    <w:p>
      <w:pPr>
        <w:spacing w:after="0" w:line="198"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SPAC in the Closing Notice.</w:t>
      </w:r>
    </w:p>
    <w:p>
      <w:pPr>
        <w:sectPr>
          <w:pgSz w:w="11900" w:h="16838" w:orient="portrait"/>
          <w:cols w:equalWidth="0" w:num="1">
            <w:col w:w="11020"/>
          </w:cols>
          <w:pgMar w:left="440" w:top="266" w:right="439" w:bottom="1440" w:gutter="0" w:footer="0" w:header="0"/>
        </w:sectPr>
      </w:pPr>
    </w:p>
    <w:bookmarkStart w:id="419" w:name="page420"/>
    <w:bookmarkEnd w:id="4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accepted this Subscription Agreement as of the date set forth below.</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MONTES ARCHIMEDES ACQUISITION CORP.</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ROIVANT SCIENCES LTD.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2021</w:t>
      </w:r>
    </w:p>
    <w:p>
      <w:pPr>
        <w:sectPr>
          <w:pgSz w:w="11900" w:h="16838" w:orient="portrait"/>
          <w:cols w:equalWidth="0" w:num="1">
            <w:col w:w="10300"/>
          </w:cols>
          <w:pgMar w:left="440" w:top="270" w:right="1159" w:bottom="1440" w:gutter="0" w:footer="0" w:header="0"/>
        </w:sectPr>
      </w:pPr>
    </w:p>
    <w:bookmarkStart w:id="420" w:name="page421"/>
    <w:bookmarkEnd w:id="420"/>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56" w:lineRule="exact"/>
        <w:rPr>
          <w:sz w:val="20"/>
          <w:szCs w:val="20"/>
          <w:color w:val="auto"/>
        </w:rPr>
      </w:pPr>
    </w:p>
    <w:p>
      <w:pPr>
        <w:ind w:left="364" w:right="6860" w:hanging="364"/>
        <w:spacing w:after="0" w:line="312" w:lineRule="auto"/>
        <w:tabs>
          <w:tab w:leader="none" w:pos="436"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31" w:lineRule="exact"/>
        <w:rPr>
          <w:rFonts w:ascii="Times New Roman" w:cs="Times New Roman" w:eastAsia="Times New Roman" w:hAnsi="Times New Roman"/>
          <w:sz w:val="17"/>
          <w:szCs w:val="17"/>
          <w:color w:val="auto"/>
        </w:rPr>
      </w:pPr>
    </w:p>
    <w:p>
      <w:pPr>
        <w:ind w:left="644" w:hanging="204"/>
        <w:spacing w:after="0"/>
        <w:tabs>
          <w:tab w:leader="none" w:pos="644" w:val="left"/>
        </w:tabs>
        <w:numPr>
          <w:ilvl w:val="1"/>
          <w:numId w:val="3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117" w:lineRule="exact"/>
        <w:rPr>
          <w:rFonts w:ascii="MS PGothic" w:cs="MS PGothic" w:eastAsia="MS PGothic" w:hAnsi="MS PGothic"/>
          <w:sz w:val="18"/>
          <w:szCs w:val="18"/>
          <w:color w:val="auto"/>
        </w:rPr>
      </w:pPr>
    </w:p>
    <w:p>
      <w:pPr>
        <w:ind w:left="444" w:right="160" w:hanging="4"/>
        <w:spacing w:after="0" w:line="282" w:lineRule="auto"/>
        <w:tabs>
          <w:tab w:leader="none" w:pos="651" w:val="left"/>
        </w:tabs>
        <w:numPr>
          <w:ilvl w:val="1"/>
          <w:numId w:val="3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subscribing for the Shares as a fiduciary or agent with full investment discretion for one or more investor accounts, and each owner of such account is a QIB.</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OR **</w:t>
      </w:r>
    </w:p>
    <w:p>
      <w:pPr>
        <w:spacing w:after="0" w:line="131" w:lineRule="exact"/>
        <w:rPr>
          <w:sz w:val="20"/>
          <w:szCs w:val="20"/>
          <w:color w:val="auto"/>
        </w:rPr>
      </w:pPr>
    </w:p>
    <w:p>
      <w:pPr>
        <w:ind w:left="364" w:right="6400" w:hanging="364"/>
        <w:spacing w:after="0" w:line="282" w:lineRule="auto"/>
        <w:tabs>
          <w:tab w:leader="none" w:pos="43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 check the applicable subparagraphs):</w:t>
      </w:r>
    </w:p>
    <w:p>
      <w:pPr>
        <w:spacing w:after="0" w:line="38" w:lineRule="exact"/>
        <w:rPr>
          <w:rFonts w:ascii="Times New Roman" w:cs="Times New Roman" w:eastAsia="Times New Roman" w:hAnsi="Times New Roman"/>
          <w:sz w:val="18"/>
          <w:szCs w:val="18"/>
          <w:color w:val="auto"/>
        </w:rPr>
      </w:pPr>
    </w:p>
    <w:p>
      <w:pPr>
        <w:ind w:left="724" w:right="40" w:hanging="387"/>
        <w:spacing w:after="0" w:line="232" w:lineRule="exact"/>
        <w:tabs>
          <w:tab w:leader="none" w:pos="724" w:val="left"/>
        </w:tabs>
        <w:numPr>
          <w:ilvl w:val="1"/>
          <w:numId w:val="30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62" w:lineRule="exact"/>
        <w:rPr>
          <w:rFonts w:ascii="Times New Roman" w:cs="Times New Roman" w:eastAsia="Times New Roman" w:hAnsi="Times New Roman"/>
          <w:sz w:val="18"/>
          <w:szCs w:val="18"/>
          <w:color w:val="auto"/>
        </w:rPr>
      </w:pPr>
    </w:p>
    <w:p>
      <w:pPr>
        <w:ind w:left="724" w:hanging="387"/>
        <w:spacing w:after="0" w:line="207" w:lineRule="exact"/>
        <w:tabs>
          <w:tab w:leader="none" w:pos="724" w:val="left"/>
        </w:tabs>
        <w:numPr>
          <w:ilvl w:val="1"/>
          <w:numId w:val="30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146"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72" w:lineRule="exact"/>
        <w:rPr>
          <w:sz w:val="20"/>
          <w:szCs w:val="20"/>
          <w:color w:val="auto"/>
        </w:rPr>
      </w:pPr>
    </w:p>
    <w:p>
      <w:pPr>
        <w:ind w:left="444" w:right="180" w:hanging="4"/>
        <w:spacing w:after="0" w:line="282" w:lineRule="auto"/>
        <w:tabs>
          <w:tab w:leader="none" w:pos="641" w:val="left"/>
        </w:tabs>
        <w:numPr>
          <w:ilvl w:val="0"/>
          <w:numId w:val="3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53" w:lineRule="exact"/>
        <w:rPr>
          <w:rFonts w:ascii="MS PGothic" w:cs="MS PGothic" w:eastAsia="MS PGothic" w:hAnsi="MS PGothic"/>
          <w:sz w:val="18"/>
          <w:szCs w:val="18"/>
          <w:color w:val="auto"/>
        </w:rPr>
      </w:pPr>
    </w:p>
    <w:p>
      <w:pPr>
        <w:ind w:left="444" w:right="40" w:hanging="4"/>
        <w:spacing w:after="0" w:line="282" w:lineRule="auto"/>
        <w:tabs>
          <w:tab w:leader="none" w:pos="641" w:val="left"/>
        </w:tabs>
        <w:numPr>
          <w:ilvl w:val="0"/>
          <w:numId w:val="3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53" w:lineRule="exact"/>
        <w:rPr>
          <w:rFonts w:ascii="MS PGothic" w:cs="MS PGothic" w:eastAsia="MS PGothic" w:hAnsi="MS PGothic"/>
          <w:sz w:val="18"/>
          <w:szCs w:val="18"/>
          <w:color w:val="auto"/>
        </w:rPr>
      </w:pPr>
    </w:p>
    <w:p>
      <w:pPr>
        <w:ind w:left="444" w:right="300" w:hanging="4"/>
        <w:spacing w:after="0" w:line="282" w:lineRule="auto"/>
        <w:tabs>
          <w:tab w:leader="none" w:pos="641" w:val="left"/>
        </w:tabs>
        <w:numPr>
          <w:ilvl w:val="0"/>
          <w:numId w:val="3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53" w:lineRule="exact"/>
        <w:rPr>
          <w:rFonts w:ascii="MS PGothic" w:cs="MS PGothic" w:eastAsia="MS PGothic" w:hAnsi="MS PGothic"/>
          <w:sz w:val="18"/>
          <w:szCs w:val="18"/>
          <w:color w:val="auto"/>
        </w:rPr>
      </w:pPr>
    </w:p>
    <w:p>
      <w:pPr>
        <w:ind w:left="444" w:hanging="4"/>
        <w:spacing w:after="0" w:line="282" w:lineRule="auto"/>
        <w:tabs>
          <w:tab w:leader="none" w:pos="641" w:val="left"/>
        </w:tabs>
        <w:numPr>
          <w:ilvl w:val="0"/>
          <w:numId w:val="3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53" w:lineRule="exact"/>
        <w:rPr>
          <w:rFonts w:ascii="MS PGothic" w:cs="MS PGothic" w:eastAsia="MS PGothic" w:hAnsi="MS PGothic"/>
          <w:sz w:val="18"/>
          <w:szCs w:val="18"/>
          <w:color w:val="auto"/>
        </w:rPr>
      </w:pPr>
    </w:p>
    <w:p>
      <w:pPr>
        <w:ind w:left="444" w:right="560" w:hanging="4"/>
        <w:spacing w:after="0" w:line="282" w:lineRule="auto"/>
        <w:tabs>
          <w:tab w:leader="none" w:pos="641" w:val="left"/>
        </w:tabs>
        <w:numPr>
          <w:ilvl w:val="0"/>
          <w:numId w:val="3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53" w:lineRule="exact"/>
        <w:rPr>
          <w:rFonts w:ascii="MS PGothic" w:cs="MS PGothic" w:eastAsia="MS PGothic" w:hAnsi="MS PGothic"/>
          <w:sz w:val="18"/>
          <w:szCs w:val="18"/>
          <w:color w:val="auto"/>
        </w:rPr>
      </w:pPr>
    </w:p>
    <w:p>
      <w:pPr>
        <w:ind w:left="644" w:hanging="204"/>
        <w:spacing w:after="0"/>
        <w:tabs>
          <w:tab w:leader="none" w:pos="644" w:val="left"/>
        </w:tabs>
        <w:numPr>
          <w:ilvl w:val="0"/>
          <w:numId w:val="3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AND **</w:t>
      </w:r>
    </w:p>
    <w:p>
      <w:pPr>
        <w:sectPr>
          <w:pgSz w:w="11900" w:h="16838" w:orient="portrait"/>
          <w:cols w:equalWidth="0" w:num="1">
            <w:col w:w="11004"/>
          </w:cols>
          <w:pgMar w:left="436" w:top="266" w:right="459" w:bottom="1440" w:gutter="0" w:footer="0" w:header="0"/>
        </w:sectPr>
      </w:pPr>
    </w:p>
    <w:bookmarkStart w:id="421" w:name="page422"/>
    <w:bookmarkEnd w:id="421"/>
    <w:p>
      <w:pPr>
        <w:ind w:left="304" w:hanging="304"/>
        <w:spacing w:after="0"/>
        <w:tabs>
          <w:tab w:leader="none" w:pos="30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AFFILIATE STATUS</w:t>
      </w:r>
    </w:p>
    <w:p>
      <w:pPr>
        <w:spacing w:after="0" w:line="27" w:lineRule="exact"/>
        <w:rPr>
          <w:rFonts w:ascii="Times New Roman" w:cs="Times New Roman" w:eastAsia="Times New Roman" w:hAnsi="Times New Roman"/>
          <w:sz w:val="18"/>
          <w:szCs w:val="18"/>
          <w:color w:val="auto"/>
        </w:rPr>
      </w:pPr>
    </w:p>
    <w:p>
      <w:pPr>
        <w:ind w:left="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check the applicable subparagraphs):</w:t>
      </w:r>
    </w:p>
    <w:p>
      <w:pPr>
        <w:spacing w:after="0" w:line="112" w:lineRule="exact"/>
        <w:rPr>
          <w:rFonts w:ascii="Times New Roman" w:cs="Times New Roman" w:eastAsia="Times New Roman" w:hAnsi="Times New Roman"/>
          <w:sz w:val="18"/>
          <w:szCs w:val="18"/>
          <w:color w:val="auto"/>
        </w:rPr>
      </w:pPr>
    </w:p>
    <w:p>
      <w:pPr>
        <w:ind w:left="524" w:hanging="214"/>
        <w:spacing w:after="0"/>
        <w:tabs>
          <w:tab w:leader="none" w:pos="524" w:val="left"/>
        </w:tabs>
        <w:numPr>
          <w:ilvl w:val="1"/>
          <w:numId w:val="3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w:t>
      </w:r>
    </w:p>
    <w:p>
      <w:pPr>
        <w:spacing w:after="0" w:line="117" w:lineRule="exact"/>
        <w:rPr>
          <w:rFonts w:ascii="MS PGothic" w:cs="MS PGothic" w:eastAsia="MS PGothic" w:hAnsi="MS PGothic"/>
          <w:sz w:val="18"/>
          <w:szCs w:val="18"/>
          <w:color w:val="auto"/>
        </w:rPr>
      </w:pPr>
    </w:p>
    <w:p>
      <w:pPr>
        <w:ind w:left="524" w:hanging="214"/>
        <w:spacing w:after="0"/>
        <w:tabs>
          <w:tab w:leader="none" w:pos="524" w:val="left"/>
        </w:tabs>
        <w:numPr>
          <w:ilvl w:val="1"/>
          <w:numId w:val="3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not:</w:t>
      </w:r>
    </w:p>
    <w:p>
      <w:pPr>
        <w:spacing w:after="0" w:line="117" w:lineRule="exact"/>
        <w:rPr>
          <w:sz w:val="20"/>
          <w:szCs w:val="20"/>
          <w:color w:val="auto"/>
        </w:rPr>
      </w:pPr>
    </w:p>
    <w:p>
      <w:pPr>
        <w:ind w:left="304" w:right="1880"/>
        <w:spacing w:after="0" w:line="375" w:lineRule="auto"/>
        <w:rPr>
          <w:sz w:val="20"/>
          <w:szCs w:val="20"/>
          <w:color w:val="auto"/>
        </w:rPr>
      </w:pPr>
      <w:r>
        <w:rPr>
          <w:rFonts w:ascii="Times New Roman" w:cs="Times New Roman" w:eastAsia="Times New Roman" w:hAnsi="Times New Roman"/>
          <w:sz w:val="18"/>
          <w:szCs w:val="18"/>
          <w:color w:val="auto"/>
        </w:rPr>
        <w:t>an “affiliate” (as defined in Rule 144 under the Securities Act) of the SPAC or acting on behalf of an affiliate of the SPAC. ** AND **</w:t>
      </w:r>
    </w:p>
    <w:p>
      <w:pPr>
        <w:spacing w:after="0" w:line="1" w:lineRule="exact"/>
        <w:rPr>
          <w:sz w:val="20"/>
          <w:szCs w:val="20"/>
          <w:color w:val="auto"/>
        </w:rPr>
      </w:pPr>
    </w:p>
    <w:p>
      <w:pPr>
        <w:ind w:left="304" w:right="7480" w:hanging="304"/>
        <w:spacing w:after="0" w:line="297" w:lineRule="auto"/>
        <w:tabs>
          <w:tab w:leader="none" w:pos="30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PURCHASER STATUS (Please check the applicable subparagraphs):</w:t>
      </w:r>
    </w:p>
    <w:p>
      <w:pPr>
        <w:spacing w:after="0" w:line="54" w:lineRule="exact"/>
        <w:rPr>
          <w:rFonts w:ascii="Times New Roman" w:cs="Times New Roman" w:eastAsia="Times New Roman" w:hAnsi="Times New Roman"/>
          <w:sz w:val="18"/>
          <w:szCs w:val="18"/>
          <w:color w:val="auto"/>
        </w:rPr>
      </w:pPr>
    </w:p>
    <w:p>
      <w:pPr>
        <w:ind w:left="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INDIVIDUALS:</w:t>
      </w:r>
    </w:p>
    <w:p>
      <w:pPr>
        <w:spacing w:after="0" w:line="27" w:lineRule="exact"/>
        <w:rPr>
          <w:rFonts w:ascii="Times New Roman" w:cs="Times New Roman" w:eastAsia="Times New Roman" w:hAnsi="Times New Roman"/>
          <w:sz w:val="18"/>
          <w:szCs w:val="18"/>
          <w:color w:val="auto"/>
        </w:rPr>
      </w:pPr>
    </w:p>
    <w:p>
      <w:pPr>
        <w:ind w:left="544" w:right="180" w:hanging="234"/>
        <w:spacing w:after="0" w:line="220" w:lineRule="exact"/>
        <w:tabs>
          <w:tab w:leader="none" w:pos="544" w:val="left"/>
        </w:tabs>
        <w:numPr>
          <w:ilvl w:val="1"/>
          <w:numId w:val="3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natural person who owns not less than U.S.$5,000,000 in investments. For this purpose, investments owned by the Investor include all investments that are the Investor’s separate property and any investments held jointly with the Investor’s spouse, as community property or otherwise, but do not include investments that are the separate property of the Investor’s spouse unless the interest will be a joint investment of the Investor and the Investor’s spouse.</w:t>
      </w:r>
    </w:p>
    <w:p>
      <w:pPr>
        <w:spacing w:after="0" w:line="62" w:lineRule="exact"/>
        <w:rPr>
          <w:rFonts w:ascii="Times New Roman" w:cs="Times New Roman" w:eastAsia="Times New Roman" w:hAnsi="Times New Roman"/>
          <w:sz w:val="18"/>
          <w:szCs w:val="18"/>
          <w:color w:val="auto"/>
        </w:rPr>
      </w:pPr>
    </w:p>
    <w:p>
      <w:pPr>
        <w:jc w:val="both"/>
        <w:ind w:left="544" w:hanging="234"/>
        <w:spacing w:after="0" w:line="232" w:lineRule="exact"/>
        <w:tabs>
          <w:tab w:leader="none" w:pos="544" w:val="left"/>
        </w:tabs>
        <w:numPr>
          <w:ilvl w:val="1"/>
          <w:numId w:val="3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natural person who has discretionary investment authority with regard to at least U.S.$25,000,000 of investments, including for this purpose solely the Investor’s own investments and investments of third parties that are themselves accurately described by one or more paragraphs of this Section D.</w:t>
      </w:r>
    </w:p>
    <w:p>
      <w:pPr>
        <w:spacing w:after="0" w:line="105"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31"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FOR ENTITIES:</w:t>
      </w:r>
    </w:p>
    <w:p>
      <w:pPr>
        <w:spacing w:after="0" w:line="115" w:lineRule="exact"/>
        <w:rPr>
          <w:sz w:val="20"/>
          <w:szCs w:val="20"/>
          <w:color w:val="auto"/>
        </w:rPr>
      </w:pPr>
    </w:p>
    <w:p>
      <w:pPr>
        <w:ind w:left="884" w:hanging="236"/>
        <w:spacing w:after="0" w:line="224" w:lineRule="exact"/>
        <w:tabs>
          <w:tab w:leader="none" w:pos="884" w:val="left"/>
        </w:tabs>
        <w:numPr>
          <w:ilvl w:val="0"/>
          <w:numId w:val="3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corporation, partnership, limited liability company, trust or other organization that: (i) was not organized or reorganized and is not operated for the specific purpose of acquiring the interest or any other interest in SPAC, and less than 40% of the assets of which will consist of interests in SPAC (calculated as of the time of the Investor’s execution of this Subscription Agreement); (ii) owns not less than U.S.$5,000,000 in investments; and (iii) is owned directly or indirectly solely by or for two or more natural persons who are related as siblings or spouses (including former spouses), or direct lineal descendants by birth or adoption, spouses of such persons, the estates of such persons, or foundations, charitable organizations, or trusts established by or for the benefit of such persons.</w:t>
      </w:r>
    </w:p>
    <w:p>
      <w:pPr>
        <w:spacing w:after="0" w:line="63" w:lineRule="exact"/>
        <w:rPr>
          <w:rFonts w:ascii="Times New Roman" w:cs="Times New Roman" w:eastAsia="Times New Roman" w:hAnsi="Times New Roman"/>
          <w:sz w:val="18"/>
          <w:szCs w:val="18"/>
          <w:color w:val="auto"/>
        </w:rPr>
      </w:pPr>
    </w:p>
    <w:p>
      <w:pPr>
        <w:ind w:left="884" w:right="160" w:hanging="236"/>
        <w:spacing w:after="0" w:line="228" w:lineRule="exact"/>
        <w:tabs>
          <w:tab w:leader="none" w:pos="884" w:val="left"/>
        </w:tabs>
        <w:numPr>
          <w:ilvl w:val="0"/>
          <w:numId w:val="3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trust: (i) that is not described in paragraph (3) of this Section D; (ii) that was not organized or reorganized and is not operated for the specific purpose of acquiring the interest or any other interest in SPAC, and less than 40% of the assets of which will consist of interests in SPAC (calculated as of the time of the Investor’s execution of this Subscription Agreement); and (iii) with respect to which each of the settlors and other contributors of assets, trustees, and other authorized decision makers is a person described in paragraph (1), (2), (3) or</w:t>
      </w:r>
    </w:p>
    <w:p>
      <w:pPr>
        <w:ind w:left="8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this Section D.</w:t>
      </w:r>
    </w:p>
    <w:p>
      <w:pPr>
        <w:spacing w:after="0" w:line="70" w:lineRule="exact"/>
        <w:rPr>
          <w:rFonts w:ascii="Times New Roman" w:cs="Times New Roman" w:eastAsia="Times New Roman" w:hAnsi="Times New Roman"/>
          <w:sz w:val="18"/>
          <w:szCs w:val="18"/>
          <w:color w:val="auto"/>
        </w:rPr>
      </w:pPr>
    </w:p>
    <w:p>
      <w:pPr>
        <w:ind w:left="884" w:right="160" w:hanging="236"/>
        <w:spacing w:after="0" w:line="226" w:lineRule="exact"/>
        <w:tabs>
          <w:tab w:leader="none" w:pos="884" w:val="left"/>
        </w:tabs>
        <w:numPr>
          <w:ilvl w:val="0"/>
          <w:numId w:val="3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entity that: (i) was not organized or reorganized and is not operated for the specific purpose of acquiring the interest or any other interest in SPAC, and less than 40% of the assets of which will consist of interests in SPAC (calculated as of the time of the Investor’s execution of this Subscription Agreement); and (ii) has discretionary investment authority with regard to at least U.S.$25,000,000 of investments, whether for its own account or for the account of other persons that are themselves accurately described by one or more other paragraphs of this Section D.</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70" w:right="439" w:bottom="1440" w:gutter="0" w:footer="0" w:header="0"/>
        </w:sectPr>
      </w:pPr>
    </w:p>
    <w:bookmarkStart w:id="422" w:name="page423"/>
    <w:bookmarkEnd w:id="422"/>
    <w:p>
      <w:pPr>
        <w:ind w:left="540" w:hanging="532"/>
        <w:spacing w:after="0" w:line="228" w:lineRule="exact"/>
        <w:tabs>
          <w:tab w:leader="none" w:pos="315" w:val="left"/>
        </w:tabs>
        <w:numPr>
          <w:ilvl w:val="0"/>
          <w:numId w:val="312"/>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color w:val="auto"/>
        </w:rPr>
        <w:t xml:space="preserve"> An entity, each and every beneficial owner of which is a person accurately described by one or more of the foregoing paragraphs of this Section D or is itself an entity each and every beneficial owner of which is a person accurately described by one or more of the foregoing paragraphs of this Section D. </w:t>
      </w:r>
      <w:r>
        <w:rPr>
          <w:rFonts w:ascii="Times New Roman" w:cs="Times New Roman" w:eastAsia="Times New Roman" w:hAnsi="Times New Roman"/>
          <w:sz w:val="17"/>
          <w:szCs w:val="17"/>
          <w:i w:val="1"/>
          <w:iCs w:val="1"/>
          <w:color w:val="auto"/>
        </w:rPr>
        <w:t>If the Investor is a qualified purchaser solely for the reason described in this paragraph 6, the Investor shall,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at the request of SPAC, submit to SPAC a separate qualified purchaser questionnaire for each beneficial owner of the Investor’s securities.</w:t>
      </w:r>
    </w:p>
    <w:p>
      <w:pPr>
        <w:spacing w:after="0" w:line="200" w:lineRule="exact"/>
        <w:rPr>
          <w:sz w:val="20"/>
          <w:szCs w:val="20"/>
          <w:color w:val="auto"/>
        </w:rPr>
      </w:pPr>
    </w:p>
    <w:p>
      <w:pPr>
        <w:spacing w:after="0" w:line="2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20"/>
          </w:cols>
          <w:pgMar w:left="860" w:top="241" w:right="519" w:bottom="1440" w:gutter="0" w:footer="0" w:header="0"/>
        </w:sectPr>
      </w:pPr>
    </w:p>
    <w:bookmarkStart w:id="423" w:name="page424"/>
    <w:bookmarkEnd w:id="42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SPONSOR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SPONSOR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May 1, 2021, by and among Roivant Sciences Ltd.,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 exempted limited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Montes Archimedes Acquisition Corp., a Delaware corporation (“</w:t>
      </w:r>
      <w:r>
        <w:rPr>
          <w:rFonts w:ascii="Times New Roman" w:cs="Times New Roman" w:eastAsia="Times New Roman" w:hAnsi="Times New Roman"/>
          <w:sz w:val="18"/>
          <w:szCs w:val="18"/>
          <w:u w:val="single" w:color="auto"/>
          <w:color w:val="auto"/>
        </w:rPr>
        <w:t>MAAC</w:t>
      </w:r>
      <w:r>
        <w:rPr>
          <w:rFonts w:ascii="Times New Roman" w:cs="Times New Roman" w:eastAsia="Times New Roman" w:hAnsi="Times New Roman"/>
          <w:sz w:val="18"/>
          <w:szCs w:val="18"/>
          <w:color w:val="auto"/>
        </w:rPr>
        <w:t>”), Patient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LLC, a Delaware limited liability company (the “</w:t>
      </w:r>
      <w:r>
        <w:rPr>
          <w:rFonts w:ascii="Times New Roman" w:cs="Times New Roman" w:eastAsia="Times New Roman" w:hAnsi="Times New Roman"/>
          <w:sz w:val="18"/>
          <w:szCs w:val="18"/>
          <w:u w:val="single" w:color="auto"/>
          <w:color w:val="auto"/>
        </w:rPr>
        <w:t>MAAC Sponsor</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Sections 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(solely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his or her representations or warranties therein),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(to the extent related to the foregoing sections)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Insiders (as defined below). Each of the Company, MAAC, the MAAC Sponsor and each of the Insiders are sometimes referred to herein individually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Each of the MAAC Sponsor and each of the Insiders are sometimes referred to herein individually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Except as otherwise specified herein, capitalized terms used but not otherwise defined herein shall have the meanings ascribed to them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Combination Agreement (as defined below).</w:t>
      </w:r>
    </w:p>
    <w:p>
      <w:pPr>
        <w:spacing w:after="0" w:line="203"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of this Agreement, MAAC, the Company and Rhine Merger Sub, Inc., a Delaware corporation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entered into that certain Business Combination Agreement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Business Combination Agreement contemplates that, on the terms and subject to the conditions therein, (a) on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Closing, the Company will consummate the Company Pre-Closing Steps, and (b) on the Closing Date promptly following consummation of the Company Pre-Closing Steps, Merger Sub will merge with and into MAAC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MAAC as the surviving corporation in the Merger and, after giving effect to such Merger, becoming a wholly-owned Subsidiary of the Company (collectively, and together with the other transactions contemplated by the Business Combination Agreement and the Ancillary Documents,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reference is hereby made to the following Contracts (collectively, the “</w:t>
      </w:r>
      <w:r>
        <w:rPr>
          <w:rFonts w:ascii="Times New Roman" w:cs="Times New Roman" w:eastAsia="Times New Roman" w:hAnsi="Times New Roman"/>
          <w:sz w:val="18"/>
          <w:szCs w:val="18"/>
          <w:u w:val="single" w:color="auto"/>
          <w:color w:val="auto"/>
        </w:rPr>
        <w:t>Affected Agreements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80" w:hanging="293"/>
        <w:spacing w:after="0"/>
        <w:tabs>
          <w:tab w:leader="none" w:pos="12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Letter Agreement dated October 6, 2020 and delivered by the MAAC Sponsor to MAAC (the “</w:t>
      </w:r>
      <w:r>
        <w:rPr>
          <w:rFonts w:ascii="Times New Roman" w:cs="Times New Roman" w:eastAsia="Times New Roman" w:hAnsi="Times New Roman"/>
          <w:sz w:val="18"/>
          <w:szCs w:val="18"/>
          <w:u w:val="single" w:color="auto"/>
          <w:color w:val="auto"/>
        </w:rPr>
        <w:t>Sponsor Letter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987"/>
        <w:spacing w:after="0" w:line="282" w:lineRule="auto"/>
        <w:tabs>
          <w:tab w:leader="none" w:pos="127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certain Letter Agreements, dated October 6, 2020, and delivered by each of George Barrett, James Momtazee, Maria Walker and Stephen Oesterle (each, an “</w:t>
      </w:r>
      <w:r>
        <w:rPr>
          <w:rFonts w:ascii="Times New Roman" w:cs="Times New Roman" w:eastAsia="Times New Roman" w:hAnsi="Times New Roman"/>
          <w:sz w:val="18"/>
          <w:szCs w:val="18"/>
          <w:u w:val="single" w:color="auto"/>
          <w:color w:val="auto"/>
        </w:rPr>
        <w:t>Insider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to MAAC (each, an “</w:t>
      </w:r>
      <w:r>
        <w:rPr>
          <w:rFonts w:ascii="Times New Roman" w:cs="Times New Roman" w:eastAsia="Times New Roman" w:hAnsi="Times New Roman"/>
          <w:sz w:val="18"/>
          <w:szCs w:val="18"/>
          <w:u w:val="single" w:color="auto"/>
          <w:color w:val="auto"/>
        </w:rPr>
        <w:t>Insider Letter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Insider Letters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20" w:firstLine="987"/>
        <w:spacing w:after="0" w:line="282" w:lineRule="auto"/>
        <w:tabs>
          <w:tab w:leader="none" w:pos="127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Warrant Agreement dated October 6, 2020 between MAAC and Continental Stock Transfer &amp; Trust Company, a New York corporation, as warrant agent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right="140" w:firstLine="987"/>
        <w:spacing w:after="0" w:line="282" w:lineRule="auto"/>
        <w:tabs>
          <w:tab w:leader="none" w:pos="128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Registration and Stockholder Rights Agreement dated October 6, 2020 (the “</w:t>
      </w:r>
      <w:r>
        <w:rPr>
          <w:rFonts w:ascii="Times New Roman" w:cs="Times New Roman" w:eastAsia="Times New Roman" w:hAnsi="Times New Roman"/>
          <w:sz w:val="18"/>
          <w:szCs w:val="18"/>
          <w:u w:val="single" w:color="auto"/>
          <w:color w:val="auto"/>
        </w:rPr>
        <w:t>MAAC Registration Rights Agreement</w:t>
      </w:r>
      <w:r>
        <w:rPr>
          <w:rFonts w:ascii="Times New Roman" w:cs="Times New Roman" w:eastAsia="Times New Roman" w:hAnsi="Times New Roman"/>
          <w:sz w:val="18"/>
          <w:szCs w:val="18"/>
          <w:color w:val="auto"/>
        </w:rPr>
        <w:t>”) by and among MAAC, the MAAC Sponsor and each of the other Holders (as such term is defined therein).</w:t>
      </w:r>
    </w:p>
    <w:p>
      <w:pPr>
        <w:sectPr>
          <w:pgSz w:w="11900" w:h="16838" w:orient="portrait"/>
          <w:cols w:equalWidth="0" w:num="1">
            <w:col w:w="11020"/>
          </w:cols>
          <w:pgMar w:left="440" w:top="117" w:right="439" w:bottom="1440" w:gutter="0" w:footer="0" w:header="0"/>
        </w:sectPr>
      </w:pPr>
    </w:p>
    <w:bookmarkStart w:id="424" w:name="page425"/>
    <w:bookmarkEnd w:id="424"/>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Times New Roman" w:cs="Times New Roman" w:eastAsia="Times New Roman" w:hAnsi="Times New Roman"/>
          <w:sz w:val="18"/>
          <w:szCs w:val="18"/>
          <w:color w:val="auto"/>
        </w:rPr>
        <w:t>, as of the date hereof, each Shareholder, in its respective capacity as such, is the holder of record and the “beneficial owner”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of Rule 13d-3 under the Exchange Act) of (i) the number of MAAC Class A Shares, (ii) private placement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to purchase an aggregate number of MAAC Class A Shares and/or (iii) the number of MAAC Class B Shares, in each case,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opposite such person’s name on such Exhibit (collectively, with respect to each Shareholder, the “</w:t>
      </w:r>
      <w:r>
        <w:rPr>
          <w:rFonts w:ascii="Times New Roman" w:cs="Times New Roman" w:eastAsia="Times New Roman" w:hAnsi="Times New Roman"/>
          <w:sz w:val="18"/>
          <w:szCs w:val="18"/>
          <w:u w:val="single" w:color="auto"/>
          <w:color w:val="auto"/>
        </w:rPr>
        <w:t>Subject Company 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part of the Transactions, each of the MAAC Class A Shares and the MAAC Class B Shares will be converted into Company Post-Closing Common Shares on the terms and conditions set forth in the Business Combination Agreement;</w:t>
      </w:r>
    </w:p>
    <w:p>
      <w:pPr>
        <w:spacing w:after="0" w:line="15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and concurrently with the execution of this Agreement and the 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 the Company and the MAAC Sponsor entered into that certain Lock-Up Agreement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Sponsor Lock-Up Agreement</w:t>
      </w:r>
      <w:r>
        <w:rPr>
          <w:rFonts w:ascii="Times New Roman" w:cs="Times New Roman" w:eastAsia="Times New Roman" w:hAnsi="Times New Roman"/>
          <w:sz w:val="18"/>
          <w:szCs w:val="18"/>
          <w:color w:val="auto"/>
        </w:rPr>
        <w:t>”), and (b) the Company, on the one hand, and certain Company Shareholders, on the other hand, entered into those certain Lock-Up Agreements (as amended, supplemented or otherwise modified from time to time in accordance with their applicable terms, collectively, the “</w:t>
      </w:r>
      <w:r>
        <w:rPr>
          <w:rFonts w:ascii="Times New Roman" w:cs="Times New Roman" w:eastAsia="Times New Roman" w:hAnsi="Times New Roman"/>
          <w:sz w:val="18"/>
          <w:szCs w:val="18"/>
          <w:u w:val="single" w:color="auto"/>
          <w:color w:val="auto"/>
        </w:rPr>
        <w:t>Significant Company Shareholder Lock-Up Agreements</w:t>
      </w:r>
      <w:r>
        <w:rPr>
          <w:rFonts w:ascii="Times New Roman" w:cs="Times New Roman" w:eastAsia="Times New Roman" w:hAnsi="Times New Roman"/>
          <w:sz w:val="18"/>
          <w:szCs w:val="18"/>
          <w:color w:val="auto"/>
        </w:rPr>
        <w:t>” and, together with the Sponsor Lock-Up Agreement, collectively, the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the MAAC Sponsor and each of the Insiders under the terms 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Agreement and as a material inducement to the Company and MAAC agreeing to enter into and consummate the transactions contemplated by the Business Combination Agreement, the MAAC Sponsor and each of the Insiders agrees to enter into this Agreement and to be bound by the applicable agreements, covenants and obligations contained in this Agreement; and</w:t>
      </w:r>
    </w:p>
    <w:p>
      <w:pPr>
        <w:spacing w:after="0" w:line="176"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the Company and MAAC would not have entered into and agreed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the Business Combination Agreement without each of the Shareholders entering into this Agreement and agreeing to be bound by the applicable agreements, covenants and obligations contained in this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each intending to be legally bound, hereby agree as follows:</w:t>
      </w:r>
    </w:p>
    <w:p>
      <w:pPr>
        <w:spacing w:after="0" w:line="51" w:lineRule="exact"/>
        <w:rPr>
          <w:sz w:val="20"/>
          <w:szCs w:val="20"/>
          <w:color w:val="auto"/>
        </w:rPr>
      </w:pPr>
    </w:p>
    <w:p>
      <w:pPr>
        <w:ind w:right="120" w:firstLine="436"/>
        <w:spacing w:after="0" w:line="282" w:lineRule="auto"/>
        <w:tabs>
          <w:tab w:leader="none" w:pos="62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Sponsor Letter and Insider Letters</w:t>
      </w:r>
      <w:r>
        <w:rPr>
          <w:rFonts w:ascii="Times New Roman" w:cs="Times New Roman" w:eastAsia="Times New Roman" w:hAnsi="Times New Roman"/>
          <w:sz w:val="18"/>
          <w:szCs w:val="18"/>
          <w:color w:val="auto"/>
        </w:rPr>
        <w:t>. The Company, MAAC, the MAAC Sponsor (in the case of clauses (a), (b), (c) and (e)) and each Insider (in the case of clauses (b) and (d), as it relates to the Insider Letter to which he or she is a party) hereby agree as follows:</w:t>
      </w:r>
    </w:p>
    <w:p>
      <w:pPr>
        <w:spacing w:after="0" w:line="53" w:lineRule="exact"/>
        <w:rPr>
          <w:rFonts w:ascii="Times New Roman" w:cs="Times New Roman" w:eastAsia="Times New Roman" w:hAnsi="Times New Roman"/>
          <w:sz w:val="18"/>
          <w:szCs w:val="18"/>
          <w:color w:val="auto"/>
        </w:rPr>
      </w:pPr>
    </w:p>
    <w:p>
      <w:pPr>
        <w:ind w:right="420" w:firstLine="987"/>
        <w:spacing w:after="0" w:line="266" w:lineRule="auto"/>
        <w:tabs>
          <w:tab w:leader="none" w:pos="123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Letter provides in Section 1 thereof that MAAC shall not enter into a definitive agreement regarding a Business Combination (as defined therein) without the prior written consent of the MAAC Sponsor. The Transactions constitute a Business Combination for purposes of the Sponsor Letter and the MAAC Sponsor hereby consents to entry into the Business Combination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425" w:name="page426"/>
    <w:bookmarkEnd w:id="425"/>
    <w:p>
      <w:pPr>
        <w:ind w:left="4" w:right="40" w:firstLine="987"/>
        <w:spacing w:after="0" w:line="256" w:lineRule="auto"/>
        <w:tabs>
          <w:tab w:leader="none" w:pos="1250"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Sponsor Letter provides in Section 2 thereof, and each Insider Letter provides in Section 1 thereof, for certain requirements of the MAAC Sponsor and the Insiders in respect of a Business Combination (in each case, as defined therein), including in respect of voting all MAAC Shares beneficially owned by the MAAC Sponsor and by the Insiders, as applicable, in favor of such Business Combinations and forgoing redemption rights in respect thereof. The Transactions constitute a Business Combination for purposes of the Sponsor Letter and each Insider Letter and the MAAC Sponsor and each Insider will comply with its, his or her respective obligations under Section 2 of the Sponsor Letter or Section 1 of its, his or her Insider Letter, as applicable.</w:t>
      </w:r>
    </w:p>
    <w:p>
      <w:pPr>
        <w:spacing w:after="0" w:line="79" w:lineRule="exact"/>
        <w:rPr>
          <w:rFonts w:ascii="Times New Roman" w:cs="Times New Roman" w:eastAsia="Times New Roman" w:hAnsi="Times New Roman"/>
          <w:sz w:val="18"/>
          <w:szCs w:val="18"/>
          <w:color w:val="auto"/>
        </w:rPr>
      </w:pPr>
    </w:p>
    <w:p>
      <w:pPr>
        <w:ind w:left="4" w:right="520" w:firstLine="987"/>
        <w:spacing w:after="0" w:line="282" w:lineRule="auto"/>
        <w:tabs>
          <w:tab w:leader="none" w:pos="1240"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conditioned upon the occurrence and effective as of, the Effective Time, Section 6 of the Sponsor Letter shall be amended and restated to provide in its entirety as follows: “[Reserved].”</w:t>
      </w:r>
    </w:p>
    <w:p>
      <w:pPr>
        <w:spacing w:after="0" w:line="53" w:lineRule="exact"/>
        <w:rPr>
          <w:rFonts w:ascii="Times New Roman" w:cs="Times New Roman" w:eastAsia="Times New Roman" w:hAnsi="Times New Roman"/>
          <w:sz w:val="18"/>
          <w:szCs w:val="18"/>
          <w:color w:val="auto"/>
        </w:rPr>
      </w:pPr>
    </w:p>
    <w:p>
      <w:pPr>
        <w:ind w:left="4" w:right="500" w:firstLine="987"/>
        <w:spacing w:after="0" w:line="282" w:lineRule="auto"/>
        <w:tabs>
          <w:tab w:leader="none" w:pos="1250"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conditioned upon the occurrence and effective as of, the Effective Time, Section 5 of each Insider Letter shall be amended and restated to provide in its entirety as follows: “[Reserved].”</w:t>
      </w:r>
    </w:p>
    <w:p>
      <w:pPr>
        <w:spacing w:after="0" w:line="53"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of the Sponsor Letter is hereby amended and restated to provide in its entirety as follows: “[Reserved].” For the avoidance of doubt, if the Business Combination Agreement is terminated in accordance with its terms, then this clause (e) (and the amendment and restatement contemplated by this clause (e)) shall be of no further force and effect and Section 7 shall be reinstated and effective from and after such time.</w:t>
      </w:r>
    </w:p>
    <w:p>
      <w:pPr>
        <w:spacing w:after="0" w:line="6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60" w:firstLine="987"/>
        <w:spacing w:after="0" w:line="272" w:lineRule="auto"/>
        <w:tabs>
          <w:tab w:leader="none" w:pos="1240" w:val="left"/>
        </w:tabs>
        <w:numPr>
          <w:ilvl w:val="2"/>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and conditioned upon the occurrence of and effective immediately after the Effective Time, (i) 20% of the number of Company Post-Closing Common Shares issued to the MAAC Sponsor upon the conversion of MAAC Class B Shares (rounded up to the nearest whole share) shall be subject to the provisions set forth below in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(such Company Post-Closing Common Shares, the “</w:t>
      </w:r>
      <w:r>
        <w:rPr>
          <w:rFonts w:ascii="Times New Roman" w:cs="Times New Roman" w:eastAsia="Times New Roman" w:hAnsi="Times New Roman"/>
          <w:sz w:val="17"/>
          <w:szCs w:val="17"/>
          <w:u w:val="single" w:color="auto"/>
          <w:color w:val="auto"/>
        </w:rPr>
        <w:t>20% Earn-Out Shares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4" w:right="120" w:hanging="4"/>
        <w:spacing w:after="0" w:line="252" w:lineRule="auto"/>
        <w:tabs>
          <w:tab w:leader="none" w:pos="26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 of the number of Company Post-Closing Common Shares issued to the MAAC Sponsor upon the conversion of MAAC Class B Shares (rounded up to the nearest whole share) shall be subject to the provisions set forth below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(such Company Post-Closing Common Shares, the “</w:t>
      </w:r>
      <w:r>
        <w:rPr>
          <w:rFonts w:ascii="Times New Roman" w:cs="Times New Roman" w:eastAsia="Times New Roman" w:hAnsi="Times New Roman"/>
          <w:sz w:val="18"/>
          <w:szCs w:val="18"/>
          <w:u w:val="single" w:color="auto"/>
          <w:color w:val="auto"/>
        </w:rPr>
        <w:t>10% Earn-Out Shares</w:t>
      </w:r>
      <w:r>
        <w:rPr>
          <w:rFonts w:ascii="Times New Roman" w:cs="Times New Roman" w:eastAsia="Times New Roman" w:hAnsi="Times New Roman"/>
          <w:sz w:val="18"/>
          <w:szCs w:val="18"/>
          <w:color w:val="auto"/>
        </w:rPr>
        <w:t>” and, together with the 20% Earn-Out Shares,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xml:space="preserve">”) and (iii) the remaining 70% of the number of Company Post-Closing Common Shares issued to the MAAC Sponsor upon the conversion of MAAC Class B Shares (rounded down to the nearest whole share) shall not be subject to the provisions set forth below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(such Company Post-Closing Common Shares, the “</w:t>
      </w:r>
      <w:r>
        <w:rPr>
          <w:rFonts w:ascii="Times New Roman" w:cs="Times New Roman" w:eastAsia="Times New Roman" w:hAnsi="Times New Roman"/>
          <w:sz w:val="18"/>
          <w:szCs w:val="18"/>
          <w:u w:val="single" w:color="auto"/>
          <w:color w:val="auto"/>
        </w:rPr>
        <w:t>Retained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426" w:name="page427"/>
    <w:bookmarkEnd w:id="426"/>
    <w:p>
      <w:pPr>
        <w:ind w:left="4" w:right="240" w:firstLine="987"/>
        <w:spacing w:after="0" w:line="257" w:lineRule="auto"/>
        <w:tabs>
          <w:tab w:leader="none" w:pos="125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and conditioned upon the occurrence of and effective immediately after the Effective Time, the Earn-Out Shares shall be unvested and subject to the restrictions and forfeiture provisions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The Earn-Out Shares shall vest and become free of the provisions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at such time as the Stock Price (as defined below) of Company Post-Closing Common Shares equals or exceeds</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 Earn-Out Shares, $15.00 per share (the “</w:t>
      </w:r>
      <w:r>
        <w:rPr>
          <w:rFonts w:ascii="Times New Roman" w:cs="Times New Roman" w:eastAsia="Times New Roman" w:hAnsi="Times New Roman"/>
          <w:sz w:val="18"/>
          <w:szCs w:val="18"/>
          <w:u w:val="single" w:color="auto"/>
          <w:color w:val="auto"/>
        </w:rPr>
        <w:t>20% Trigger Price</w:t>
      </w:r>
      <w:r>
        <w:rPr>
          <w:rFonts w:ascii="Times New Roman" w:cs="Times New Roman" w:eastAsia="Times New Roman" w:hAnsi="Times New Roman"/>
          <w:sz w:val="18"/>
          <w:szCs w:val="18"/>
          <w:color w:val="auto"/>
        </w:rPr>
        <w:t>”), and (y) with respect to the 10% Earn-Out Shares, $20.00 per share (the “</w:t>
      </w:r>
      <w:r>
        <w:rPr>
          <w:rFonts w:ascii="Times New Roman" w:cs="Times New Roman" w:eastAsia="Times New Roman" w:hAnsi="Times New Roman"/>
          <w:sz w:val="18"/>
          <w:szCs w:val="18"/>
          <w:u w:val="single" w:color="auto"/>
          <w:color w:val="auto"/>
        </w:rPr>
        <w:t>10% Trigger Price</w:t>
      </w:r>
      <w:r>
        <w:rPr>
          <w:rFonts w:ascii="Times New Roman" w:cs="Times New Roman" w:eastAsia="Times New Roman" w:hAnsi="Times New Roman"/>
          <w:sz w:val="18"/>
          <w:szCs w:val="18"/>
          <w:color w:val="auto"/>
        </w:rPr>
        <w:t>” and, together with the 20% Trigger Price, the “</w:t>
      </w:r>
      <w:r>
        <w:rPr>
          <w:rFonts w:ascii="Times New Roman" w:cs="Times New Roman" w:eastAsia="Times New Roman" w:hAnsi="Times New Roman"/>
          <w:sz w:val="18"/>
          <w:szCs w:val="18"/>
          <w:u w:val="single" w:color="auto"/>
          <w:color w:val="auto"/>
        </w:rPr>
        <w:t>Trigger Price</w:t>
      </w:r>
      <w:r>
        <w:rPr>
          <w:rFonts w:ascii="Times New Roman" w:cs="Times New Roman" w:eastAsia="Times New Roman" w:hAnsi="Times New Roman"/>
          <w:sz w:val="18"/>
          <w:szCs w:val="18"/>
          <w:color w:val="auto"/>
        </w:rPr>
        <w:t>”), in each case, for any 20 Trading Days within any 30 Trading Day period commencing no earlier than the Closing Date and ending no later than the fifth (5th) anniversary of the Closing Date (the “</w:t>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if the Earn-Out End Date occurs on a day that is not a Trading Day, then the Earn-Out End Date shall be deemed to occur on the next following Trading Day, and (ii) if the Company or any of its Affiliates enters into a definitive agreement with respect to a Sale (as defined below) on or prior to the Earn-Out End Date, then the Earn-Out End Date shall be automatically extended and shall be deemed to occur on the earlier of (A) the day after such Sale is consummated and (B) the termination of such definitive agreement with respect to such Sale in accordance with its terms. Any Earn-Out Shares that have not vested in accordance with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on or before the Earn-Out End Date will be immediately forfeited at 11:59 p.m., New York, New York time on the Earn-Out End Date.</w:t>
      </w:r>
    </w:p>
    <w:p>
      <w:pPr>
        <w:spacing w:after="0" w:line="193"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4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Sale (as defined below) on or prior to the Earn-Out End Date, any unvested Earn-Out Shares will fully vest and become free of the restrictions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as of immediately prior to the closing of such Sale. For purposes of this Agreement,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means (A) a purchase, sale, exchange, merger, business combination or other transaction or series of related transactions in which substantially all of the Company Post-Closing Common Shares are, directly or indirectly, converted into cash, securities or other property or non-cash consideration (other than, in the case of this clause (A), any transaction in which the holders of Company Post-Closing Common Shares as of immediately prior to the consummation of such transaction continue to own all or substantially all of the equity securities of the Company (or any successor or parent entity of the Company) immediately following the consummation of such transaction), (B) a direct or indirect sale, lease, exchange or other transfer (regardless of the form of the transaction) in one transaction or a series of related transactions of a majority of the Company’s assets, as determined on a consolidated basis, to a third party or third parties acting as a “group” (as defined in Section 13(d)(3) of the Exchange Act) or (C) any transaction or series of transactions that results, directly or indirectly, in the shareholders of the Company as of immediately prior to such transactions holding, in the aggregate, less than fifty percent (50%) of the voting Equity Securities of the Company (or any successor or parent company of the Company) immediately after the consummation thereof (excluding, for the avoidance of doubt, any Earn-out Shares) (in the case of each of clause (A), (B) or (C), whether by amalgamation, merger, consolidation, arrangement, tender offer, recapitalization, purchase, issuance, sale or transfer of Equity Securities or assets or otherwise).</w:t>
      </w:r>
    </w:p>
    <w:p>
      <w:pPr>
        <w:spacing w:after="0" w:line="197" w:lineRule="exact"/>
        <w:rPr>
          <w:rFonts w:ascii="Times New Roman" w:cs="Times New Roman" w:eastAsia="Times New Roman" w:hAnsi="Times New Roman"/>
          <w:sz w:val="18"/>
          <w:szCs w:val="18"/>
          <w:color w:val="auto"/>
        </w:rPr>
      </w:pPr>
    </w:p>
    <w:p>
      <w:pPr>
        <w:ind w:left="4" w:right="180" w:firstLine="987"/>
        <w:spacing w:after="0" w:line="256" w:lineRule="auto"/>
        <w:tabs>
          <w:tab w:leader="none" w:pos="125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MAAC Sponsor agrees that it shall not engage in any Sale Transaction (as defined in the Sponsor Lock-Up Agreement) with respect to any Earn-Out Shares until such time as the Earn-Out Shares have vested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Notwithstanding the foregoing or anything to the contrary herein, (i) the MAAC Sponsor (and, for the avoidance of doubt, any permitted transferees pursuant to this clause (i)) may transfer all or any of the Earn-Out Shares in any transfer of the type described in Sections 1(b)(iv)(A) through (C) or (F) of the Sponsor Lock-Up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 transfer of the type described in clauses (A) through (C), the transferee shall, in addition to any requirements in the Sponsor Lock-Up Agreement, agree in writing that he, she or it is receiving and holding such Earn-Out Shares</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427" w:name="page428"/>
    <w:bookmarkEnd w:id="42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(ii) from and after a transfer pursuant to clause (i) of this sentence, all references to the MAAC Sponsor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include such transferee and shall collectively mean the MAAC Sponsor (to the extent that it then holds Earn-Out Shares) and each permitted transferee of Earn-Out Shares pursuant to clause (i) of this sentence (in each case, to the extent he, she or it then holds Earn-Out Shares). Each transferee of Earn-Out Shares pursuant to clause (i) of the preceding sentence shall be a third party beneficiary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firstLine="987"/>
        <w:spacing w:after="0" w:line="253" w:lineRule="auto"/>
        <w:tabs>
          <w:tab w:leader="none" w:pos="123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Stock Price</w:t>
      </w:r>
      <w:r>
        <w:rPr>
          <w:rFonts w:ascii="Times New Roman" w:cs="Times New Roman" w:eastAsia="Times New Roman" w:hAnsi="Times New Roman"/>
          <w:sz w:val="18"/>
          <w:szCs w:val="18"/>
          <w:color w:val="auto"/>
        </w:rPr>
        <w:t>” means, on any date on or after the Closing and on or prior to the Earn-Out End Date, the closing sale price per share of Company Post-Closing Common Shares reported as of 4:00 p.m., New York, New York time on such date by Bloomberg, or if not available on Bloomberg, as reported by or an authoritative source generally used for such purposes and selected by the Company, and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xml:space="preserve">” means any day on which trading is generally conducted on Nasdaq or any other exchange on which the Company Post-Closing Common Shares are traded on or after the Closing and on or prior to the Earn-Out End Date. The Earn-out Shares and the applicable Trigger Price (and all references to Company Post-Closing Common Shares and each of the foregoing in this Agreement) shall each be adjusted appropriately to reflect the effect of any stock split, reverse stock split, stock dividend (including any dividend or other distribution of securities convertible into Company Post-Closing Common Shares), reorganization, recapitalization, reclassification, combination, exchange of shares or other like change with respect to the Company Post-Closing Common Shares (or any other Equity Securities into which they are adjusted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at any time prior to the vesting of the Earn-out Shares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so as to provide the holders of the Earn-Out Shares with the same economic effect as contemplated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prior to such event and as so adjusted shall, from and after the date of such event, be the Earn-Out Shares and the 20% Trigger Price or the 10% Trigger Price, as applicable.</w:t>
      </w:r>
    </w:p>
    <w:p>
      <w:pPr>
        <w:spacing w:after="0" w:line="81"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reasonable best efforts to remain listed as a public company on, and for the Earn-Out Shares to be tradable over, Nasdaq or any other nationally recognized U.S. stock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foregoing shall not limit the Company or any of its Affiliates from consummating a Sale or entering into a definitive agreement that contemplates a Sale. Subject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and the other applicable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upon the consummation of Sale the Company shall have no further obligations under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that the Earn-Out Shares become vested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the Company shall remove any legends, stock transfer restrictions, stop transfer orders or similar restrictions with respect to the Earn-Out Shares related to such vesting or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(other than, for the avoidance of doubt, those that relate to any applicable and then-existing Lock-Up Period (as defined in the Sponsor Lock-Up Agreement) with respect to such Earn-Out Shares).</w:t>
      </w:r>
    </w:p>
    <w:p>
      <w:pPr>
        <w:spacing w:after="0" w:line="7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 the MAAC Sponsor shall retain all of its rights as a stockholder of the Company with respect to the Earn-Out Shares owned by it during any period of time that such shares are subject to restriction on transfer or sale hereunder, including the right to vote any such shares and the right to receive dividends and other distributions with respect to such Earn-Out Shares prior to vesting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dividends and other distributions with respect to Earn-Out Shares that are subject to vesting and are unvested at the time of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28" w:name="page429"/>
    <w:bookmarkEnd w:id="428"/>
    <w:p>
      <w:pPr>
        <w:ind w:left="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dividend or distribution shall be set aside by the Company and shall only be paid to such holders upon the vesting of such Earn-Out Shares (and, if any dividends or other distributions with respect to Earn-Out Shares are set aside and such Earn-Out Shares are subsequently forfeited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such set aside dividends or distributions shall become the property of the Company)), (ii) any Earn-Out Shares that vest in accordance with the terms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remain subject to any applicable Lock-Up Period set forth in the Sponsor Lock-Up Agreement and (iii) notwithstanding the expiration of any Lock-Up Period with respect to any Earn-Out Shares, such shares shall remain subject to any applicable restrictions set forth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204" w:hanging="213"/>
        <w:spacing w:after="0"/>
        <w:tabs>
          <w:tab w:leader="none" w:pos="1204"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MAAC Sponsor intends to make a protective election under Section 83(b) of the Code with respect to the Earn-Out Shares.</w:t>
      </w:r>
    </w:p>
    <w:p>
      <w:pPr>
        <w:spacing w:after="0" w:line="117" w:lineRule="exact"/>
        <w:rPr>
          <w:rFonts w:ascii="Times New Roman" w:cs="Times New Roman" w:eastAsia="Times New Roman" w:hAnsi="Times New Roman"/>
          <w:sz w:val="18"/>
          <w:szCs w:val="18"/>
          <w:color w:val="auto"/>
        </w:rPr>
      </w:pPr>
    </w:p>
    <w:p>
      <w:pPr>
        <w:ind w:left="4" w:right="280" w:firstLine="987"/>
        <w:spacing w:after="0" w:line="272" w:lineRule="auto"/>
        <w:tabs>
          <w:tab w:leader="none" w:pos="1210" w:val="left"/>
        </w:tabs>
        <w:numPr>
          <w:ilvl w:val="2"/>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agree and acknowledge that the Earn-Out Shares are intended to constitute “voting stock” within the meaning of Section 368(a)(1) of the Code and the Treasury Regulations promulgated thereunder received by MAAC Sponsor in connection with the Merger, and shall file all Tax Returns consistent with, and take no position inconsistent with (whether in audits, Tax Returns or otherwise), such treatment unless</w:t>
      </w:r>
    </w:p>
    <w:p>
      <w:pPr>
        <w:spacing w:after="0" w:line="1" w:lineRule="exact"/>
        <w:rPr>
          <w:rFonts w:ascii="Times New Roman" w:cs="Times New Roman" w:eastAsia="Times New Roman" w:hAnsi="Times New Roman"/>
          <w:sz w:val="17"/>
          <w:szCs w:val="17"/>
          <w:color w:val="auto"/>
        </w:rPr>
      </w:pPr>
    </w:p>
    <w:p>
      <w:pPr>
        <w:ind w:left="4" w:right="80" w:hanging="4"/>
        <w:spacing w:after="0" w:line="252" w:lineRule="auto"/>
        <w:tabs>
          <w:tab w:leader="none" w:pos="21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Party requests that each of Kirkland &amp; Ellis LLP and Davis Polk &amp; Wardwell LLP provides written confirmation to the effect that such treatment is more likely than not correct, and each such law firm fails to provide such confirmation prior to the later of (A) thirty (30) days following such request is made and (B) sixty (60) days prior to the date on which the relevant Tax Return is due (taking into account applicable extensions);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shall provide customary factual representations to such law firm;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the Parties shall not be required to restructure, or otherwise alter the terms of, the transaction as provided for in this Agreement or the Business Combination Agreement, or (ii) otherwise required by a final “determination” within the meaning of Section 1313(a) of the Code.</w:t>
      </w:r>
    </w:p>
    <w:p>
      <w:pPr>
        <w:spacing w:after="0" w:line="7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Sponsor Exchange Ratio</w:t>
      </w:r>
      <w:r>
        <w:rPr>
          <w:rFonts w:ascii="Times New Roman" w:cs="Times New Roman" w:eastAsia="Times New Roman" w:hAnsi="Times New Roman"/>
          <w:sz w:val="18"/>
          <w:szCs w:val="18"/>
          <w:color w:val="auto"/>
        </w:rPr>
        <w:t>. For purposes of the Business Combination Agreement, the term “</w:t>
      </w:r>
      <w:r>
        <w:rPr>
          <w:rFonts w:ascii="Times New Roman" w:cs="Times New Roman" w:eastAsia="Times New Roman" w:hAnsi="Times New Roman"/>
          <w:sz w:val="18"/>
          <w:szCs w:val="18"/>
          <w:u w:val="single" w:color="auto"/>
          <w:color w:val="auto"/>
        </w:rPr>
        <w:t>Sponsor Exchange Ratio</w:t>
      </w:r>
      <w:r>
        <w:rPr>
          <w:rFonts w:ascii="Times New Roman" w:cs="Times New Roman" w:eastAsia="Times New Roman" w:hAnsi="Times New Roman"/>
          <w:sz w:val="18"/>
          <w:szCs w:val="18"/>
          <w:color w:val="auto"/>
        </w:rPr>
        <w:t xml:space="preserve">” shall mean: (i) one </w:t>
      </w:r>
      <w:r>
        <w:rPr>
          <w:rFonts w:ascii="Times New Roman" w:cs="Times New Roman" w:eastAsia="Times New Roman" w:hAnsi="Times New Roman"/>
          <w:sz w:val="18"/>
          <w:szCs w:val="18"/>
          <w:i w:val="1"/>
          <w:iCs w:val="1"/>
          <w:color w:val="auto"/>
        </w:rPr>
        <w:t>minus</w:t>
      </w:r>
    </w:p>
    <w:p>
      <w:pPr>
        <w:spacing w:after="0" w:line="29" w:lineRule="exact"/>
        <w:rPr>
          <w:rFonts w:ascii="Times New Roman" w:cs="Times New Roman" w:eastAsia="Times New Roman" w:hAnsi="Times New Roman"/>
          <w:sz w:val="18"/>
          <w:szCs w:val="18"/>
          <w:color w:val="auto"/>
        </w:rPr>
      </w:pPr>
    </w:p>
    <w:p>
      <w:pPr>
        <w:ind w:left="4" w:right="20" w:hanging="4"/>
        <w:spacing w:after="0" w:line="255" w:lineRule="auto"/>
        <w:tabs>
          <w:tab w:leader="none" w:pos="26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number equal to (A) 0.5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a fraction equal to (x) the number of MAAC Class A Shares with respect to which a MAAC Shareholder Redemption has been exercised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(y) the total number of MAAC Class A Shares outstanding as of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number referenced in the foregoing clause (ii) shall not in any event be greater than 0.25.</w:t>
      </w:r>
    </w:p>
    <w:p>
      <w:pPr>
        <w:spacing w:after="0" w:line="7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Working Capital Loans; Related Party Agreements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87"/>
        <w:spacing w:after="0" w:line="255" w:lineRule="auto"/>
        <w:tabs>
          <w:tab w:leader="none" w:pos="1240" w:val="left"/>
        </w:tabs>
        <w:numPr>
          <w:ilvl w:val="2"/>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loan of funds made by the MAAC Sponsor or an Affiliate of the MAAC Sponsor or any of MAAC’s officers or directors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to MAAC or any of its Subsidiaries, in each case, prior to the Closing (a “</w:t>
      </w:r>
      <w:r>
        <w:rPr>
          <w:rFonts w:ascii="Times New Roman" w:cs="Times New Roman" w:eastAsia="Times New Roman" w:hAnsi="Times New Roman"/>
          <w:sz w:val="18"/>
          <w:szCs w:val="18"/>
          <w:u w:val="single" w:color="auto"/>
          <w:color w:val="auto"/>
        </w:rPr>
        <w:t>Working Capital Loan</w:t>
      </w:r>
      <w:r>
        <w:rPr>
          <w:rFonts w:ascii="Times New Roman" w:cs="Times New Roman" w:eastAsia="Times New Roman" w:hAnsi="Times New Roman"/>
          <w:sz w:val="18"/>
          <w:szCs w:val="18"/>
          <w:color w:val="auto"/>
        </w:rPr>
        <w:t>”) that is or may be convertible into warrants or other securities (derivative or otherwise) of MAAC or the Company, MAAC, the MAAC Sponsor and the Insiders hereby agrees, and shall take such reasonably necessary or appropriate actions within its power so as to ensure, that each and any Working Capital Loan shall be repaid solely in cash, and that no Working Capital Loan will be converted into warrants or other securities (derivative or otherwise) of MAAC or the Company, notwithstanding any applicable provisions of the Insider Letter, the Warrant Agreement, the MAAC Registration Rights Agreement or any other Contract.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429" w:name="page430"/>
    <w:bookmarkEnd w:id="429"/>
    <w:p>
      <w:pPr>
        <w:ind w:right="40" w:firstLine="987"/>
        <w:spacing w:after="0" w:line="261" w:lineRule="auto"/>
        <w:tabs>
          <w:tab w:leader="none" w:pos="1246"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MAAC and the MAAC Sponsor agree that, notwithstanding anything to the contrary in any such agreement, (i) each of the agreements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shall be automatically terminated and of no further force and effect (including any provisions of any such agreement that, by its terms, survive such termination), effective as of, and subject to and conditioned upon the occurrence of, the Closing and (ii) upon such termination, MAAC shall not have any further Liabilities under each such agreement.</w:t>
      </w:r>
    </w:p>
    <w:p>
      <w:pPr>
        <w:spacing w:after="0" w:line="71" w:lineRule="exact"/>
        <w:rPr>
          <w:rFonts w:ascii="Times New Roman" w:cs="Times New Roman" w:eastAsia="Times New Roman" w:hAnsi="Times New Roman"/>
          <w:sz w:val="18"/>
          <w:szCs w:val="18"/>
          <w:color w:val="auto"/>
        </w:rPr>
      </w:pPr>
    </w:p>
    <w:p>
      <w:pPr>
        <w:ind w:right="300" w:firstLine="436"/>
        <w:spacing w:after="0" w:line="266" w:lineRule="auto"/>
        <w:tabs>
          <w:tab w:leader="none" w:pos="6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MAAC Registration Rights Agreement</w:t>
      </w:r>
      <w:r>
        <w:rPr>
          <w:rFonts w:ascii="Times New Roman" w:cs="Times New Roman" w:eastAsia="Times New Roman" w:hAnsi="Times New Roman"/>
          <w:sz w:val="18"/>
          <w:szCs w:val="18"/>
          <w:color w:val="auto"/>
        </w:rPr>
        <w:t>. Subject to, and conditioned upon the occurrence and effective as of the Effective Time, MAAC, the MAAC Sponsor and each of the other Shareholders who are party to the MAAC Registration Rights Agreement agree that the MAAC Registration Rights Agreement is hereby terminated in its entirety, and shall be of no further force or effect from and after such time.</w:t>
      </w:r>
    </w:p>
    <w:p>
      <w:pPr>
        <w:spacing w:after="0" w:line="67" w:lineRule="exact"/>
        <w:rPr>
          <w:rFonts w:ascii="Times New Roman" w:cs="Times New Roman" w:eastAsia="Times New Roman" w:hAnsi="Times New Roman"/>
          <w:sz w:val="18"/>
          <w:szCs w:val="18"/>
          <w:color w:val="auto"/>
        </w:rPr>
      </w:pPr>
    </w:p>
    <w:p>
      <w:pPr>
        <w:ind w:right="60" w:firstLine="436"/>
        <w:spacing w:after="0" w:line="256" w:lineRule="auto"/>
        <w:tabs>
          <w:tab w:leader="none" w:pos="6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 Waiver</w:t>
      </w:r>
      <w:r>
        <w:rPr>
          <w:rFonts w:ascii="Times New Roman" w:cs="Times New Roman" w:eastAsia="Times New Roman" w:hAnsi="Times New Roman"/>
          <w:sz w:val="18"/>
          <w:szCs w:val="18"/>
          <w:color w:val="auto"/>
        </w:rPr>
        <w:t>. Subject to, and conditioned upon the occurrence of and effective as of immediately prior to the Effective Time, the MAAC Sponsor, which is the holder of at least a majority of the outstanding MAAC Class B Shares as of the date hereof, hereby waives on behalf of the holders of all MAAC Class B Shares, pursuant to and in compliance with the provisions of the Amended and Restated Certificate of Incorporation of MAAC (the “</w:t>
      </w:r>
      <w:r>
        <w:rPr>
          <w:rFonts w:ascii="Times New Roman" w:cs="Times New Roman" w:eastAsia="Times New Roman" w:hAnsi="Times New Roman"/>
          <w:sz w:val="18"/>
          <w:szCs w:val="18"/>
          <w:u w:val="single" w:color="auto"/>
          <w:color w:val="auto"/>
        </w:rPr>
        <w:t>MAAC Charter</w:t>
      </w:r>
      <w:r>
        <w:rPr>
          <w:rFonts w:ascii="Times New Roman" w:cs="Times New Roman" w:eastAsia="Times New Roman" w:hAnsi="Times New Roman"/>
          <w:sz w:val="18"/>
          <w:szCs w:val="18"/>
          <w:color w:val="auto"/>
        </w:rPr>
        <w:t>”), any adjustment to the conversion ratio set forth in Article Eighth of the MAAC Charter, and any rights to other anti-dilution protections with respect to the MAAC Class B Shares, that may result from the PIPE Financing and/or the consummation of the Transactions.</w:t>
      </w:r>
    </w:p>
    <w:p>
      <w:pPr>
        <w:spacing w:after="0" w:line="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Capitalized terms used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but not otherwise defined herein shall have the meanings ascribed to them in the Registration Rights Agreement (as in effect as of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(i) the term “Registrable Securities” shall be deemed to include the Common Shares (including any Common Shares underlying any other securities of the Company or into which other securities of the Company are convertible into, exercisable or exchangeable for) held by or on behalf of the Shareholders as of immediately following the Effective Time and (ii) the term “Investor” shall be deemed to include the MAAC Sponsor.</w:t>
      </w:r>
    </w:p>
    <w:p>
      <w:pPr>
        <w:spacing w:after="0" w:line="75"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file within thirty (30) days of the consummation of the Go Public Transaction, and use commercially reasonable efforts to cause to be declared effective as soon as practicable thereafter, a Resale S-1 Shelf or, if the Company is eligible to use a Resale S-3 Shelf, in each case, covering the resale of all the Registrable Securities (determined as of two business days prior to such filing) and any other Common Shares or other securities of the Company issued in connection with the Go Public Transaction (including any Common Shares underlying any other securities of the Company or into which other securities of the Company are convertible into, exercisable or exchangeable for) the transfer or sale of which has not been registered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the Shareholders acknowledge and agree that the sale of any Registrable Securities registered under such Resale Shelf may be subject to restrictions imposed by the Lock-Up Agreements and/or applicable securities laws. Such Resale Shelf shall provide for the resale of the Registrable Securities included therein pursuant to any method or combination of methods legally available to, and requested by, the MAAC Sponsor and any other Investor named therein. The MAAC Sponsor shall be entitled to the benefits of Section 4 and the first, second and third sentences of Section 1(f)(ii),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under the Registration Rights Agreement with respect to its Common Shares or other securities of the Company and it shall not be subject to any “cutback” or other restriction in connection with the inclusion of its Common Shares or other securities in any Resale Shelf.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30" w:name="page431"/>
    <w:bookmarkEnd w:id="430"/>
    <w:p>
      <w:pPr>
        <w:ind w:right="20" w:firstLine="987"/>
        <w:spacing w:after="0" w:line="258" w:lineRule="auto"/>
        <w:tabs>
          <w:tab w:leader="none" w:pos="1236"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MAAC Sponsor will be offered an opportunity to participate in (x) an offering and/or sale of Common Shares by any holder that is conducted as a block trade or underwritten basis (whether firm commitment or otherwise) without substantial marketing efforts prior to pricing, including, without limitation, a same day trade, overnight trade or similar transaction or (y) an “at the market” or similar registered offering of the Covered Securities through a broker, sales agent or distribution agent, whether as agent or principal. The rights of the MAAC Sponsor set forth in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xml:space="preserve"> shall be substantially the same as those investors who are party to the Registration Rights Agreement.</w:t>
      </w:r>
    </w:p>
    <w:p>
      <w:pPr>
        <w:spacing w:after="0" w:line="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Shareholder shall not, and each Shareholder shall cause its controlled Affiliates and its and their respective officers and directors not to, and shall use reasonable best efforts to cause its other Representatives not to, at or at any time prior to the Effective Time, issue any press releases or make any public announcements with respect to this Agreement, the Business Combination Agreement or the transactions contemplated hereby or thereby that contain any information that is not, at the applicable time, already publicly available (other than as a result of disclosure by the Shareholder in violation of any applicable confidentiality obligations) without the prior written consent of the Company and MAAC,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Shareholder and its Representatives may issue or make, as applicable, any such press release, public announcement or other communication to the extent such press release, public announcement or other communication is required by applicable Law or applicable rule of a stock exchange on which its or any of its Affiliates’ securities are listed, in which case the Shareholder or its applicable Affiliates shall, to the extent reasonably practicable and unless and to the extent prohibited by such applicable Law, reasonably consult with the Company and MAAC in connection therewith and provide the Company and MAAC with an opportunity to review and comment on such press release, public announcement or communication and shall consider any such comments in good faith. Notwithstanding anything to the contrary in this Section 8(a) or otherwise in this Agreement, each Shareholder and its Representatives may provide general information about the subject matter of this Agreement, the Business Combination Agreement and the transactions contemplated hereby and thereby (1) to their respective affiliates, their and their affiliates’ respective directors, officers, employees, partners, members, agents, attorneys and consultants, financial and other advisors, (2) to the extent required by any federal, state, national, foreign or other regulatory or self-regulatory authority having jurisdiction over the Shareholder or its Representatives, (3) to any Person if necessary to effect compliance with any law, rule, regulation, investigation, audit, request or order of a Governmental Entity of competent jurisdiction that is applicable to the Shareholder or its Representatives, including in response to any subpoena or other legal process, audit or examinations or (4) to any direct or indirect former, current or prospective investor or in connection with normal fund raising or related marketing or informational or reporting activities (so long as, in the case of this clause (4), the recipients of such information are subject to customary confidentiality obligations prior to the receipt of such information); provided further that in the case of the foregoing clause (2) and (3), each Shareholder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31" w:name="page432"/>
    <w:bookmarkEnd w:id="431"/>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its Representatives promptly notifies the Company of such disclosure to the extent the Shareholder or its Representatives are legally permitted to give such notice and it is reasonably practicable; provided further that no such notice shall be required where disclosure is made (x) in response to and required by a general request by a regulatory or self-regulatory authority of competent jurisdiction or (y) in connection with and required by a routine audit or examination by a bank examiner or auditor and such audit or examination does not reference the Company, this Agreement or the Business Combination Agreement.</w:t>
      </w:r>
    </w:p>
    <w:p>
      <w:pPr>
        <w:spacing w:after="0" w:line="75" w:lineRule="exact"/>
        <w:rPr>
          <w:sz w:val="20"/>
          <w:szCs w:val="20"/>
          <w:color w:val="auto"/>
        </w:rPr>
      </w:pPr>
    </w:p>
    <w:p>
      <w:pPr>
        <w:ind w:left="4" w:firstLine="987"/>
        <w:spacing w:after="0" w:line="253" w:lineRule="auto"/>
        <w:tabs>
          <w:tab w:leader="none" w:pos="125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prior to the Effective Time, each Shareholder hereby agrees to as promptly as practicable execute and deliver all additional agreements, documents or instruments, take, or cause to be taken, all actions and provide, or cause to be provided, all additional information or other materials as may be necessary or reasonably advisable, in each case, as mutually reasonably determined and agreed to by MAAC and the Company (such determination and agreement not to be unreasonably withheld, conditioned or delayed by either MAAC or the Company), in connection with, or otherwise in furtherance of, the transactions and the other covenants and agreements contemplated by the Business Combination Agreement or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Shareholder be obligated to take, approve or consent to any action that would result in any adverse economic or other material change to the Business Combination Agreement, this Agreement or any other Ancillary Document to which he, she or it is or will be a party). If applicable, from and after the Effective Time, MAAC Sponsor and the Company each hereby agrees to as promptly as practicable execute and deliver execute and deliver all additional agreements, documents or instruments, take, or cause to be taken, all actions and provide, or cause to be provided, all additional information or other materials as may be reasonably necessary to effectuate the purpose of the covenants and agreements of this Agreement that survive the Effective Time. Notwithstanding the foregoing, no Shareholder or the Company shall be required to provide any information which is, based on the advice of outside counsel, subject to legal privilege.</w:t>
      </w:r>
    </w:p>
    <w:p>
      <w:pPr>
        <w:spacing w:after="0" w:line="81" w:lineRule="exact"/>
        <w:rPr>
          <w:rFonts w:ascii="Times New Roman" w:cs="Times New Roman" w:eastAsia="Times New Roman" w:hAnsi="Times New Roman"/>
          <w:sz w:val="18"/>
          <w:szCs w:val="18"/>
          <w:color w:val="auto"/>
        </w:rPr>
      </w:pPr>
    </w:p>
    <w:p>
      <w:pPr>
        <w:ind w:left="4" w:right="160" w:firstLine="987"/>
        <w:spacing w:after="0" w:line="272" w:lineRule="auto"/>
        <w:tabs>
          <w:tab w:leader="none" w:pos="1240" w:val="left"/>
        </w:tabs>
        <w:numPr>
          <w:ilvl w:val="1"/>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w:t>
      </w:r>
      <w:r>
        <w:rPr>
          <w:rFonts w:ascii="Times New Roman" w:cs="Times New Roman" w:eastAsia="Times New Roman" w:hAnsi="Times New Roman"/>
          <w:sz w:val="17"/>
          <w:szCs w:val="17"/>
          <w:u w:val="single" w:color="auto"/>
          <w:color w:val="auto"/>
        </w:rPr>
        <w:t>Section 8(b)</w:t>
      </w:r>
      <w:r>
        <w:rPr>
          <w:rFonts w:ascii="Times New Roman" w:cs="Times New Roman" w:eastAsia="Times New Roman" w:hAnsi="Times New Roman"/>
          <w:sz w:val="17"/>
          <w:szCs w:val="17"/>
          <w:color w:val="auto"/>
        </w:rPr>
        <w:t>, the MAAC Sponsor and the Company shall each (i) make any appropriate filings pursuant to the HSR Act with respect to the Company Post-Closing Common Shares to be received by the MAAC Sponsor pursuant to the terms of the Business Combination Agreement as promptly as reasonably practicable (and in any event within ten (10) Business Days) following the date of this Agreement,</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best efforts to obtain any other approvals of any Governmental Entity as may be required to be obtained by the MAAC Sponsor or the Company in connection with the receipt by the MAAC Sponsor of the Company Post-Closing Common Shares to be received by the MAAC Sponsor pursuant to the terms of the Business Combination Agreement and (iii) respond as promptly as reasonably practicable to any requests by any Governmental Entity for additional information and documentary material that may be requested pursuant to the HSR Act or in connection with such other required approvals of any Governmental Entity described in clause (ii). The MAAC Sponsor and the Company shall each pay fifty percent (50%) of the HSR Act filing fee. Without limiting the foregoing, the MAAC Sponsor and its applicable Affiliates and the Company and its applicable Affiliates shall not (A) extend any waiting period, review period or comparable period under the HSR Act or in connection with such other required approvals of any Governmental Entity, (B) request early termination of any waiting period, review period or comparable period under the HSR Act without the prior written consent of the MAAC Sponsor (in the case of the Company or any of its applicable Affiliates) or the Company (in the case of the MAAC Sponsor or any of its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432" w:name="page433"/>
    <w:bookmarkEnd w:id="4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Affiliates) or (C) enter into any agreement with any Governmental Entity not to consummate the transactions contemplated by the Business Combination Agreement except with the prior written consent of the Company and MAAC (in the case of MAAC Sponsor or any of its applicable Affiliates) or MAAC Sponsor (in the case of the Company or any of its applicable Affiliates). The MAAC Sponsor shall promptly inform the Company and MAAC of any communication received by the MAAC Sponsor from any Governmental Entity relating to the matters contemplated by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and the Company shall promptly inform the MAAC Sponsor and MAAC of any communication received by any Group Company from any Governmental Entity relating to the matters contemplated by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The MAAC Sponsor shall give the Company and its counsel, and MAAC and its counsel, a reasonable opportunity to review in advance, and consider in good faith the views thereof in connection with, any proposed written communication to any Governmental Entity relating to the matters contemplated by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and the Company shall give MAAC Sponsor and its counsel and MAAC and its counsel a reasonable opportunity to review in advance, and consider in good faith the views thereof in connection with, any proposed written communication to any Governmental Entity relating to the matters contemplated by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The MAAC Sponsor and the Company each agrees not to, and to cause its Representatives not to, participate in any substantive meeting or discussion, either in person or by telephone with any Governmental Entity in connection with the matters contemplated by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unless it consults with the Company and MAAC (in the case of the MAAC Sponsor or its Representatives) or the MAAC Sponsor and MAAC (in the case of the Company or its Representatives) in advance and, to the extent not prohibited by such Governmental Entity, gives the Company and MAAC (in the case of the MAAC Sponsor or its Representatives) or the MAAC Sponsor and MAAC (in the case of the Company or its Representatives) the opportunity to attend and participate in such meeting or discussion.</w:t>
      </w:r>
    </w:p>
    <w:p>
      <w:pPr>
        <w:spacing w:after="0" w:line="87" w:lineRule="exact"/>
        <w:rPr>
          <w:sz w:val="20"/>
          <w:szCs w:val="20"/>
          <w:color w:val="auto"/>
        </w:rPr>
      </w:pPr>
    </w:p>
    <w:p>
      <w:pPr>
        <w:ind w:firstLine="987"/>
        <w:spacing w:after="0" w:line="256" w:lineRule="auto"/>
        <w:tabs>
          <w:tab w:leader="none" w:pos="1246"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acknowledges and agrees that MAAC and the Company are entering into the Business Combination Agreement in reliance upon such Shareholder entering into this Agreement and agreeing to be bound by, and perform, or otherwise comply with, as applicable, the applicable agreements, covenants and obligations contained in this Agreement and, but for each Shareholder entering into this Agreement and agreeing to be bound by, and perform, or otherwise comply with, as applicable, the applicable agreements, covenants and obligations contained in this Agreement, MAAC and the Company would not have entered into or agreed to consummate the transactions contemplated by the Business Combination Agreement.</w:t>
      </w:r>
    </w:p>
    <w:p>
      <w:pPr>
        <w:spacing w:after="0" w:line="79" w:lineRule="exact"/>
        <w:rPr>
          <w:rFonts w:ascii="Times New Roman" w:cs="Times New Roman" w:eastAsia="Times New Roman" w:hAnsi="Times New Roman"/>
          <w:sz w:val="18"/>
          <w:szCs w:val="18"/>
          <w:color w:val="auto"/>
        </w:rPr>
      </w:pPr>
    </w:p>
    <w:p>
      <w:pPr>
        <w:ind w:right="280" w:firstLine="436"/>
        <w:spacing w:after="0" w:line="282" w:lineRule="auto"/>
        <w:tabs>
          <w:tab w:leader="none" w:pos="62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Representations and Warranties</w:t>
      </w:r>
      <w:r>
        <w:rPr>
          <w:rFonts w:ascii="Times New Roman" w:cs="Times New Roman" w:eastAsia="Times New Roman" w:hAnsi="Times New Roman"/>
          <w:sz w:val="18"/>
          <w:szCs w:val="18"/>
          <w:color w:val="auto"/>
        </w:rPr>
        <w:t>. Each Shareholder represents and warrants, as of the date hereof, solely with respect to himself, herself or itself, and not on behalf of any other Shareholder, to the Company and MAAC as follows:</w:t>
      </w:r>
    </w:p>
    <w:p>
      <w:pPr>
        <w:spacing w:after="0" w:line="53"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is not an individual, the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33" w:name="page434"/>
    <w:bookmarkEnd w:id="433"/>
    <w:p>
      <w:pPr>
        <w:ind w:firstLine="987"/>
        <w:spacing w:after="0" w:line="272" w:lineRule="auto"/>
        <w:tabs>
          <w:tab w:leader="none" w:pos="1246"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Shareholder (if not an individual) has the requisite corporate, limited liability company or other similar power and authority and, if the Shareholder is an individual, legal capacity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The execution and delivery of this Agreement has been duly authorized by all necessary corporate or other action on the part of the Shareholder. This Agreement has been duly and validly executed and delivered by the Shareholder and constitutes a valid, legal and binding agreement of the Shareholder (assuming that this Agreement is duly authorized, executed and delivered by the other parties hereto), enforceable against the Shareholder in accordance with its terms (subject to applicable bankruptcy, insolvency, reorganization, moratorium or other Laws affecting generally the enforcement of creditors’ rights and subject to general principles of equity).</w:t>
      </w:r>
    </w:p>
    <w:p>
      <w:pPr>
        <w:spacing w:after="0" w:line="63" w:lineRule="exact"/>
        <w:rPr>
          <w:rFonts w:ascii="Times New Roman" w:cs="Times New Roman" w:eastAsia="Times New Roman" w:hAnsi="Times New Roman"/>
          <w:sz w:val="17"/>
          <w:szCs w:val="17"/>
          <w:color w:val="auto"/>
        </w:rPr>
      </w:pPr>
    </w:p>
    <w:p>
      <w:pPr>
        <w:ind w:right="80" w:firstLine="987"/>
        <w:spacing w:after="0" w:line="254" w:lineRule="auto"/>
        <w:tabs>
          <w:tab w:leader="none" w:pos="123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Entity is required on the part of the Shareholder with respect to the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 compliance with and filings under the HSR Act, if applicable, or under any applicable Foreign and Domestic Approval Laws, (B) any filings with the SEC related to his, her or its ownership of Equity Securities of MAAC or Company Post-Closing Common Shares or the transactions contemplated by the Business Combination Agreement, this Agreement or any other Ancillary Documents to which he, she or it is a party, or (C) any other consents, approvals, authorizations, designations, declarations, waivers or filings, the absence of which would not reasonably be expected to adversely affect the ability of the Shareholder to perform, or otherwise comply with, any of his, her or its covenants, agreements or obligations hereunder in any material respect.</w:t>
      </w:r>
    </w:p>
    <w:p>
      <w:pPr>
        <w:spacing w:after="0" w:line="80"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or delivery of this Agreement by the Shareholder, the performance by the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if the Shareholder is not an individual, result in any breach of any provision of the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the Shareholder is a party, (iii) violate, or constitute a breach under, any Order or applicable Law to which the Shareholder or any of his, her or its properties or assets are bound or (iv) other than the restrictions contemplated by this Agreement, the Business Combination Agreement or any other Ancillary Document, result in the creation of any Lien upon the Subject Company Securities (other than as expressly provided under this Agreement),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as would not reasonably be expected to adversely affect the ability of the Shareholder to perform, or otherwise comply with, any of his, her or its covenants, agreements or obligations hereunder in any material respect.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34" w:name="page435"/>
    <w:bookmarkEnd w:id="434"/>
    <w:p>
      <w:pPr>
        <w:ind w:right="20" w:firstLine="987"/>
        <w:spacing w:after="0" w:line="254" w:lineRule="auto"/>
        <w:tabs>
          <w:tab w:leader="none" w:pos="123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Shareholder is, as of the date hereof, the record and beneficial owner of the Subject Company Securities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Shareholder has the sole right to vote (and provide consent in respect of, as applicable) the Subject Company Securities set forth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as of the date hereof. Except for this Agreement, the Business Combination Agreement, the other Ancillary Documents to which he, she or it is or will be a party, the Affected Agreements and the Governing Documents of MAAC, the Shareholder is not party to or bound by (i) any option, warrant, purchase right or other Contract that would reasonably be expected (either alone or in connection with one or more events, developments or events (including the satisfaction or waiver of any conditions precedent)) to require the Shareholder to Transfer any of the Subject Company Securities or (ii) any voting trust, proxy or other Contract with respect to the voting or Transfer of any of the Subject Company Securities, in the case of either clause (i) or (ii), that would reasonably be expected to adversely affect the ability of the Shareholder to perform, or otherwise comply with, any of his, her or its covenants, agreements or obligations hereunder in any material respect.</w:t>
      </w:r>
    </w:p>
    <w:p>
      <w:pPr>
        <w:spacing w:after="0" w:line="80" w:lineRule="exact"/>
        <w:rPr>
          <w:rFonts w:ascii="Times New Roman" w:cs="Times New Roman" w:eastAsia="Times New Roman" w:hAnsi="Times New Roman"/>
          <w:sz w:val="18"/>
          <w:szCs w:val="18"/>
          <w:color w:val="auto"/>
        </w:rPr>
      </w:pPr>
    </w:p>
    <w:p>
      <w:pPr>
        <w:ind w:right="160" w:firstLine="987"/>
        <w:spacing w:after="0" w:line="266" w:lineRule="auto"/>
        <w:tabs>
          <w:tab w:leader="none" w:pos="121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Shareholder’s knowledge, threatened against or involving the Shareholder or any of his, her or its Affiliates that, if adversely decided or resolved, would reasonably be expected to adversely affect the ability of the Shareholder to perform, or otherwise comply with, any of its covenants, agreements or obligations under this Agreement in any material respect.</w:t>
      </w:r>
    </w:p>
    <w:p>
      <w:pPr>
        <w:spacing w:after="0" w:line="67" w:lineRule="exact"/>
        <w:rPr>
          <w:rFonts w:ascii="Times New Roman" w:cs="Times New Roman" w:eastAsia="Times New Roman" w:hAnsi="Times New Roman"/>
          <w:sz w:val="18"/>
          <w:szCs w:val="18"/>
          <w:color w:val="auto"/>
        </w:rPr>
      </w:pPr>
    </w:p>
    <w:p>
      <w:pPr>
        <w:ind w:firstLine="987"/>
        <w:spacing w:after="0" w:line="274" w:lineRule="auto"/>
        <w:tabs>
          <w:tab w:leader="none" w:pos="1246"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 on his, her or its own behalf and on behalf of his, her or its Representatives, acknowledges, represents, warrants and agrees that he, she or it has conducted his, her or its own independent review and analysis of, and, based thereon, has formed an independent judgment concerning, the business, assets, condition, operations and prospects of, the Company and the transactions contemplated by this Agreement, the Business Combination Agreement and the other applicable Ancillary Documents to which he, she or it is or will be a party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spacing w:after="0" w:line="64" w:lineRule="exact"/>
        <w:rPr>
          <w:rFonts w:ascii="Times New Roman" w:cs="Times New Roman" w:eastAsia="Times New Roman" w:hAnsi="Times New Roman"/>
          <w:sz w:val="17"/>
          <w:szCs w:val="17"/>
          <w:color w:val="auto"/>
        </w:rPr>
      </w:pPr>
    </w:p>
    <w:p>
      <w:pPr>
        <w:ind w:firstLine="987"/>
        <w:spacing w:after="0" w:line="254" w:lineRule="auto"/>
        <w:tabs>
          <w:tab w:leader="none" w:pos="124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Ancillary Documents to which he, she or it is or will be a party, the Shareholder has relied solely on his, her or its own investigation and analysis and the representations and warranties expressly set forth in the Ancillary Documents to which he, she or it is or will be a party and no other representations or warranties of MAAC, the Company or any other Person, either express or implied, and the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MAAC, the Company or any other Person makes or has made any representation or warranty, either express or implied, to the Shareholder in connection with or related to this Agreement, the Business Combination Agreement or the other Ancillary Documents or the transactions contemplated hereby or thereby.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35" w:name="page436"/>
    <w:bookmarkEnd w:id="435"/>
    <w:p>
      <w:pPr>
        <w:ind w:left="4" w:right="240" w:firstLine="436"/>
        <w:spacing w:after="0" w:line="261" w:lineRule="auto"/>
        <w:tabs>
          <w:tab w:leader="none" w:pos="714"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and MAAC Acknowledgement</w:t>
      </w:r>
      <w:r>
        <w:rPr>
          <w:rFonts w:ascii="Times New Roman" w:cs="Times New Roman" w:eastAsia="Times New Roman" w:hAnsi="Times New Roman"/>
          <w:sz w:val="18"/>
          <w:szCs w:val="18"/>
          <w:color w:val="auto"/>
        </w:rPr>
        <w:t>. In entering into this Agreement, the Business Combination Agreement and the other Ancillary Documents to it is or will be a party, each of the Company and MAAC have not relied on any representations or warranties of the Shareholder, either express or implied, except for the representations and warranties of the Shareholder expressly set forth in this Agreement or in the other Ancillary Documents to which he, she or it is or will be a party and to which MAAC or the Company, as applicable, is or will be a party.</w:t>
      </w:r>
    </w:p>
    <w:p>
      <w:pPr>
        <w:spacing w:after="0" w:line="179" w:lineRule="exact"/>
        <w:rPr>
          <w:rFonts w:ascii="Times New Roman" w:cs="Times New Roman" w:eastAsia="Times New Roman" w:hAnsi="Times New Roman"/>
          <w:sz w:val="18"/>
          <w:szCs w:val="18"/>
          <w:color w:val="auto"/>
        </w:rPr>
      </w:pPr>
    </w:p>
    <w:p>
      <w:pPr>
        <w:ind w:left="4" w:right="100" w:firstLine="436"/>
        <w:spacing w:after="0" w:line="276" w:lineRule="auto"/>
        <w:tabs>
          <w:tab w:leader="none" w:pos="707" w:val="left"/>
        </w:tabs>
        <w:numPr>
          <w:ilvl w:val="1"/>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of Subject Company Securities</w:t>
      </w:r>
      <w:r>
        <w:rPr>
          <w:rFonts w:ascii="Times New Roman" w:cs="Times New Roman" w:eastAsia="Times New Roman" w:hAnsi="Times New Roman"/>
          <w:sz w:val="17"/>
          <w:szCs w:val="17"/>
          <w:color w:val="auto"/>
        </w:rPr>
        <w:t>. From and after the date hereof and until the earlier of (A) the termination of this Agreement in accordance with its terms and (B) the Effective Time, each Shareholder agrees not to (a) Transfer any of the Subject Company Securities, (b) enter into</w:t>
      </w:r>
    </w:p>
    <w:p>
      <w:pPr>
        <w:ind w:left="4" w:hanging="4"/>
        <w:spacing w:after="0" w:line="251" w:lineRule="auto"/>
        <w:tabs>
          <w:tab w:leader="none" w:pos="219"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option, warrant, purchase right, or other Contract that would reasonably be expected (either alone or in connection with one or more events, developments or events (including the satisfaction or waiver of any conditions precedent)) to require the Shareholder to Transfer the Subject Company Securities or (ii) any voting trust, proxy or other Contract with respect to the voting or Transfer of the Subject Company Securities, or (c) take any actions in furtherance of any of the matters described in the foregoing clauses (a) or (b), unless, in the case of clauses (a) through (c), the Shareholder causes any transferee of any such Transfer to enter into a written agreement in form and substance reasonably satisfactory to MAAC and the Company agreeing to be bound by this Agreement (which will include, for the avoidance of doubt, all of the covenants, agreements and obligations of the Shareholder hereunder and the making of all the representations and warranties of the Shareholder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with respect to such transferee and his, her or its Subject Company Securities received upon such Transfer, as applicable) prior and as a condition to the occurrence of such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Shareholder is not an individual, a Transfer of securities in the Shareholder by an equityholder of the Shareholder shall not require the transferee to enter into such written agreement so long as (x) following such Transfer, the Shareholder continues to hold the Subject Company Securities and to have the exclusive right to vote and to take all other actions related to the ownership of the Subject Company Securities without restriction and (y) such Transfer would otherwise be permitted under the Shareholders Agreement. For purposes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189" w:lineRule="exact"/>
        <w:rPr>
          <w:rFonts w:ascii="Times New Roman" w:cs="Times New Roman" w:eastAsia="Times New Roman" w:hAnsi="Times New Roman"/>
          <w:sz w:val="18"/>
          <w:szCs w:val="18"/>
          <w:color w:val="auto"/>
        </w:rPr>
      </w:pPr>
    </w:p>
    <w:p>
      <w:pPr>
        <w:ind w:left="4" w:firstLine="436"/>
        <w:spacing w:after="0" w:line="254" w:lineRule="auto"/>
        <w:tabs>
          <w:tab w:leader="none" w:pos="714"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shall not affect any Liability on the part of any Party for a Willful Breach of any covenant or agreement set forth in this Agreement prior to such termination or Fraud, (ii)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the representations and warranties set forth in </w:t>
      </w:r>
      <w:r>
        <w:rPr>
          <w:rFonts w:ascii="Times New Roman" w:cs="Times New Roman" w:eastAsia="Times New Roman" w:hAnsi="Times New Roman"/>
          <w:sz w:val="18"/>
          <w:szCs w:val="18"/>
          <w:u w:val="single" w:color="auto"/>
          <w:color w:val="auto"/>
        </w:rPr>
        <w:t>Sections 9(g)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shall each survive any termination of this Agreement, and (iii) </w:t>
      </w:r>
      <w:r>
        <w:rPr>
          <w:rFonts w:ascii="Times New Roman" w:cs="Times New Roman" w:eastAsia="Times New Roman" w:hAnsi="Times New Roman"/>
          <w:sz w:val="18"/>
          <w:szCs w:val="18"/>
          <w:u w:val="single" w:color="auto"/>
          <w:color w:val="auto"/>
        </w:rPr>
        <w:t>Sections 13</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shall survive any termination of this Agreement. For purposes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this Agreement that is a consequence of an act or a failure to act by the breaching Party with the knowledge that the taking of such act or such failure to act would, or would reasonably be expected to, constitute or result in a breach of this Agreement and (y) “</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an act or omission by a Party, and requires: (A) a false or incorrect representation or warranty expressly made by such</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70" w:right="499" w:bottom="1440" w:gutter="0" w:footer="0" w:header="0"/>
        </w:sectPr>
      </w:pPr>
    </w:p>
    <w:bookmarkStart w:id="436" w:name="page437"/>
    <w:bookmarkEnd w:id="43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entering into this Agreement, and (E) another Party suffering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79" w:lineRule="exact"/>
        <w:rPr>
          <w:sz w:val="20"/>
          <w:szCs w:val="20"/>
          <w:color w:val="auto"/>
        </w:rPr>
      </w:pPr>
    </w:p>
    <w:p>
      <w:pPr>
        <w:ind w:right="80" w:firstLine="436"/>
        <w:spacing w:after="0" w:line="256" w:lineRule="auto"/>
        <w:tabs>
          <w:tab w:leader="none" w:pos="71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the Shareholder makes no agreement or understanding herein in any capacity other than in such Shareholder’s capacity as a record holder and beneficial owner of the Subject Company Securities and, (i.e., if such Shareholder is an individual, not in such Shareholder’s capacity as a director, officer or employee of MAAC), and (b) nothing herein will be construed to limit or affect any action or inaction by such Shareholder if such Shareholder is an individual, or, if such Shareholder is not an individual, any representative of such Shareholder serving as a member of the board of directors of MAAC or as an officer, employee or fiduciary of MAAC, in each case, acting in such person’s capacity as a director, officer, employee or fiduciary of MAAC.</w:t>
      </w:r>
    </w:p>
    <w:p>
      <w:pPr>
        <w:spacing w:after="0" w:line="79" w:lineRule="exact"/>
        <w:rPr>
          <w:rFonts w:ascii="Times New Roman" w:cs="Times New Roman" w:eastAsia="Times New Roman" w:hAnsi="Times New Roman"/>
          <w:sz w:val="18"/>
          <w:szCs w:val="18"/>
          <w:color w:val="auto"/>
        </w:rPr>
      </w:pPr>
    </w:p>
    <w:p>
      <w:pPr>
        <w:ind w:right="40" w:firstLine="436"/>
        <w:spacing w:after="0" w:line="261" w:lineRule="auto"/>
        <w:tabs>
          <w:tab w:leader="none" w:pos="71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MAAC or the MAAC Sponsor,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Patient Square Capital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724 Oak Grove Ave, Suite 130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980"/>
        <w:spacing w:after="0"/>
        <w:tabs>
          <w:tab w:leader="none" w:pos="1920" w:val="left"/>
        </w:tabs>
        <w:rPr>
          <w:sz w:val="20"/>
          <w:szCs w:val="20"/>
          <w:color w:val="auto"/>
        </w:rPr>
      </w:pPr>
      <w:r>
        <w:rPr>
          <w:rFonts w:ascii="Times New Roman" w:cs="Times New Roman" w:eastAsia="Times New Roman" w:hAnsi="Times New Roman"/>
          <w:sz w:val="18"/>
          <w:szCs w:val="18"/>
          <w:color w:val="auto"/>
        </w:rPr>
        <w:t>Attention:</w:t>
        <w:tab/>
        <w:t>Maria Walker</w:t>
      </w:r>
    </w:p>
    <w:p>
      <w:pPr>
        <w:spacing w:after="0" w:line="9" w:lineRule="exact"/>
        <w:rPr>
          <w:sz w:val="20"/>
          <w:szCs w:val="20"/>
          <w:color w:val="auto"/>
        </w:rPr>
      </w:pPr>
    </w:p>
    <w:p>
      <w:pPr>
        <w:ind w:left="980"/>
        <w:spacing w:after="0"/>
        <w:tabs>
          <w:tab w:leader="none" w:pos="1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maria@patientsquarecapital.com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tabs>
          <w:tab w:leader="none" w:pos="1920" w:val="left"/>
        </w:tabs>
        <w:rPr>
          <w:sz w:val="20"/>
          <w:szCs w:val="20"/>
          <w:color w:val="auto"/>
        </w:rPr>
      </w:pPr>
      <w:r>
        <w:rPr>
          <w:rFonts w:ascii="Times New Roman" w:cs="Times New Roman" w:eastAsia="Times New Roman" w:hAnsi="Times New Roman"/>
          <w:sz w:val="18"/>
          <w:szCs w:val="18"/>
          <w:color w:val="auto"/>
        </w:rPr>
        <w:t>Attention:</w:t>
        <w:tab/>
        <w:t>Michael Weisser, P.C.; Ryan Brissette; Sharon Freiman</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michael.weisser@kirkland.com; ryan.brissette@kirkland.com;</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sharon.freiman@kirkland.com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437" w:name="page438"/>
    <w:bookmarkEnd w:id="4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Roivant Sciences Ltd.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1, 3rd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11-12 St. James’s Square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London SW1Y 4LB</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980"/>
        <w:spacing w:after="0"/>
        <w:tabs>
          <w:tab w:leader="none" w:pos="1920" w:val="left"/>
        </w:tabs>
        <w:rPr>
          <w:sz w:val="20"/>
          <w:szCs w:val="20"/>
          <w:color w:val="auto"/>
        </w:rPr>
      </w:pPr>
      <w:r>
        <w:rPr>
          <w:rFonts w:ascii="Times New Roman" w:cs="Times New Roman" w:eastAsia="Times New Roman" w:hAnsi="Times New Roman"/>
          <w:sz w:val="18"/>
          <w:szCs w:val="18"/>
          <w:color w:val="auto"/>
        </w:rPr>
        <w:t>Attention:</w:t>
        <w:tab/>
        <w:t>Matthew Gline</w:t>
      </w:r>
    </w:p>
    <w:p>
      <w:pPr>
        <w:spacing w:after="0" w:line="9" w:lineRule="exact"/>
        <w:rPr>
          <w:sz w:val="20"/>
          <w:szCs w:val="20"/>
          <w:color w:val="auto"/>
        </w:rPr>
      </w:pPr>
    </w:p>
    <w:p>
      <w:pPr>
        <w:ind w:left="980"/>
        <w:spacing w:after="0"/>
        <w:tabs>
          <w:tab w:leader="none" w:pos="19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matthew.gline@roivant.com; legalnotices@roivant.com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Roivant Sciences,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151 West 42nd Street, 15th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980"/>
        <w:spacing w:after="0"/>
        <w:tabs>
          <w:tab w:leader="none" w:pos="1920" w:val="left"/>
        </w:tabs>
        <w:rPr>
          <w:sz w:val="20"/>
          <w:szCs w:val="20"/>
          <w:color w:val="auto"/>
        </w:rPr>
      </w:pPr>
      <w:r>
        <w:rPr>
          <w:rFonts w:ascii="Times New Roman" w:cs="Times New Roman" w:eastAsia="Times New Roman" w:hAnsi="Times New Roman"/>
          <w:sz w:val="18"/>
          <w:szCs w:val="18"/>
          <w:color w:val="auto"/>
        </w:rPr>
        <w:t>Attention:</w:t>
        <w:tab/>
        <w:t>General Counsel</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jo.chen@roivant.com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980"/>
        <w:spacing w:after="0"/>
        <w:tabs>
          <w:tab w:leader="none" w:pos="1920" w:val="left"/>
        </w:tabs>
        <w:rPr>
          <w:sz w:val="20"/>
          <w:szCs w:val="20"/>
          <w:color w:val="auto"/>
        </w:rPr>
      </w:pPr>
      <w:r>
        <w:rPr>
          <w:rFonts w:ascii="Times New Roman" w:cs="Times New Roman" w:eastAsia="Times New Roman" w:hAnsi="Times New Roman"/>
          <w:sz w:val="18"/>
          <w:szCs w:val="18"/>
          <w:color w:val="auto"/>
        </w:rPr>
        <w:t>Attention:</w:t>
        <w:tab/>
        <w:t>Derek Dostal; Lee Hochbaum; Brian Wolfe</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derek.dostal@davispolk.com; lee.hochbaum@davispolk.com;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brian.wolfe@davispolk.com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 Shareholder other than the MAAC Sponsor, to the address on the Shareholder’s signature page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117" w:lineRule="exact"/>
        <w:rPr>
          <w:sz w:val="20"/>
          <w:szCs w:val="20"/>
          <w:color w:val="auto"/>
        </w:rPr>
      </w:pPr>
    </w:p>
    <w:p>
      <w:pPr>
        <w:ind w:right="460" w:firstLine="436"/>
        <w:spacing w:after="0" w:line="258" w:lineRule="auto"/>
        <w:tabs>
          <w:tab w:leader="none" w:pos="71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Business Combination Agreement and documents referred to herein and therein (including the Ancillary Documents) constitute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 In the event and to the extent that there shall be a conflict between the provisions of this Agreement and the provisions of any Affected Agreement, this Agreement shall control with respect to the subject matter thereof.</w:t>
      </w:r>
    </w:p>
    <w:p>
      <w:pPr>
        <w:spacing w:after="0" w:line="75" w:lineRule="exact"/>
        <w:rPr>
          <w:rFonts w:ascii="Times New Roman" w:cs="Times New Roman" w:eastAsia="Times New Roman" w:hAnsi="Times New Roman"/>
          <w:sz w:val="18"/>
          <w:szCs w:val="18"/>
          <w:color w:val="auto"/>
        </w:rPr>
      </w:pPr>
    </w:p>
    <w:p>
      <w:pPr>
        <w:ind w:firstLine="436"/>
        <w:spacing w:after="0" w:line="255" w:lineRule="auto"/>
        <w:tabs>
          <w:tab w:leader="none" w:pos="71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xml:space="preserve">. Any provision of this Agreement may be amended or waived if, and only if, such amendment or waiver is in writing and signed by the Shareholders, the Company and MAAC. Notwithstanding the foregoing, no failure or delay by any Party in exercising any right hereunder shall operate as a waiver thereof nor shall any single or partial exercise thereof preclude any other or further exercise of any other right hereunder. Subject to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neither this Agreement nor any of the rights, interests or obligations hereunder shall be assignable by a Shareholder or the Company without MAAC’s prior written consent (to be withheld or given in its sole discretion) or by MAAC without the Company’s prior written consent (to be withheld or given in its sole discretion). Any attempted assignment of this Agreement not in accordance with the terms of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438" w:name="page439"/>
    <w:bookmarkEnd w:id="438"/>
    <w:p>
      <w:pPr>
        <w:ind w:left="4" w:right="80" w:firstLine="436"/>
        <w:spacing w:after="0" w:line="258" w:lineRule="auto"/>
        <w:tabs>
          <w:tab w:leader="none" w:pos="714"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and Expenses</w:t>
      </w:r>
      <w:r>
        <w:rPr>
          <w:rFonts w:ascii="Times New Roman" w:cs="Times New Roman" w:eastAsia="Times New Roman" w:hAnsi="Times New Roman"/>
          <w:sz w:val="18"/>
          <w:szCs w:val="18"/>
          <w:color w:val="auto"/>
        </w:rPr>
        <w:t xml:space="preserve">. Except, in the case of MAAC and the Company, as otherwise expressly set forth in the Business Combination Agreement, all fees and expenses incurred in connection with this Agreement and the transactions contemplated hereby, including the fees and disbursements of counsel, financial advisors and accountants, shall be paid by the Party incurring such fees or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reasonable and documented fees and expenses incurred by the Shareholders in connection with this Agreement and the transactions contemplated hereby on or prior to the Closing shall be deemed to be fees and expenses of MAAC.</w:t>
      </w:r>
    </w:p>
    <w:p>
      <w:pPr>
        <w:spacing w:after="0" w:line="75"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714"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permitted assigns, any legal or equitable right, benefit or remedy of any nature whatsoever by reason this Agreement. Nothing in this Agreement, expressed or implied, is intended to, or shall be deemed to, create a joint venture.</w:t>
      </w:r>
    </w:p>
    <w:p>
      <w:pPr>
        <w:spacing w:after="0" w:line="71" w:lineRule="exact"/>
        <w:rPr>
          <w:rFonts w:ascii="Times New Roman" w:cs="Times New Roman" w:eastAsia="Times New Roman" w:hAnsi="Times New Roman"/>
          <w:sz w:val="18"/>
          <w:szCs w:val="18"/>
          <w:color w:val="auto"/>
        </w:rPr>
      </w:pPr>
    </w:p>
    <w:p>
      <w:pPr>
        <w:ind w:left="4" w:right="820" w:firstLine="436"/>
        <w:spacing w:after="0" w:line="266" w:lineRule="auto"/>
        <w:tabs>
          <w:tab w:leader="none" w:pos="714"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8.5</w:t>
      </w:r>
      <w:r>
        <w:rPr>
          <w:rFonts w:ascii="Times New Roman" w:cs="Times New Roman" w:eastAsia="Times New Roman" w:hAnsi="Times New Roman"/>
          <w:sz w:val="18"/>
          <w:szCs w:val="18"/>
          <w:color w:val="auto"/>
        </w:rPr>
        <w:t xml:space="preserve"> (Governing Law), </w:t>
      </w:r>
      <w:r>
        <w:rPr>
          <w:rFonts w:ascii="Times New Roman" w:cs="Times New Roman" w:eastAsia="Times New Roman" w:hAnsi="Times New Roman"/>
          <w:sz w:val="18"/>
          <w:szCs w:val="18"/>
          <w:u w:val="single" w:color="auto"/>
          <w:color w:val="auto"/>
        </w:rPr>
        <w:t>8.7</w:t>
      </w:r>
      <w:r>
        <w:rPr>
          <w:rFonts w:ascii="Times New Roman" w:cs="Times New Roman" w:eastAsia="Times New Roman" w:hAnsi="Times New Roman"/>
          <w:sz w:val="18"/>
          <w:szCs w:val="18"/>
          <w:color w:val="auto"/>
        </w:rPr>
        <w:t xml:space="preserve"> (Construction; Interpretation), </w:t>
      </w:r>
      <w:r>
        <w:rPr>
          <w:rFonts w:ascii="Times New Roman" w:cs="Times New Roman" w:eastAsia="Times New Roman" w:hAnsi="Times New Roman"/>
          <w:sz w:val="18"/>
          <w:szCs w:val="18"/>
          <w:u w:val="single" w:color="auto"/>
          <w:color w:val="auto"/>
        </w:rPr>
        <w:t>8.10</w:t>
      </w:r>
      <w:r>
        <w:rPr>
          <w:rFonts w:ascii="Times New Roman" w:cs="Times New Roman" w:eastAsia="Times New Roman" w:hAnsi="Times New Roman"/>
          <w:sz w:val="18"/>
          <w:szCs w:val="18"/>
          <w:color w:val="auto"/>
        </w:rPr>
        <w:t xml:space="preserve"> (Severability), </w:t>
      </w:r>
      <w:r>
        <w:rPr>
          <w:rFonts w:ascii="Times New Roman" w:cs="Times New Roman" w:eastAsia="Times New Roman" w:hAnsi="Times New Roman"/>
          <w:sz w:val="18"/>
          <w:szCs w:val="18"/>
          <w:u w:val="single" w:color="auto"/>
          <w:color w:val="auto"/>
        </w:rPr>
        <w:t>8.11</w:t>
      </w:r>
      <w:r>
        <w:rPr>
          <w:rFonts w:ascii="Times New Roman" w:cs="Times New Roman" w:eastAsia="Times New Roman" w:hAnsi="Times New Roman"/>
          <w:sz w:val="18"/>
          <w:szCs w:val="18"/>
          <w:color w:val="auto"/>
        </w:rPr>
        <w:t xml:space="preserve"> (Counterparts; Electronic Signatures), </w:t>
      </w:r>
      <w:r>
        <w:rPr>
          <w:rFonts w:ascii="Times New Roman" w:cs="Times New Roman" w:eastAsia="Times New Roman" w:hAnsi="Times New Roman"/>
          <w:sz w:val="18"/>
          <w:szCs w:val="18"/>
          <w:u w:val="single" w:color="auto"/>
          <w:color w:val="auto"/>
        </w:rPr>
        <w:t>8.15</w:t>
      </w:r>
      <w:r>
        <w:rPr>
          <w:rFonts w:ascii="Times New Roman" w:cs="Times New Roman" w:eastAsia="Times New Roman" w:hAnsi="Times New Roman"/>
          <w:sz w:val="18"/>
          <w:szCs w:val="18"/>
          <w:color w:val="auto"/>
        </w:rPr>
        <w:t xml:space="preserve"> (Waiver of Jury Trial), </w:t>
      </w:r>
      <w:r>
        <w:rPr>
          <w:rFonts w:ascii="Times New Roman" w:cs="Times New Roman" w:eastAsia="Times New Roman" w:hAnsi="Times New Roman"/>
          <w:sz w:val="18"/>
          <w:szCs w:val="18"/>
          <w:u w:val="single" w:color="auto"/>
          <w:color w:val="auto"/>
        </w:rPr>
        <w:t>8.16</w:t>
      </w:r>
      <w:r>
        <w:rPr>
          <w:rFonts w:ascii="Times New Roman" w:cs="Times New Roman" w:eastAsia="Times New Roman" w:hAnsi="Times New Roman"/>
          <w:sz w:val="18"/>
          <w:szCs w:val="18"/>
          <w:color w:val="auto"/>
        </w:rPr>
        <w:t xml:space="preserve"> (Submission to Jurisdiction) and </w:t>
      </w:r>
      <w:r>
        <w:rPr>
          <w:rFonts w:ascii="Times New Roman" w:cs="Times New Roman" w:eastAsia="Times New Roman" w:hAnsi="Times New Roman"/>
          <w:sz w:val="18"/>
          <w:szCs w:val="18"/>
          <w:u w:val="single" w:color="auto"/>
          <w:color w:val="auto"/>
        </w:rPr>
        <w:t>8.17</w:t>
      </w:r>
      <w:r>
        <w:rPr>
          <w:rFonts w:ascii="Times New Roman" w:cs="Times New Roman" w:eastAsia="Times New Roman" w:hAnsi="Times New Roman"/>
          <w:sz w:val="18"/>
          <w:szCs w:val="18"/>
          <w:color w:val="auto"/>
        </w:rPr>
        <w:t xml:space="preserve"> (Remedies) of the Business Combination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714"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will be deemed to vest in the Company, any Company Non-Party Affiliate, or any MAAC Non-Party Affiliate any direct or indirect ownership or incidents of ownership of or with respect to the Subject Company Securities. All rights, ownership and economic benefits of and relating to the Subject Company Securities shall remain vested in and belong to each Shareholder, and the Company and MAAC (and each other Company Non-Party Affiliate and MAAC Non-Party Affiliate) shall have no authority to manage, direct, superintend, restrict, regulate, govern or administer any of the policies or operations of Company or exercise any power or authority to direct any Shareholder in the voting of any of the Subject Company Securities, except as otherwise expressly provided herein with respect to the Subject Company Securities. Except as otherwise set forth in Section 1, no Shareholder shall not be restricted from voting in favor of, against or abstaining with respect to any other matters presented to the stockholders of MAAC.</w:t>
      </w:r>
    </w:p>
    <w:p>
      <w:pPr>
        <w:spacing w:after="0" w:line="83" w:lineRule="exact"/>
        <w:rPr>
          <w:rFonts w:ascii="Times New Roman" w:cs="Times New Roman" w:eastAsia="Times New Roman" w:hAnsi="Times New Roman"/>
          <w:sz w:val="18"/>
          <w:szCs w:val="18"/>
          <w:color w:val="auto"/>
        </w:rPr>
      </w:pPr>
    </w:p>
    <w:p>
      <w:pPr>
        <w:ind w:left="4" w:firstLine="436"/>
        <w:spacing w:after="0" w:line="272" w:lineRule="auto"/>
        <w:tabs>
          <w:tab w:leader="none" w:pos="714" w:val="left"/>
        </w:tabs>
        <w:numPr>
          <w:ilvl w:val="1"/>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Spouses and Community Property Matters</w:t>
      </w:r>
      <w:r>
        <w:rPr>
          <w:rFonts w:ascii="Times New Roman" w:cs="Times New Roman" w:eastAsia="Times New Roman" w:hAnsi="Times New Roman"/>
          <w:sz w:val="17"/>
          <w:szCs w:val="17"/>
          <w:color w:val="auto"/>
        </w:rPr>
        <w:t>. Each Shareholder’s spouse (if applicable) hereby represents, warrants and covenants to MAAC and the Company that such spouse shall not assert or enforce, and does hereby waive, any rights granted under any community property statue with respect to the Subject Company Securities that would adversely affect (x) the covenants made by the applicable Shareholder pursuant to this Agreement or</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contemplated by the Business Combination Agreement and the Ancillary Documents.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439" w:name="page440"/>
    <w:bookmarkEnd w:id="439"/>
    <w:p>
      <w:pPr>
        <w:ind w:firstLine="436"/>
        <w:spacing w:after="0" w:line="253" w:lineRule="auto"/>
        <w:tabs>
          <w:tab w:leader="none" w:pos="71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Recourse</w:t>
      </w:r>
      <w:r>
        <w:rPr>
          <w:rFonts w:ascii="Times New Roman" w:cs="Times New Roman" w:eastAsia="Times New Roman" w:hAnsi="Times New Roman"/>
          <w:sz w:val="18"/>
          <w:szCs w:val="18"/>
          <w:color w:val="auto"/>
        </w:rPr>
        <w:t>. Except for claims pursuant to the Business Combination Agreement or any Ancillary Document by any party(ies) thereto against any other party(ies) on the terms and subject to the conditions therein, each Party agrees that (a) this Agreement may only be enforced against, and any action for breach of this Agreement may only be made against, the Parties, and no claims of any nature whatsoever arising under or relating to this Agreement, the negotiation hereof or its subject matter, or the transactions contemplated hereby shall be asserted against any Person that is not a Party, and (b) without limiting the generality of the foregoing, no Person that is not a Party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except as expressly provided herein. Notwithstanding anything to the contrary in this Agreement, (i) in no event shall any Shareholder have any obligations or Liabilities related to or arising out of the covenants, agreements, obligations, representations or warranties of any other Shareholder under this Agreement (including related to or arising out of the breach of any such covenant, agreement, obligation, representation or warranty by any other Shareholder), and (ii) in no event shall MAAC have any obligations or Liabilities related to or arising out of the covenants, agreements, obligations, representations or warrants of any Shareholder under this Agreement (including related to or arising out of any breach of any such covenant, agreement, obligation, representation or warranty by any such Shareholder).</w:t>
      </w:r>
    </w:p>
    <w:p>
      <w:pPr>
        <w:spacing w:after="0" w:line="79" w:lineRule="exact"/>
        <w:rPr>
          <w:rFonts w:ascii="Times New Roman" w:cs="Times New Roman" w:eastAsia="Times New Roman" w:hAnsi="Times New Roman"/>
          <w:sz w:val="18"/>
          <w:szCs w:val="18"/>
          <w:color w:val="auto"/>
        </w:rPr>
      </w:pPr>
    </w:p>
    <w:p>
      <w:pPr>
        <w:ind w:right="180" w:firstLine="436"/>
        <w:spacing w:after="0" w:line="281" w:lineRule="auto"/>
        <w:tabs>
          <w:tab w:leader="none" w:pos="710"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Non-Survival</w:t>
      </w:r>
      <w:r>
        <w:rPr>
          <w:rFonts w:ascii="Times New Roman" w:cs="Times New Roman" w:eastAsia="Times New Roman" w:hAnsi="Times New Roman"/>
          <w:sz w:val="17"/>
          <w:szCs w:val="17"/>
          <w:color w:val="auto"/>
        </w:rPr>
        <w:t xml:space="preserve">. The representations, warranties, agreements and covenants in this Agreement shall terminate at the Effective Time, except for those covenants and agreements in this Agreement that, by their terms, expressly contemplate performance or survival after the Effective Time, which covenants and agreements shall so survive the Effective Time in accordance with their terms;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foregoing shall not limit any Party’s rights in the event of another Party’s Willful Breach of any agreement and covenant set forth in Section 4(a) or Section 11 prior to the Effective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and delivered this Agreement as of the date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ROIVANT SCIENCES LTD.</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Maisak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Matt Maisak</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color w:val="auto"/>
        </w:rPr>
        <w:t>[Signature Page to Sponsor Support Agreement]</w:t>
      </w:r>
    </w:p>
    <w:p>
      <w:pPr>
        <w:sectPr>
          <w:pgSz w:w="11900" w:h="16838" w:orient="portrait"/>
          <w:cols w:equalWidth="0" w:num="1">
            <w:col w:w="9579"/>
          </w:cols>
          <w:pgMar w:left="880" w:top="270" w:right="1440"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 WITNESS WHEREOF, the Parties have executed and delivered this Agreement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MONTES ARCHIMEDES ACQUISITION CORP.</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Maria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Maria C. Walker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to Sponsor Support Agreement]</w:t>
      </w:r>
    </w:p>
    <w:p>
      <w:pPr>
        <w:sectPr>
          <w:pgSz w:w="11900" w:h="16838" w:orient="portrait"/>
          <w:cols w:equalWidth="0" w:num="1">
            <w:col w:w="10100"/>
          </w:cols>
          <w:pgMar w:left="880" w:top="270" w:right="91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and delivered this Agreement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PATIENT SQUARE CAPITAL LLC</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Maria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Maria C. Walker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color w:val="auto"/>
        </w:rPr>
        <w:t>[Signature Page to Sponsor Support Agreement]</w:t>
      </w:r>
    </w:p>
    <w:p>
      <w:pPr>
        <w:sectPr>
          <w:pgSz w:w="11900" w:h="16838" w:orient="portrait"/>
          <w:cols w:equalWidth="0" w:num="1">
            <w:col w:w="9579"/>
          </w:cols>
          <w:pgMar w:left="880" w:top="270" w:right="1440"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and delivered this Agreement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INSIDERS</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Barrett</w:t>
            </w: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George Barrett</w:t>
            </w:r>
          </w:p>
        </w:tc>
      </w:tr>
      <w:tr>
        <w:trPr>
          <w:trHeight w:val="216"/>
        </w:trPr>
        <w:tc>
          <w:tcPr>
            <w:tcW w:w="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w:t>
            </w:r>
          </w:p>
        </w:tc>
        <w:tc>
          <w:tcPr>
            <w:tcW w:w="3660" w:type="dxa"/>
            <w:vAlign w:val="bottom"/>
            <w:shd w:val="clear" w:color="auto" w:fill="000000"/>
          </w:tcPr>
          <w:p>
            <w:pPr>
              <w:spacing w:after="0"/>
              <w:rPr>
                <w:sz w:val="18"/>
                <w:szCs w:val="18"/>
                <w:color w:val="auto"/>
              </w:rPr>
            </w:pPr>
          </w:p>
        </w:tc>
      </w:tr>
      <w:tr>
        <w:trPr>
          <w:trHeight w:val="216"/>
        </w:trPr>
        <w:tc>
          <w:tcPr>
            <w:tcW w:w="740" w:type="dxa"/>
            <w:vAlign w:val="bottom"/>
            <w:tcBorders>
              <w:right w:val="single" w:sz="8" w:color="auto"/>
            </w:tcBorders>
          </w:tcPr>
          <w:p>
            <w:pPr>
              <w:spacing w:after="0"/>
              <w:rPr>
                <w:sz w:val="18"/>
                <w:szCs w:val="18"/>
                <w:color w:val="auto"/>
              </w:rPr>
            </w:pPr>
          </w:p>
        </w:tc>
        <w:tc>
          <w:tcPr>
            <w:tcW w:w="3660" w:type="dxa"/>
            <w:vAlign w:val="bottom"/>
            <w:shd w:val="clear" w:color="auto" w:fill="000000"/>
          </w:tcPr>
          <w:p>
            <w:pPr>
              <w:spacing w:after="0"/>
              <w:rPr>
                <w:sz w:val="18"/>
                <w:szCs w:val="18"/>
                <w:color w:val="auto"/>
              </w:rPr>
            </w:pPr>
          </w:p>
        </w:tc>
      </w:tr>
    </w:tbl>
    <w:p>
      <w:pPr>
        <w:spacing w:after="0" w:line="19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color w:val="auto"/>
        </w:rPr>
        <w:t>[Signature Page to Sponsor Support Agreement]</w:t>
      </w:r>
    </w:p>
    <w:p>
      <w:pPr>
        <w:sectPr>
          <w:pgSz w:w="11900" w:h="16838" w:orient="portrait"/>
          <w:cols w:equalWidth="0" w:num="1">
            <w:col w:w="10580"/>
          </w:cols>
          <w:pgMar w:left="880" w:top="270" w:right="43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and delivered this Agreement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INSIDERS</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Momtazee</w:t>
            </w: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James C. Momtazee</w:t>
            </w:r>
          </w:p>
        </w:tc>
      </w:tr>
      <w:tr>
        <w:trPr>
          <w:trHeight w:val="216"/>
        </w:trPr>
        <w:tc>
          <w:tcPr>
            <w:tcW w:w="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w:t>
            </w:r>
          </w:p>
        </w:tc>
        <w:tc>
          <w:tcPr>
            <w:tcW w:w="3660" w:type="dxa"/>
            <w:vAlign w:val="bottom"/>
            <w:shd w:val="clear" w:color="auto" w:fill="000000"/>
          </w:tcPr>
          <w:p>
            <w:pPr>
              <w:spacing w:after="0"/>
              <w:rPr>
                <w:sz w:val="18"/>
                <w:szCs w:val="18"/>
                <w:color w:val="auto"/>
              </w:rPr>
            </w:pPr>
          </w:p>
        </w:tc>
      </w:tr>
      <w:tr>
        <w:trPr>
          <w:trHeight w:val="216"/>
        </w:trPr>
        <w:tc>
          <w:tcPr>
            <w:tcW w:w="740" w:type="dxa"/>
            <w:vAlign w:val="bottom"/>
            <w:tcBorders>
              <w:right w:val="single" w:sz="8" w:color="auto"/>
            </w:tcBorders>
          </w:tcPr>
          <w:p>
            <w:pPr>
              <w:spacing w:after="0"/>
              <w:rPr>
                <w:sz w:val="18"/>
                <w:szCs w:val="18"/>
                <w:color w:val="auto"/>
              </w:rPr>
            </w:pPr>
          </w:p>
        </w:tc>
        <w:tc>
          <w:tcPr>
            <w:tcW w:w="3660" w:type="dxa"/>
            <w:vAlign w:val="bottom"/>
            <w:shd w:val="clear" w:color="auto" w:fill="000000"/>
          </w:tcPr>
          <w:p>
            <w:pPr>
              <w:spacing w:after="0"/>
              <w:rPr>
                <w:sz w:val="18"/>
                <w:szCs w:val="18"/>
                <w:color w:val="auto"/>
              </w:rPr>
            </w:pPr>
          </w:p>
        </w:tc>
      </w:tr>
    </w:tbl>
    <w:p>
      <w:pPr>
        <w:spacing w:after="0" w:line="19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color w:val="auto"/>
        </w:rPr>
        <w:t>[Signature Page to Sponsor Support Agreement]</w:t>
      </w:r>
    </w:p>
    <w:p>
      <w:pPr>
        <w:sectPr>
          <w:pgSz w:w="11900" w:h="16838" w:orient="portrait"/>
          <w:cols w:equalWidth="0" w:num="1">
            <w:col w:w="10580"/>
          </w:cols>
          <w:pgMar w:left="880" w:top="270" w:right="43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and delivered this Agreement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INSIDERS</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Maria C. Walker</w:t>
            </w: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Maria C. Walker</w:t>
            </w:r>
          </w:p>
        </w:tc>
      </w:tr>
      <w:tr>
        <w:trPr>
          <w:trHeight w:val="216"/>
        </w:trPr>
        <w:tc>
          <w:tcPr>
            <w:tcW w:w="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w:t>
            </w:r>
          </w:p>
        </w:tc>
        <w:tc>
          <w:tcPr>
            <w:tcW w:w="3660" w:type="dxa"/>
            <w:vAlign w:val="bottom"/>
            <w:shd w:val="clear" w:color="auto" w:fill="000000"/>
          </w:tcPr>
          <w:p>
            <w:pPr>
              <w:spacing w:after="0"/>
              <w:rPr>
                <w:sz w:val="18"/>
                <w:szCs w:val="18"/>
                <w:color w:val="auto"/>
              </w:rPr>
            </w:pPr>
          </w:p>
        </w:tc>
      </w:tr>
      <w:tr>
        <w:trPr>
          <w:trHeight w:val="216"/>
        </w:trPr>
        <w:tc>
          <w:tcPr>
            <w:tcW w:w="740" w:type="dxa"/>
            <w:vAlign w:val="bottom"/>
            <w:tcBorders>
              <w:right w:val="single" w:sz="8" w:color="auto"/>
            </w:tcBorders>
          </w:tcPr>
          <w:p>
            <w:pPr>
              <w:spacing w:after="0"/>
              <w:rPr>
                <w:sz w:val="18"/>
                <w:szCs w:val="18"/>
                <w:color w:val="auto"/>
              </w:rPr>
            </w:pPr>
          </w:p>
        </w:tc>
        <w:tc>
          <w:tcPr>
            <w:tcW w:w="3660" w:type="dxa"/>
            <w:vAlign w:val="bottom"/>
            <w:shd w:val="clear" w:color="auto" w:fill="000000"/>
          </w:tcPr>
          <w:p>
            <w:pPr>
              <w:spacing w:after="0"/>
              <w:rPr>
                <w:sz w:val="18"/>
                <w:szCs w:val="18"/>
                <w:color w:val="auto"/>
              </w:rPr>
            </w:pPr>
          </w:p>
        </w:tc>
      </w:tr>
    </w:tbl>
    <w:p>
      <w:pPr>
        <w:spacing w:after="0" w:line="19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color w:val="auto"/>
        </w:rPr>
        <w:t>[Signature Page to Sponsor Support Agreement]</w:t>
      </w:r>
    </w:p>
    <w:p>
      <w:pPr>
        <w:sectPr>
          <w:pgSz w:w="11900" w:h="16838" w:orient="portrait"/>
          <w:cols w:equalWidth="0" w:num="1">
            <w:col w:w="10580"/>
          </w:cols>
          <w:pgMar w:left="880" w:top="270" w:right="43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and delivered this Agreement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INSIDERS</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Oesterle</w:t>
            </w: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Steve Oesterle</w:t>
            </w:r>
          </w:p>
        </w:tc>
      </w:tr>
      <w:tr>
        <w:trPr>
          <w:trHeight w:val="216"/>
        </w:trPr>
        <w:tc>
          <w:tcPr>
            <w:tcW w:w="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w:t>
            </w:r>
          </w:p>
        </w:tc>
        <w:tc>
          <w:tcPr>
            <w:tcW w:w="3660" w:type="dxa"/>
            <w:vAlign w:val="bottom"/>
            <w:shd w:val="clear" w:color="auto" w:fill="000000"/>
          </w:tcPr>
          <w:p>
            <w:pPr>
              <w:spacing w:after="0"/>
              <w:rPr>
                <w:sz w:val="18"/>
                <w:szCs w:val="18"/>
                <w:color w:val="auto"/>
              </w:rPr>
            </w:pPr>
          </w:p>
        </w:tc>
      </w:tr>
      <w:tr>
        <w:trPr>
          <w:trHeight w:val="216"/>
        </w:trPr>
        <w:tc>
          <w:tcPr>
            <w:tcW w:w="740" w:type="dxa"/>
            <w:vAlign w:val="bottom"/>
            <w:tcBorders>
              <w:right w:val="single" w:sz="8" w:color="auto"/>
            </w:tcBorders>
          </w:tcPr>
          <w:p>
            <w:pPr>
              <w:spacing w:after="0"/>
              <w:rPr>
                <w:sz w:val="18"/>
                <w:szCs w:val="18"/>
                <w:color w:val="auto"/>
              </w:rPr>
            </w:pPr>
          </w:p>
        </w:tc>
        <w:tc>
          <w:tcPr>
            <w:tcW w:w="3660" w:type="dxa"/>
            <w:vAlign w:val="bottom"/>
            <w:shd w:val="clear" w:color="auto" w:fill="000000"/>
          </w:tcPr>
          <w:p>
            <w:pPr>
              <w:spacing w:after="0"/>
              <w:rPr>
                <w:sz w:val="18"/>
                <w:szCs w:val="18"/>
                <w:color w:val="auto"/>
              </w:rPr>
            </w:pPr>
          </w:p>
        </w:tc>
      </w:tr>
    </w:tbl>
    <w:p>
      <w:pPr>
        <w:spacing w:after="0" w:line="19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color w:val="auto"/>
        </w:rPr>
        <w:t>[Signature Page to Sponsor Support Agreement]</w:t>
      </w:r>
    </w:p>
    <w:p>
      <w:pPr>
        <w:sectPr>
          <w:pgSz w:w="11900" w:h="16838" w:orient="portrait"/>
          <w:cols w:equalWidth="0" w:num="1">
            <w:col w:w="10580"/>
          </w:cols>
          <w:pgMar w:left="880" w:top="270" w:right="439" w:bottom="1440" w:gutter="0" w:footer="0" w:header="0"/>
        </w:sectPr>
      </w:pPr>
    </w:p>
    <w:bookmarkStart w:id="447" w:name="page448"/>
    <w:bookmarkEnd w:id="4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MAAC Security Ownership</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30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460" w:type="dxa"/>
            <w:vAlign w:val="bottom"/>
          </w:tcPr>
          <w:p>
            <w:pPr>
              <w:spacing w:after="0"/>
              <w:rPr>
                <w:sz w:val="15"/>
                <w:szCs w:val="15"/>
                <w:color w:val="auto"/>
              </w:rPr>
            </w:pPr>
          </w:p>
        </w:tc>
        <w:tc>
          <w:tcPr>
            <w:tcW w:w="19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1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20" w:type="dxa"/>
            <w:vAlign w:val="bottom"/>
            <w:gridSpan w:val="2"/>
            <w:vMerge w:val="continue"/>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2"/>
            <w:vMerge w:val="continue"/>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Owners</w:t>
            </w: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160" w:type="dxa"/>
            <w:vAlign w:val="bottom"/>
            <w:gridSpan w:val="2"/>
            <w:vMerge w:val="continue"/>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60"/>
        </w:trPr>
        <w:tc>
          <w:tcPr>
            <w:tcW w:w="4240" w:type="dxa"/>
            <w:vAlign w:val="bottom"/>
            <w:gridSpan w:val="2"/>
            <w:vMerge w:val="continue"/>
          </w:tcPr>
          <w:p>
            <w:pPr>
              <w:spacing w:after="0"/>
              <w:rPr>
                <w:sz w:val="13"/>
                <w:szCs w:val="13"/>
                <w:color w:val="auto"/>
              </w:rPr>
            </w:pPr>
          </w:p>
        </w:tc>
        <w:tc>
          <w:tcPr>
            <w:tcW w:w="10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1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11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28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116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0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Patient Square Capital LLC</w:t>
            </w:r>
          </w:p>
        </w:tc>
        <w:tc>
          <w:tcPr>
            <w:tcW w:w="720" w:type="dxa"/>
            <w:vAlign w:val="bottom"/>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10,167,956</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line="203" w:lineRule="exact"/>
              <w:rPr>
                <w:sz w:val="20"/>
                <w:szCs w:val="20"/>
                <w:color w:val="auto"/>
              </w:rPr>
            </w:pPr>
            <w:r>
              <w:rPr>
                <w:rFonts w:ascii="Times New Roman" w:cs="Times New Roman" w:eastAsia="Times New Roman" w:hAnsi="Times New Roman"/>
                <w:sz w:val="18"/>
                <w:szCs w:val="18"/>
                <w:color w:val="auto"/>
              </w:rPr>
              <w:t>99%</w:t>
            </w:r>
          </w:p>
        </w:tc>
        <w:tc>
          <w:tcPr>
            <w:tcW w:w="86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10,214,365</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Momtazee</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10,167,956</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w:t>
            </w:r>
          </w:p>
        </w:tc>
        <w:tc>
          <w:tcPr>
            <w:tcW w:w="11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 C. Walker</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Barrett</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50,000</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Stephen Oesterle</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[Exhibit A to Sponsor Support Agreement]</w:t>
      </w:r>
    </w:p>
    <w:p>
      <w:pPr>
        <w:sectPr>
          <w:pgSz w:w="11900" w:h="16838" w:orient="portrait"/>
          <w:cols w:equalWidth="0" w:num="1">
            <w:col w:w="11020"/>
          </w:cols>
          <w:pgMar w:left="440" w:top="266" w:right="439" w:bottom="1440" w:gutter="0" w:footer="0" w:header="0"/>
        </w:sectPr>
      </w:pPr>
    </w:p>
    <w:bookmarkStart w:id="448" w:name="page449"/>
    <w:bookmarkEnd w:id="448"/>
    <w:p>
      <w:pPr>
        <w:ind w:left="49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56" w:lineRule="exact"/>
        <w:rPr>
          <w:sz w:val="20"/>
          <w:szCs w:val="20"/>
          <w:color w:val="auto"/>
        </w:rPr>
      </w:pPr>
    </w:p>
    <w:p>
      <w:pPr>
        <w:ind w:left="424" w:hanging="424"/>
        <w:spacing w:after="0"/>
        <w:tabs>
          <w:tab w:leader="none" w:pos="424"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letter, dated as of October 6, 2020, regarding “administrative support agreement” by and between MAAC and the MAAC Sponsor.</w:t>
      </w:r>
    </w:p>
    <w:p>
      <w:pPr>
        <w:spacing w:after="0" w:line="142"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Subscription Agreement, dated as of July 23, 2020, by and between MAAC and the MAAC Sponsor.</w:t>
      </w:r>
    </w:p>
    <w:p>
      <w:pPr>
        <w:spacing w:after="0" w:line="156" w:lineRule="exact"/>
        <w:rPr>
          <w:sz w:val="20"/>
          <w:szCs w:val="20"/>
          <w:color w:val="auto"/>
        </w:rPr>
      </w:pPr>
    </w:p>
    <w:p>
      <w:pPr>
        <w:ind w:left="3984"/>
        <w:spacing w:after="0"/>
        <w:rPr>
          <w:sz w:val="20"/>
          <w:szCs w:val="20"/>
          <w:color w:val="auto"/>
        </w:rPr>
      </w:pPr>
      <w:r>
        <w:rPr>
          <w:rFonts w:ascii="Times New Roman" w:cs="Times New Roman" w:eastAsia="Times New Roman" w:hAnsi="Times New Roman"/>
          <w:sz w:val="18"/>
          <w:szCs w:val="18"/>
          <w:i w:val="1"/>
          <w:iCs w:val="1"/>
          <w:color w:val="auto"/>
        </w:rPr>
        <w:t>[Exhibit B to Sponsor Support Agreement]</w:t>
      </w:r>
    </w:p>
    <w:p>
      <w:pPr>
        <w:sectPr>
          <w:pgSz w:w="11900" w:h="16838" w:orient="portrait"/>
          <w:cols w:equalWidth="0" w:num="1">
            <w:col w:w="10164"/>
          </w:cols>
          <w:pgMar w:left="436" w:top="266" w:right="1299" w:bottom="1440" w:gutter="0" w:footer="0" w:header="0"/>
        </w:sectPr>
      </w:pPr>
    </w:p>
    <w:bookmarkStart w:id="449" w:name="page450"/>
    <w:bookmarkEnd w:id="44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TRANSACTION SUPPORT AGREEMENT</w:t>
      </w:r>
    </w:p>
    <w:p>
      <w:pPr>
        <w:spacing w:after="0" w:line="203" w:lineRule="exact"/>
        <w:rPr>
          <w:sz w:val="20"/>
          <w:szCs w:val="20"/>
          <w:color w:val="auto"/>
        </w:rPr>
      </w:pPr>
    </w:p>
    <w:p>
      <w:pPr>
        <w:ind w:left="4" w:right="2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TRANSACTION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May 1, 2021, by and among Montes Archimedes Acquisition Corp., a Delaware corporation (“</w:t>
      </w:r>
      <w:r>
        <w:rPr>
          <w:rFonts w:ascii="Times New Roman" w:cs="Times New Roman" w:eastAsia="Times New Roman" w:hAnsi="Times New Roman"/>
          <w:sz w:val="18"/>
          <w:szCs w:val="18"/>
          <w:u w:val="single" w:color="auto"/>
          <w:color w:val="auto"/>
        </w:rPr>
        <w:t>MAAC</w:t>
      </w:r>
      <w:r>
        <w:rPr>
          <w:rFonts w:ascii="Times New Roman" w:cs="Times New Roman" w:eastAsia="Times New Roman" w:hAnsi="Times New Roman"/>
          <w:sz w:val="18"/>
          <w:szCs w:val="18"/>
          <w:color w:val="auto"/>
        </w:rPr>
        <w:t>”), Roivant Sciences Ltd., a Bermuda exempted limited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 a [•] ([collectively,] the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Each of MAAC, the Company and the Shareholder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them in the Business Combination Agreement (as defined below).</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of this Agreement, MAAC, the Company and Rhine Merger Sub, Inc., a Delaware corporation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entered into that certain Business Combination Agreement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4"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Business Combination Agreement contemplates that, on the terms and subject to the conditions therein, (a) on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Closing, the Company will consummate the Company Pre-Closing Steps, and (b) on the Closing Date promptly following consummation of the Company Pre-Closing Steps, Merger Sub will merge with and into MAAC, with MAAC as the surviving corporation in the merger and, after giving effect to such merger, becoming a wholly-owned Subsidiary of the Company;</w:t>
      </w:r>
    </w:p>
    <w:p>
      <w:pPr>
        <w:spacing w:after="0" w:line="176" w:lineRule="exact"/>
        <w:rPr>
          <w:sz w:val="20"/>
          <w:szCs w:val="20"/>
          <w:color w:val="auto"/>
        </w:rPr>
      </w:pPr>
    </w:p>
    <w:p>
      <w:pPr>
        <w:ind w:left="4" w:right="4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Shareholder is, as of the date hereof, the record and beneficial owner of the number and class or series (as applicable)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Pre-Closing Common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(together with any other Company Pre-Closing Common Shares that the Shareholder acquires record or beneficial ownership of after the date hereof and prior to the Effective Time, collectively, the “</w:t>
      </w:r>
      <w:r>
        <w:rPr>
          <w:rFonts w:ascii="Times New Roman" w:cs="Times New Roman" w:eastAsia="Times New Roman" w:hAnsi="Times New Roman"/>
          <w:sz w:val="18"/>
          <w:szCs w:val="18"/>
          <w:u w:val="single" w:color="auto"/>
          <w:color w:val="auto"/>
        </w:rPr>
        <w:t>Subject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the Shareholder under the terms of the Business Combination Agreement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inducement to the Company and MAAC agreeing to enter into and consummate the transactions contemplated by the Business Combination Agreement, the Shareholder agrees to enter into this Agreement and to be bound by the agreements, covenants and obligations contained in this Agreement; and</w:t>
      </w:r>
    </w:p>
    <w:p>
      <w:pPr>
        <w:spacing w:after="0" w:line="176"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the Company and MAAC would not have entered into and agreed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the Business Combination Agreement without the Shareholder entering into this Agreement and agreeing to be bound by the agreements, covenants and obligations contained in this Agreement.</w:t>
      </w:r>
    </w:p>
    <w:p>
      <w:pPr>
        <w:spacing w:after="0" w:line="171"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each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715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2" w:lineRule="exact"/>
        <w:rPr>
          <w:sz w:val="20"/>
          <w:szCs w:val="20"/>
          <w:color w:val="auto"/>
        </w:rPr>
      </w:pPr>
    </w:p>
    <w:p>
      <w:pPr>
        <w:ind w:left="424" w:hanging="424"/>
        <w:spacing w:after="0"/>
        <w:tabs>
          <w:tab w:leader="none" w:pos="424" w:val="left"/>
        </w:tabs>
        <w:numPr>
          <w:ilvl w:val="0"/>
          <w:numId w:val="3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With respect to institutional investors, this Agreement is to be executed by all entities that hold Company Pre-Closing Common Shares.</w:t>
      </w:r>
    </w:p>
    <w:p>
      <w:pPr>
        <w:sectPr>
          <w:pgSz w:w="11900" w:h="16838" w:orient="portrait"/>
          <w:cols w:equalWidth="0" w:num="1">
            <w:col w:w="11024"/>
          </w:cols>
          <w:pgMar w:left="436" w:top="117" w:right="439" w:bottom="1440" w:gutter="0" w:footer="0" w:header="0"/>
        </w:sectPr>
      </w:pPr>
    </w:p>
    <w:bookmarkStart w:id="450" w:name="page451"/>
    <w:bookmarkEnd w:id="45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w:t>
      </w:r>
    </w:p>
    <w:p>
      <w:pPr>
        <w:spacing w:after="0" w:line="229" w:lineRule="exact"/>
        <w:rPr>
          <w:sz w:val="20"/>
          <w:szCs w:val="20"/>
          <w:color w:val="auto"/>
        </w:rPr>
      </w:pPr>
    </w:p>
    <w:p>
      <w:pPr>
        <w:ind w:left="-20" w:firstLine="436"/>
        <w:spacing w:after="0" w:line="253" w:lineRule="auto"/>
        <w:tabs>
          <w:tab w:leader="none" w:pos="6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Shareholder Consent and Related Matters.</w:t>
      </w:r>
      <w:r>
        <w:rPr>
          <w:rFonts w:ascii="Times New Roman" w:cs="Times New Roman" w:eastAsia="Times New Roman" w:hAnsi="Times New Roman"/>
          <w:sz w:val="18"/>
          <w:szCs w:val="18"/>
          <w:color w:val="auto"/>
        </w:rPr>
        <w:t xml:space="preserve"> Prior to the earlier of (A) the termination of this Agreement in accordance with its terms and (B) the Effective Time, (i) to the extent that it is necessary or reasonably advisable, in each case, as mutually reasonably determined and agreed by MAAC and the Company (such determination and agreement not to be unreasonably withheld, conditioned or delayed by either MAAC or the Company, as applicable) for matters, actions or proposals to be approved by the Shareholder in connection with, or otherwise in furtherance of, the transactions contemplated by the Business Combination Agreement and/or the Ancillary Documents, if any, the Shareholder shall vote (or cause to be voted) the Subject Company Shares in favor of and/or consent to any such matters, actions or proposals promptly following written request thereof from MAAC and the Company,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Shareholder shall not be required to vote for, or consent to, any action that would result in any adverse economic or other material changes to the form of the Business Combination Agreement and/or the Ancillary Documents as approved by the Board of Directors of the Company on or prior to the date hereof (any such action, an “</w:t>
      </w:r>
      <w:r>
        <w:rPr>
          <w:rFonts w:ascii="Times New Roman" w:cs="Times New Roman" w:eastAsia="Times New Roman" w:hAnsi="Times New Roman"/>
          <w:sz w:val="18"/>
          <w:szCs w:val="18"/>
          <w:u w:val="single" w:color="auto"/>
          <w:color w:val="auto"/>
        </w:rPr>
        <w:t>Adverse Action</w:t>
      </w:r>
      <w:r>
        <w:rPr>
          <w:rFonts w:ascii="Times New Roman" w:cs="Times New Roman" w:eastAsia="Times New Roman" w:hAnsi="Times New Roman"/>
          <w:sz w:val="18"/>
          <w:szCs w:val="18"/>
          <w:color w:val="auto"/>
        </w:rPr>
        <w:t>”)), and (ii) the Shareholder shall vote (or cause to be voted) the Subject Company Shares against and withhold consent with respect to (A) any Company Acquisition Proposal or (B) any other matter, action or proposal that would reasonably be expected to result in (x) a breach of any of the Company’s covenants, agreements or obligations under the Business Combination Agreement or (y) any of the conditions to the Closing set forth in Article VI of the Business Combination Agreement not being satisfied.</w:t>
      </w:r>
    </w:p>
    <w:p>
      <w:pPr>
        <w:spacing w:after="0" w:line="187"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20" w:firstLine="987"/>
        <w:spacing w:after="0" w:line="258" w:lineRule="auto"/>
        <w:tabs>
          <w:tab w:leader="none" w:pos="1216"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Shareholder and the Company hereby agrees that, notwithstanding anything to the contrary in any such agreement, (i) each of the agreements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the other Group Companies and, from and after the Effective Time, MAAC and its Affiliates) shall have any further Liabilities under each such agreement.</w:t>
      </w:r>
    </w:p>
    <w:p>
      <w:pPr>
        <w:spacing w:after="0" w:line="183" w:lineRule="exact"/>
        <w:rPr>
          <w:rFonts w:ascii="Times New Roman" w:cs="Times New Roman" w:eastAsia="Times New Roman" w:hAnsi="Times New Roman"/>
          <w:sz w:val="18"/>
          <w:szCs w:val="18"/>
          <w:color w:val="auto"/>
        </w:rPr>
      </w:pPr>
    </w:p>
    <w:p>
      <w:pPr>
        <w:ind w:left="-20" w:right="180" w:firstLine="987"/>
        <w:spacing w:after="0" w:line="266" w:lineRule="auto"/>
        <w:tabs>
          <w:tab w:leader="none" w:pos="1226"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acknowledges and agrees that the Shareholder is, and during the term of this Agreement shall continue to be, bound by the confidentiality obligations set forth in the Sixth Amended and Restated Shareholders Agreement, dated June 17, 2020, by and among the Company and the Company Shareholders party thereto (the “</w:t>
      </w:r>
      <w:r>
        <w:rPr>
          <w:rFonts w:ascii="Times New Roman" w:cs="Times New Roman" w:eastAsia="Times New Roman" w:hAnsi="Times New Roman"/>
          <w:sz w:val="18"/>
          <w:szCs w:val="18"/>
          <w:u w:val="single" w:color="auto"/>
          <w:color w:val="auto"/>
        </w:rPr>
        <w:t>Shareholders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 w:firstLine="987"/>
        <w:spacing w:after="0" w:line="268" w:lineRule="auto"/>
        <w:tabs>
          <w:tab w:leader="none" w:pos="1216" w:val="left"/>
        </w:tabs>
        <w:numPr>
          <w:ilvl w:val="1"/>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Shareholder shall not, and the Shareholder shall cause its controlled Affiliates and its and their respective officers and directors not to, and shall use reasonable best efforts to cause its other Representatives not to, at or at any time prior to the Effective Time, issue any press releases or make any public announcements with respect to this Agreement, the Business Combination Agreement or the transactions contemplated hereby or thereby that contain any information that is not, at the applicable time, already publicly available (other than as a result of disclosure by the Shareholder in violation of any applicable confidentiality obligations) without the prior written consent of the Company and MAAC;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Shareholder and its Representatives may issue or make, as applicable, any such press release, public announcement or other communication if such press release, public announcement or other communication is required by applicable Law or applicable rule of a stock exchange on which its or any of its Affiliates’ securities are listed, in which case the Shareholder or its applicable Representatives shall, to the extent reasonably practicable and unless and to the extent prohibited by such applicable Law, reasonably consult with the Company and MAAC in connection therewith and provide the Company and MAAC with an opportunity to review and comment on such press release, public announcement or communication and shall consider any such comments in good faith. Notwithstanding anything to the contrary in this </w:t>
      </w:r>
      <w:r>
        <w:rPr>
          <w:rFonts w:ascii="Times New Roman" w:cs="Times New Roman" w:eastAsia="Times New Roman" w:hAnsi="Times New Roman"/>
          <w:sz w:val="17"/>
          <w:szCs w:val="17"/>
          <w:u w:val="single" w:color="auto"/>
          <w:color w:val="auto"/>
        </w:rPr>
        <w:t>Section 2(c)</w:t>
      </w:r>
      <w:r>
        <w:rPr>
          <w:rFonts w:ascii="Times New Roman" w:cs="Times New Roman" w:eastAsia="Times New Roman" w:hAnsi="Times New Roman"/>
          <w:sz w:val="17"/>
          <w:szCs w:val="17"/>
          <w:color w:val="auto"/>
        </w:rPr>
        <w:t xml:space="preserve"> or otherwise in this Agreement, the Shareholder and its Representatives may provide general information about the subject matter of this Agreement, the Business Combination Agreement and the transactions contemplated hereby and thereby (1) to their respective affiliates, their and their affiliates’ respective directors, officers, employees, partners, members, agents, attorneys, consultants and financial and other advisors, and potential sources of capital (including potential limited partners), (2)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60" w:top="266" w:right="479" w:bottom="1440" w:gutter="0" w:footer="0" w:header="0"/>
        </w:sectPr>
      </w:pPr>
    </w:p>
    <w:bookmarkStart w:id="451" w:name="page452"/>
    <w:bookmarkEnd w:id="451"/>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required by any federal, state, national, foreign or other regulatory or self-regulatory authority having jurisdiction over the Shareholder or its Representatives, (3) to any Person if necessary to effect compliance with any law, rule, regulation, investigation, audit, request or order of a Governmental Entity of competent jurisdiction that is applicable to the Shareholder or its Representatives, including in response to any subpoena or other legal process, audit or examinations or (4) to any direct or indirect former, current or prospective investor or in connection with normal fund raising or related marketing or informational or reporting activities (so long as, in the case of this clause (4), the recipients of such information are subject to customary confidentiality obligations prior to the receipt of such information);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in the case of the foregoing clause (1), the recipients of such information are subject to policies to protect such confidential information or agree to hold confidential the information in a manner substantially consistent with the terms of the confidentiality provisions of the Shareholders Agreement and that, in the case of the foregoing clauses</w:t>
      </w:r>
    </w:p>
    <w:p>
      <w:pPr>
        <w:jc w:val="both"/>
        <w:ind w:left="4" w:right="80" w:hanging="4"/>
        <w:spacing w:after="0" w:line="265" w:lineRule="auto"/>
        <w:tabs>
          <w:tab w:leader="none" w:pos="259"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and (3), the Shareholder or its Representatives promptly notifies the Company of such disclosure to the extent the Shareholder or its Representatives are legally permitted to give such notice and it is reasonably practicable;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no such notice shall be required where disclosure is made</w:t>
      </w:r>
    </w:p>
    <w:p>
      <w:pPr>
        <w:ind w:left="4"/>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in response to and required by a general request by a regulatory or self-regulatory authority of competent jurisdiction or (y) in connection with and required by a routine audit or examination by a bank examiner or auditor and such audit or examination does not reference the Company, this Agreement or the Business Combination Agreement.</w:t>
      </w:r>
    </w:p>
    <w:p>
      <w:pPr>
        <w:spacing w:after="0" w:line="185" w:lineRule="exact"/>
        <w:rPr>
          <w:rFonts w:ascii="Times New Roman" w:cs="Times New Roman" w:eastAsia="Times New Roman" w:hAnsi="Times New Roman"/>
          <w:sz w:val="17"/>
          <w:szCs w:val="17"/>
          <w:color w:val="auto"/>
        </w:rPr>
      </w:pPr>
    </w:p>
    <w:p>
      <w:pPr>
        <w:ind w:left="4" w:right="80" w:firstLine="987"/>
        <w:spacing w:after="0" w:line="256" w:lineRule="auto"/>
        <w:tabs>
          <w:tab w:leader="none" w:pos="125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Shareholder (i) shall be bound by and subject to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(Trust Account Waiver) of the Business Combination Agreement to the same extent as such provisions apply to the Company, as if the Shareholder is directly party thereto, and (ii) shall vote its Company Pre-Closing Common Shares, exercise its director appointment and termination rights, execute any documents and otherwise use its reasonable best efforts to take, or cause to be taken, all actions, in each case, as may be necessary or appropriate so that, immediately after the Effective Time, the Company Board consists of the number of directors, and is comprised of the individuals, determined pursuant to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 xml:space="preserve"> (Post-Closing Directors) of the Business Combination Agreement.</w:t>
      </w:r>
    </w:p>
    <w:p>
      <w:pPr>
        <w:spacing w:after="0" w:line="187"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4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transactions contemplated by the PIPE Subscription Agreement entered into by and among the Shareholder, the Company and MAAC on the date hereof (the “</w:t>
      </w:r>
      <w:r>
        <w:rPr>
          <w:rFonts w:ascii="Times New Roman" w:cs="Times New Roman" w:eastAsia="Times New Roman" w:hAnsi="Times New Roman"/>
          <w:sz w:val="18"/>
          <w:szCs w:val="18"/>
          <w:u w:val="single" w:color="auto"/>
          <w:color w:val="auto"/>
        </w:rPr>
        <w:t>Shareholder PIPE Subscription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if applicable, the Shareholder hereby agrees to promptly execute and deliver all additional agreements, documents or instruments, take, or cause to be taken, all actions and provide, or cause to be provided, all additional information or other materials as may be necessary or reasonably advisable, in each case, as mutually reasonably determined and agreed to by MAAC and the Company (such determination and agreement not to be unreasonably withheld, conditioned or delayed by either MAAC or the Company), in connection with, or otherwise in furtherance of, the transactions and the other covenants and agreements contemplated by the Business Combination Agreement or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Shareholder be obligated to take, approve or consent to an Adverse Action). Notwithstanding the foregoing, the Shareholder shall not be required to provide any information which is, based on the advice of outside counsel, subject to legal privilege.</w:t>
      </w:r>
    </w:p>
    <w:p>
      <w:pPr>
        <w:spacing w:after="0" w:line="188"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hereby acknowledges and agrees that, in connection with the consummation of the Company Pre-Closing Steps on the Closing Date, all of the Non-Voting Common Shares held by the Shareholder as of immediately prior to such consummation of the Company Pre-Closing Steps will be converted on a one for one basis into voting Company Pre-Closing Common Shares (the “</w:t>
      </w:r>
      <w:r>
        <w:rPr>
          <w:rFonts w:ascii="Times New Roman" w:cs="Times New Roman" w:eastAsia="Times New Roman" w:hAnsi="Times New Roman"/>
          <w:sz w:val="18"/>
          <w:szCs w:val="18"/>
          <w:u w:val="single" w:color="auto"/>
          <w:color w:val="auto"/>
        </w:rPr>
        <w:t>Share Conversion</w:t>
      </w:r>
      <w:r>
        <w:rPr>
          <w:rFonts w:ascii="Times New Roman" w:cs="Times New Roman" w:eastAsia="Times New Roman" w:hAnsi="Times New Roman"/>
          <w:sz w:val="18"/>
          <w:szCs w:val="18"/>
          <w:color w:val="auto"/>
        </w:rPr>
        <w:t xml:space="preserve">”), subject to the prior expiration or termination of the applicable waiting period under the HSR Act with respect to such Share Conversion. Without limiting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the Shareholder shall use reasonable best efforts to take any actions reasonably necessary or appropriate to cause the Share Conversion to be consummated, including by (A) making any appropriate filings pursuant to the HSR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5464" w:right="4380" w:hanging="5464"/>
        <w:spacing w:after="0" w:line="458" w:lineRule="auto"/>
        <w:tabs>
          <w:tab w:leader="none" w:pos="433" w:val="left"/>
        </w:tabs>
        <w:numPr>
          <w:ilvl w:val="0"/>
          <w:numId w:val="34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color w:val="auto"/>
        </w:rPr>
        <w:t xml:space="preserve">Note to Draft: </w:t>
      </w:r>
      <w:r>
        <w:rPr>
          <w:rFonts w:ascii="Times New Roman" w:cs="Times New Roman" w:eastAsia="Times New Roman" w:hAnsi="Times New Roman"/>
          <w:sz w:val="18"/>
          <w:szCs w:val="18"/>
          <w:color w:val="auto"/>
        </w:rPr>
        <w:t>To be included for Company shareholders that are also PIPE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452" w:name="page453"/>
    <w:bookmarkEnd w:id="452"/>
    <w:p>
      <w:pPr>
        <w:ind w:left="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Share Conversion as promptly as reasonably practicable (and in any event within ten (10) Business Days) following the date of this Agreement, (B) obtaining any other approvals of any Governmental Entity as may be required in connection with the Share Conversion and</w:t>
      </w:r>
    </w:p>
    <w:p>
      <w:pPr>
        <w:ind w:left="4" w:hanging="4"/>
        <w:spacing w:after="0" w:line="251" w:lineRule="auto"/>
        <w:tabs>
          <w:tab w:leader="none" w:pos="28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as promptly as reasonably practicable to any requests by any Governmental Entity for additional information and documentary material that may be requested pursuant to the HSR Act or in connection with such other required approvals of any Governmental Entity. Without limiting the foregoing, the Shareholder and its applicable Affiliates shall not extend any waiting period, review period or comparable period under the HSR Act or in connection with such other required approvals of any Governmental Entity or enter into any agreement with any Governmental Entity not to consummate the Share Conversion except with the prior written consent of the Company and MAAC. The Shareholder shall promptly inform the Company and MAAC of any communication received by the Shareholder from any Governmental Entity regarding the Share Conversion. The Shareholder shall give the Company and its counsel, and MAAC and its counsel, a reasonable opportunity to review in advance, and consider in good faith the views thereof in connection with, any proposed written communication to any Governmental Entity relating to the Share Conversion. The Shareholder agrees not to participate in any substantive meeting or discussion, either in person or by telephone with any Governmental Entity in connection with the Share Conversion unless it consults with the Company and MAAC in advance and, to the extent not prohibited by such Governmental Entity, gives the Company and MAAC the opportunity to attend and participate in such meeting or discussion.]</w:t>
      </w:r>
      <w:r>
        <w:rPr>
          <w:rFonts w:ascii="Times New Roman" w:cs="Times New Roman" w:eastAsia="Times New Roman" w:hAnsi="Times New Roman"/>
          <w:sz w:val="15"/>
          <w:szCs w:val="15"/>
          <w:color w:val="auto"/>
        </w:rPr>
        <w:t>3</w:t>
      </w:r>
    </w:p>
    <w:p>
      <w:pPr>
        <w:spacing w:after="0" w:line="192" w:lineRule="exact"/>
        <w:rPr>
          <w:rFonts w:ascii="Times New Roman" w:cs="Times New Roman" w:eastAsia="Times New Roman" w:hAnsi="Times New Roman"/>
          <w:sz w:val="18"/>
          <w:szCs w:val="18"/>
          <w:color w:val="auto"/>
        </w:rPr>
      </w:pPr>
    </w:p>
    <w:p>
      <w:pPr>
        <w:ind w:left="4" w:right="40" w:firstLine="987"/>
        <w:spacing w:after="0" w:line="267" w:lineRule="auto"/>
        <w:tabs>
          <w:tab w:leader="none" w:pos="1250" w:val="left"/>
        </w:tabs>
        <w:numPr>
          <w:ilvl w:val="1"/>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Section 2(e), the Shareholder shall use reasonable best efforts to consummate the Shareholder PIPE Subscription, including by (A) making any appropriate filings pursuant to the HSR Act with respect to the Shareholder PIPE Subscription as promptly as reasonably practicable (and in any event within ten (10) Business Days) following the date of this Agreement, (B) obtaining any other approvals of any Governmental Entity as may be required in connection with the Shareholder PIPE Subscription and (C) responding as promptly as reasonably practicable to any requests by any Governmental Entity for additional information and documentary material that may be requested pursuant to the HSR Act or in connection with such other required approvals of any Governmental Entity. Without limiting the foregoing, the Shareholder and its applicable Affiliates shall not extend any waiting period, review period or comparable period under the HSR Act or in connection with such other required approvals of any Governmental Entity except with the prior written consent of the Company and MAAC. Notwithstanding anything to the contrary contained herein, it is expressly understood and agreed that: (i) the Shareholder shall have no obligation to litigate or contest any Proceeding in respect of such filings and approvals and (ii) the Shareholder shall be under no obligation to proffer, make proposals, negotiate, execute, carry out or submit to agreements or Orders providing for (A) the sale, transfer, license, divestiture, encumbrance or other disposition or holding separate (through the establishment of a trust or otherwise) of any assets, categories of assets, operations or categories of operations of the Shareholder or any of its Affiliates,</w:t>
      </w:r>
    </w:p>
    <w:p>
      <w:pPr>
        <w:ind w:left="4" w:right="20" w:hanging="4"/>
        <w:spacing w:after="0" w:line="251" w:lineRule="auto"/>
        <w:tabs>
          <w:tab w:leader="none" w:pos="28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discontinuation of any product or service of the Shareholder or any of its Affiliates, or (C) the imposition of any limitation or regulation on the ability of the Shareholder or any of its Affiliates to freely conduct their business or own their respective assets. The Shareholder shall promptly inform the Company and MAAC of any communication received by the Shareholder from any Governmental Entity regarding the Shareholder PIPE Subscription. The Shareholder shall give the Company and its counsel, and MAAC and its counsel, a reasonable opportunity to review in advance, and consider in good faith the views thereof in connection with, any proposed written communication to any Governmental Entity relating to the Shareholder PIPE Subscription. The Shareholder agrees not to participate in any substantive meeting or discussion, either in person or by telephone with any Governmental Entity in connection with the Shareholder PIPE Subscription unless it consults with the Company and MAAC in advance and, to the extent not prohibited by such Governmental Entity, gives the Company and MAAC the opportunity to attend and participate in such meeting or discussion. For the avoidance of doubt, it is hereby acknowledged and agreed that nothing in this Agreement shall limit the conditions set forth in Section 3(a) and 3(c) of the PIPE Subscription Agreement entered into in connection with the Shareholder PIPE Subscription.]</w:t>
      </w: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2" w:lineRule="exact"/>
        <w:rPr>
          <w:sz w:val="20"/>
          <w:szCs w:val="20"/>
          <w:color w:val="auto"/>
        </w:rPr>
      </w:pPr>
    </w:p>
    <w:p>
      <w:pPr>
        <w:ind w:left="424" w:hanging="424"/>
        <w:spacing w:after="0"/>
        <w:tabs>
          <w:tab w:leader="none" w:pos="424" w:val="left"/>
        </w:tabs>
        <w:numPr>
          <w:ilvl w:val="0"/>
          <w:numId w:val="3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To be included for the Founder.</w:t>
      </w:r>
    </w:p>
    <w:p>
      <w:pPr>
        <w:spacing w:after="0" w:line="30" w:lineRule="exact"/>
        <w:rPr>
          <w:sz w:val="20"/>
          <w:szCs w:val="20"/>
          <w:color w:val="auto"/>
        </w:rPr>
      </w:pPr>
    </w:p>
    <w:p>
      <w:pPr>
        <w:ind w:left="424" w:right="760" w:hanging="424"/>
        <w:spacing w:after="0" w:line="262" w:lineRule="auto"/>
        <w:tabs>
          <w:tab w:leader="none" w:pos="424" w:val="left"/>
        </w:tabs>
        <w:numPr>
          <w:ilvl w:val="0"/>
          <w:numId w:val="34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To be included for Shareholders whose participation in the PIPE Financing requires an HSR filing or other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453" w:name="page454"/>
    <w:bookmarkEnd w:id="453"/>
    <w:p>
      <w:pPr>
        <w:ind w:left="4" w:right="40" w:firstLine="987"/>
        <w:spacing w:after="0" w:line="282" w:lineRule="auto"/>
        <w:tabs>
          <w:tab w:leader="none" w:pos="125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Shareholder agrees not to participate in any Piggyback Registration (as defined in the Registration Rights Agreement) pursuant to Section 2 of the Registration Rights Agreement during the Holdback Period (as defined in the Registration Rights Agreement).]</w:t>
      </w:r>
      <w:r>
        <w:rPr>
          <w:rFonts w:ascii="Times New Roman" w:cs="Times New Roman" w:eastAsia="Times New Roman" w:hAnsi="Times New Roman"/>
          <w:sz w:val="15"/>
          <w:szCs w:val="15"/>
          <w:color w:val="auto"/>
        </w:rPr>
        <w:t>5</w:t>
      </w:r>
    </w:p>
    <w:p>
      <w:pPr>
        <w:spacing w:after="0" w:line="161"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1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acknowledges and agrees that MAAC and the Company are entering into the Business Combination Agreement in reliance upon the Shareholder entering into this Agreement and agreeing to be bound by, and perform, or otherwise comply with, as applicable, the agreements, covenants and obligations contained in this Agreement and, but for the Shareholder entering into this Agreement and agreeing to be bound by, and perform, or otherwise comply with, as applicable, the agreements, covenants and obligations contained in this Agreement, MAAC and the Company would not have entered into or agreed to consummate the transactions contemplated by the Business Combination Agreement.</w:t>
      </w:r>
    </w:p>
    <w:p>
      <w:pPr>
        <w:spacing w:after="0" w:line="18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Representations and Warranties</w:t>
      </w:r>
      <w:r>
        <w:rPr>
          <w:rFonts w:ascii="Times New Roman" w:cs="Times New Roman" w:eastAsia="Times New Roman" w:hAnsi="Times New Roman"/>
          <w:sz w:val="18"/>
          <w:szCs w:val="18"/>
          <w:color w:val="auto"/>
        </w:rPr>
        <w:t>. The Shareholder represents and warrants to MAAC as follows:</w:t>
      </w:r>
    </w:p>
    <w:p>
      <w:pPr>
        <w:spacing w:after="0" w:line="225"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4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is not an individual, the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79"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7"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(if not an individual) has the requisite corporate, limited liability company or other similar power and authority and, if the Shareholder is an individual, legal capacity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The execution and delivery of this Agreement has been duly authorized by all necessary corporate or other action on the part of the Shareholder. This Agreement has been duly and validly executed and delivered by the Shareholder and constitutes a valid, legal and binding agreement of the Shareholder (assuming that this Agreement is duly authorized, executed and delivered by MAAC and the Company), enforceable against the Shareholder in accordance with its terms (subject to applicable bankruptcy, insolvency, reorganization, moratorium or other Laws affecting generally the enforcement of creditors’ rights and subject to general principles of equity).</w:t>
      </w:r>
    </w:p>
    <w:p>
      <w:pPr>
        <w:spacing w:after="0" w:line="188"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Entity is required on the part of the Shareholder with respect to the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reasonably be expected to adversely affect the ability of the Shareholder to perform, or otherwise comply with, any of his, her or its covenants, agreements or obligations hereunder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424" w:hanging="424"/>
        <w:spacing w:after="0"/>
        <w:tabs>
          <w:tab w:leader="none" w:pos="424" w:val="left"/>
        </w:tabs>
        <w:numPr>
          <w:ilvl w:val="0"/>
          <w:numId w:val="3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To be included for the Founder and Matthew Gline.</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54" w:name="page455"/>
    <w:bookmarkEnd w:id="454"/>
    <w:p>
      <w:pPr>
        <w:ind w:left="4" w:firstLine="987"/>
        <w:spacing w:after="0" w:line="253" w:lineRule="auto"/>
        <w:tabs>
          <w:tab w:leader="none" w:pos="125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the due execution and delivery of the Company Shareholder Written Consent and that certain Large Lot Shareholders’ Consent and Waiver and Founder’s Waiver relating to the transactions contemplated by the Business Combination Agreement on or prior to the date hereof, none of the execution or delivery of this Agreement by the Shareholder, the performance by the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if the Shareholder is not an individual, result in any breach of any provision of the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the Shareholder is a party, (iii) violate, or constitute a breach under, any Order or applicable Law to which the Shareholder or any of his, her or its properties or assets are bound or (iv) result in the creation of any Lien upon the Subject Company Shares (other than as expressly provided under this Agreement),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as would not reasonably be expected to adversely affect the ability of the Shareholder to perform, or otherwise comply with, any of his, her or its covenants, agreements or obligations hereunder in any material respect.</w:t>
      </w:r>
    </w:p>
    <w:p>
      <w:pPr>
        <w:spacing w:after="0" w:line="189" w:lineRule="exact"/>
        <w:rPr>
          <w:rFonts w:ascii="Times New Roman" w:cs="Times New Roman" w:eastAsia="Times New Roman" w:hAnsi="Times New Roman"/>
          <w:sz w:val="18"/>
          <w:szCs w:val="18"/>
          <w:color w:val="auto"/>
        </w:rPr>
      </w:pPr>
    </w:p>
    <w:p>
      <w:pPr>
        <w:ind w:left="4" w:right="20" w:firstLine="987"/>
        <w:spacing w:after="0" w:line="272" w:lineRule="auto"/>
        <w:tabs>
          <w:tab w:leader="none" w:pos="1240" w:val="left"/>
        </w:tabs>
        <w:numPr>
          <w:ilvl w:val="1"/>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Shareholder is, as of the date hereof, the record and beneficial owner of the Company Pre-Closing Common Shares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The Shareholder has the sole right to vote (and provide consent in respect of, as applicable) the Subject Company Shares and, except for this Agreement, the Business Combination Agreement and the Company Shareholders Agreement, the Shareholder is not party to or bound by</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1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purchase right or other Contract that would reasonably be expected (either alone or in connection with one or more events, developments or events (including the satisfaction or waiver of any conditions precedent)) to require the Shareholder to Transfer any of the Subject Company Shares or (ii) any voting trust, proxy or other Contract with respect to the voting or Transfer of any of the Subject Company Shares (other than the Company Shareholders Agreement and the other Governing Documents of the Company) that would reasonably be expected to adversely affect the ability of the Shareholder to perform, or otherwise comply with, any of his, her or its covenants, agreements or obligations hereunder in any material respect.</w:t>
      </w:r>
    </w:p>
    <w:p>
      <w:pPr>
        <w:spacing w:after="0" w:line="189"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2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Shareholder’s knowledge, threatened against or involving the Shareholder or any of his, her or its Affiliates that, if adversely decided or resolved, would reasonably be expected to adversely affect the ability of the Shareholder to perform, or otherwise comply with, any of its covenants, agreements or obligations under this Agreement in any material respect.</w:t>
      </w:r>
    </w:p>
    <w:p>
      <w:pPr>
        <w:spacing w:after="0" w:line="175"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on his, her or its own behalf and on behalf of his, her or its Representatives, acknowledges, represents, warrants and agrees that he, she or it has conducted his, her or its own independent review and analysis of, and, based thereon, has formed an independent judgment concerning, the business, assets, condition, operations and prospects of, MAAC and the transactions contemplated by this Agreement, the Business Combination Agreement and the other applicable Ancillary Documents to which he, she or it is or will be a party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455" w:name="page456"/>
    <w:bookmarkEnd w:id="455"/>
    <w:p>
      <w:pPr>
        <w:ind w:firstLine="987"/>
        <w:spacing w:after="0" w:line="253" w:lineRule="auto"/>
        <w:tabs>
          <w:tab w:leader="none" w:pos="1246"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entering into this Agreement and the other Ancillary Documents to which he, she or it is or will be a party, the Shareholder has relied solely on his, her or its own investigation and analysis and the representations and warranties expressly set forth in the Ancillary Documents to which he, she or it is or will be a party (including the PIPE Subscription Agreement entered into by and among the Shareholder, the Company and MAAC on the date hereof, if applicable) and no other representations or warranties of MAAC, the Company or any other Person, either express or implied, and the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(including the PIPE Subscription Agreement entered into by and among the Shareholder, the Company and MAAC on the date hereof, if applicable), none of MAAC, the Company or any other Person makes or has made any representation or warranty, either express or implied, to the Shareholder in connection with or related to this Agreement, the Business Combination Agreement or the other Ancillary Documents or the transactions contemplated hereby or thereby.</w:t>
      </w:r>
    </w:p>
    <w:p>
      <w:pPr>
        <w:spacing w:after="0" w:line="194" w:lineRule="exact"/>
        <w:rPr>
          <w:rFonts w:ascii="Times New Roman" w:cs="Times New Roman" w:eastAsia="Times New Roman" w:hAnsi="Times New Roman"/>
          <w:sz w:val="18"/>
          <w:szCs w:val="18"/>
          <w:color w:val="auto"/>
        </w:rPr>
      </w:pPr>
    </w:p>
    <w:p>
      <w:pPr>
        <w:ind w:right="280" w:firstLine="436"/>
        <w:spacing w:after="0" w:line="258" w:lineRule="auto"/>
        <w:tabs>
          <w:tab w:leader="none" w:pos="62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and MAAC Acknowledgement</w:t>
      </w:r>
      <w:r>
        <w:rPr>
          <w:rFonts w:ascii="Times New Roman" w:cs="Times New Roman" w:eastAsia="Times New Roman" w:hAnsi="Times New Roman"/>
          <w:sz w:val="18"/>
          <w:szCs w:val="18"/>
          <w:color w:val="auto"/>
        </w:rPr>
        <w:t>. In entering into this Agreement, the Business Combination Agreement and the other Ancillary Documents to it is or will be a party, each of the Company and MAAC have not relied on any representations or warranties of the Shareholder, either express or implied, except for the representations and warranties of the Shareholder expressly set forth in this Agreement or in the other Ancillary Documents to which he, she or it is or will be a party (including the PIPE Subscription Agreement entered into by and among the Shareholder, the Company and MAAC on the date hereof, if applicable).</w:t>
      </w:r>
    </w:p>
    <w:p>
      <w:pPr>
        <w:spacing w:after="0" w:line="183" w:lineRule="exact"/>
        <w:rPr>
          <w:rFonts w:ascii="Times New Roman" w:cs="Times New Roman" w:eastAsia="Times New Roman" w:hAnsi="Times New Roman"/>
          <w:sz w:val="18"/>
          <w:szCs w:val="18"/>
          <w:color w:val="auto"/>
        </w:rPr>
      </w:pPr>
    </w:p>
    <w:p>
      <w:pPr>
        <w:ind w:right="20" w:firstLine="436"/>
        <w:spacing w:after="0" w:line="252" w:lineRule="auto"/>
        <w:tabs>
          <w:tab w:leader="none" w:pos="62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Subject Securities</w:t>
      </w:r>
      <w:r>
        <w:rPr>
          <w:rFonts w:ascii="Times New Roman" w:cs="Times New Roman" w:eastAsia="Times New Roman" w:hAnsi="Times New Roman"/>
          <w:sz w:val="18"/>
          <w:szCs w:val="18"/>
          <w:color w:val="auto"/>
        </w:rPr>
        <w:t xml:space="preserve">. From and after the date hereof and until the earlier of (A) the termination of this Agreement in accordance with its terms and (B) the Effective Time, the Shareholder agrees not to (a) Transfer any of the Subject Company Shares, (b) enter into (i) any option, warrant, purchase right, or other Contract that would reasonably be expected (either alone or in connection with one or more events, developments or events (including the satisfaction or waiver of any conditions precedent)) to require the Shareholder to Transfer the Subject Company Shares or (ii) any voting trust, proxy or other Contract with respect to the voting or Transfer of the Subject Company Shares, or (c) take any actions in furtherance of any of the matters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unless, in the case of clauses (a) through (c), the Shareholder causes any transferee of any such Transfer to enter into a written agreement in form and substance reasonably satisfactory to MAAC and the Company agreeing to be bound by this Agreement (which will include, for the avoidance of doubt, all of the covenants, agreements and obligations of the Shareholder hereunder and the making of all the representations and warranties of the Shareholder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with respect to such transferee and his, her or its Subject Company Shares received upon such Transfer, as applicable) prior and as a condition to the occurrence of such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Shareholder is not an individual, a Transfer of securities in the Shareholder by an equityholder of the Shareholder shall not require the transferee to enter into such written agreement so long as (x) following such Transfer, the Shareholder continues to hold the Subject Company Shares and to have the exclusive right to vote and to take all other actions related to the ownership of the Subject Company Shares without restriction and (y) such Transfer would otherwise be permitted under the Shareholders Agreement. For purposes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192" w:lineRule="exact"/>
        <w:rPr>
          <w:rFonts w:ascii="Times New Roman" w:cs="Times New Roman" w:eastAsia="Times New Roman" w:hAnsi="Times New Roman"/>
          <w:sz w:val="18"/>
          <w:szCs w:val="18"/>
          <w:color w:val="auto"/>
        </w:rPr>
      </w:pPr>
    </w:p>
    <w:p>
      <w:pPr>
        <w:ind w:right="40" w:firstLine="436"/>
        <w:spacing w:after="0" w:line="257" w:lineRule="auto"/>
        <w:tabs>
          <w:tab w:leader="none" w:pos="62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affect any Liability on the part of any Party for a Willful Breach of any covenant or agreement set forth in this Agreement prior to such termination or Fraud, (ii)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and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56" w:name="page457"/>
    <w:bookmarkEnd w:id="45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representations and warranties set forth in </w:t>
      </w:r>
      <w:r>
        <w:rPr>
          <w:rFonts w:ascii="Times New Roman" w:cs="Times New Roman" w:eastAsia="Times New Roman" w:hAnsi="Times New Roman"/>
          <w:sz w:val="18"/>
          <w:szCs w:val="18"/>
          <w:u w:val="single" w:color="auto"/>
          <w:color w:val="auto"/>
        </w:rPr>
        <w:t>Sections 3(g)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shall each survive any termination of this Agreement, (iii)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(solely to the extent that it relates to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(Trust Account Waiver) of the Business Combination Agreement) shall survive any termination of this Agreement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and (iv)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shall survive any termination of this Agreement.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this Agreement that is a consequence of an act or a failure to act by the breaching Party with the knowledge that the taking of such act or such failure to act would, or would reasonably be expected to, constitute or result in a breach of this Agreement and (y) “</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an act or omission by a Party, and requires: (A) a false or incorrect representation or warranty expressly set made by such Party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entering into this Agreement, and (E) another Party suffering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190" w:lineRule="exact"/>
        <w:rPr>
          <w:sz w:val="20"/>
          <w:szCs w:val="20"/>
          <w:color w:val="auto"/>
        </w:rPr>
      </w:pPr>
    </w:p>
    <w:p>
      <w:pPr>
        <w:ind w:right="60" w:firstLine="436"/>
        <w:spacing w:after="0" w:line="254" w:lineRule="auto"/>
        <w:tabs>
          <w:tab w:leader="none" w:pos="62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the Shareholder makes no agreement or understanding herein in any capacity other than in such Shareholder’s capacity as a record holder and beneficial owner of the Subject Company Shares and, (i.e., if such Shareholder is an individual, not in such Shareholder’s capacity as a director, officer or employee of any Group Company or in such Shareholder’s capacity as a trustee or fiduciary of any Company Equity Plan, as applicable), and (b) nothing herein will be construed to limit or affect any action or inaction by such Shareholder if such Shareholder is an individual, or, if such Shareholder is not an individual, any representative of such Shareholder serving as a member of the board of directors of any Group Company or as an officer, employee or fiduciary of any Group Company or any Company Equity Plan, in each case, acting in such person’s capacity as a director, officer, employee or fiduciary of such Group Company or any Company Equity Plan.</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MAAC,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Patient Square Capital</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724 Oak Grove, Suite 130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1420"/>
        <w:spacing w:after="0"/>
        <w:tabs>
          <w:tab w:leader="none" w:pos="26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Maria Walker</w:t>
      </w:r>
    </w:p>
    <w:p>
      <w:pPr>
        <w:spacing w:after="0" w:line="9" w:lineRule="exact"/>
        <w:rPr>
          <w:sz w:val="20"/>
          <w:szCs w:val="20"/>
          <w:color w:val="auto"/>
        </w:rPr>
      </w:pPr>
    </w:p>
    <w:p>
      <w:pPr>
        <w:ind w:left="1420"/>
        <w:spacing w:after="0"/>
        <w:tabs>
          <w:tab w:leader="none" w:pos="2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maria@patientsquarecapital.com</w:t>
      </w:r>
    </w:p>
    <w:p>
      <w:pPr>
        <w:spacing w:after="0" w:line="207" w:lineRule="exact"/>
        <w:rPr>
          <w:sz w:val="20"/>
          <w:szCs w:val="20"/>
          <w:color w:val="auto"/>
        </w:rPr>
      </w:pPr>
    </w:p>
    <w:p>
      <w:pPr>
        <w:jc w:val="center"/>
        <w:ind w:right="65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420"/>
        <w:spacing w:after="0"/>
        <w:tabs>
          <w:tab w:leader="none" w:pos="26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Michael Weisser, P.C.; Ryan Brissette</w:t>
      </w:r>
    </w:p>
    <w:p>
      <w:pPr>
        <w:spacing w:after="0" w:line="9" w:lineRule="exact"/>
        <w:rPr>
          <w:sz w:val="20"/>
          <w:szCs w:val="20"/>
          <w:color w:val="auto"/>
        </w:rPr>
      </w:pPr>
    </w:p>
    <w:p>
      <w:pPr>
        <w:ind w:left="1420"/>
        <w:spacing w:after="0"/>
        <w:tabs>
          <w:tab w:leader="none" w:pos="2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michael.weisser@kirkland.com; ryan.brissette@kirkland.com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57" w:name="page458"/>
    <w:bookmarkEnd w:id="4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Roivant Sciences Ltd.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Suite 1, 3rd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11-12 St. James’s Square,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London SW1Y 4LB,</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1420"/>
        <w:spacing w:after="0"/>
        <w:tabs>
          <w:tab w:leader="none" w:pos="2360" w:val="left"/>
        </w:tabs>
        <w:rPr>
          <w:sz w:val="20"/>
          <w:szCs w:val="20"/>
          <w:color w:val="auto"/>
        </w:rPr>
      </w:pPr>
      <w:r>
        <w:rPr>
          <w:rFonts w:ascii="Times New Roman" w:cs="Times New Roman" w:eastAsia="Times New Roman" w:hAnsi="Times New Roman"/>
          <w:sz w:val="18"/>
          <w:szCs w:val="18"/>
          <w:color w:val="auto"/>
        </w:rPr>
        <w:t>Attention:</w:t>
        <w:tab/>
        <w:t>Matthew Gline</w:t>
      </w:r>
    </w:p>
    <w:p>
      <w:pPr>
        <w:spacing w:after="0" w:line="9" w:lineRule="exact"/>
        <w:rPr>
          <w:sz w:val="20"/>
          <w:szCs w:val="20"/>
          <w:color w:val="auto"/>
        </w:rPr>
      </w:pPr>
    </w:p>
    <w:p>
      <w:pPr>
        <w:ind w:left="1420"/>
        <w:spacing w:after="0"/>
        <w:tabs>
          <w:tab w:leader="none" w:pos="2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matthew.gline@roivant.com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legalnotices@roivant.com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42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Derek Dostal; Lee Hochbaum; Brian Wolfe</w:t>
      </w:r>
    </w:p>
    <w:p>
      <w:pPr>
        <w:spacing w:after="0" w:line="9" w:lineRule="exact"/>
        <w:rPr>
          <w:sz w:val="20"/>
          <w:szCs w:val="20"/>
          <w:color w:val="auto"/>
        </w:rPr>
      </w:pPr>
    </w:p>
    <w:p>
      <w:pPr>
        <w:ind w:left="1420"/>
        <w:spacing w:after="0"/>
        <w:tabs>
          <w:tab w:leader="none" w:pos="23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derek.dostal@davispolk.com; lee.hochbaum@davispolk.com;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brian.wolfe@davispolk.com</w:t>
      </w:r>
    </w:p>
    <w:p>
      <w:pPr>
        <w:spacing w:after="0" w:line="99" w:lineRule="exact"/>
        <w:rPr>
          <w:sz w:val="20"/>
          <w:szCs w:val="20"/>
          <w:color w:val="auto"/>
        </w:rPr>
      </w:pPr>
    </w:p>
    <w:p>
      <w:pPr>
        <w:ind w:left="440" w:right="180"/>
        <w:spacing w:after="0" w:line="282" w:lineRule="auto"/>
        <w:rPr>
          <w:sz w:val="20"/>
          <w:szCs w:val="20"/>
          <w:color w:val="auto"/>
        </w:rPr>
      </w:pPr>
      <w:r>
        <w:rPr>
          <w:rFonts w:ascii="Times New Roman" w:cs="Times New Roman" w:eastAsia="Times New Roman" w:hAnsi="Times New Roman"/>
          <w:sz w:val="18"/>
          <w:szCs w:val="18"/>
          <w:color w:val="auto"/>
        </w:rPr>
        <w:t>If to the Shareholder, to the address on the Shareholder’s signature page hereto or to an address of such Shareholder in the books and records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225" w:lineRule="exact"/>
        <w:rPr>
          <w:sz w:val="20"/>
          <w:szCs w:val="20"/>
          <w:color w:val="auto"/>
        </w:rPr>
      </w:pPr>
    </w:p>
    <w:p>
      <w:pPr>
        <w:jc w:val="both"/>
        <w:ind w:right="600" w:firstLine="436"/>
        <w:spacing w:after="0" w:line="261" w:lineRule="auto"/>
        <w:tabs>
          <w:tab w:leader="none" w:pos="62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Business Combination Agreement and documents referred to herein and therein (including the Ancillary Documents) constitute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79" w:lineRule="exact"/>
        <w:rPr>
          <w:rFonts w:ascii="Times New Roman" w:cs="Times New Roman" w:eastAsia="Times New Roman" w:hAnsi="Times New Roman"/>
          <w:sz w:val="18"/>
          <w:szCs w:val="18"/>
          <w:color w:val="auto"/>
        </w:rPr>
      </w:pPr>
    </w:p>
    <w:p>
      <w:pPr>
        <w:ind w:right="20" w:firstLine="436"/>
        <w:spacing w:after="0" w:line="255" w:lineRule="auto"/>
        <w:tabs>
          <w:tab w:leader="none" w:pos="71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xml:space="preserve">. Any provision of this Agreement may be amended or waived if, and only if, such amendment or waiver is in writing and signed by the Shareholder, the Company and MAAC.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the Shareholder or the Company without MAAC’s prior written consent (to be withheld or given in its sole discretion) or by MAAC without the Company’s prior written consent (to be withheld or given in its sole discretion). Any attempted assignment of this Agreement not in accordance with the terms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70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in the case of MAAC and the Company, as otherwise expressly set forth in the Business Combination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175"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71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permitted assigns, any legal or equitable right, benefit or remedy of any nature whatsoever by reason this Agreement. Nothing in this Agreement, expressed or implied, is intended to, or shall be deemed to, create a joint venture.</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458" w:name="page459"/>
    <w:bookmarkEnd w:id="458"/>
    <w:p>
      <w:pPr>
        <w:ind w:left="-20" w:right="780" w:firstLine="436"/>
        <w:spacing w:after="0" w:line="266" w:lineRule="auto"/>
        <w:tabs>
          <w:tab w:leader="none" w:pos="69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8.5</w:t>
      </w:r>
      <w:r>
        <w:rPr>
          <w:rFonts w:ascii="Times New Roman" w:cs="Times New Roman" w:eastAsia="Times New Roman" w:hAnsi="Times New Roman"/>
          <w:sz w:val="18"/>
          <w:szCs w:val="18"/>
          <w:color w:val="auto"/>
        </w:rPr>
        <w:t xml:space="preserve"> (Governing Law), </w:t>
      </w:r>
      <w:r>
        <w:rPr>
          <w:rFonts w:ascii="Times New Roman" w:cs="Times New Roman" w:eastAsia="Times New Roman" w:hAnsi="Times New Roman"/>
          <w:sz w:val="18"/>
          <w:szCs w:val="18"/>
          <w:u w:val="single" w:color="auto"/>
          <w:color w:val="auto"/>
        </w:rPr>
        <w:t>8.7</w:t>
      </w:r>
      <w:r>
        <w:rPr>
          <w:rFonts w:ascii="Times New Roman" w:cs="Times New Roman" w:eastAsia="Times New Roman" w:hAnsi="Times New Roman"/>
          <w:sz w:val="18"/>
          <w:szCs w:val="18"/>
          <w:color w:val="auto"/>
        </w:rPr>
        <w:t xml:space="preserve"> (Construction; Interpretation), </w:t>
      </w:r>
      <w:r>
        <w:rPr>
          <w:rFonts w:ascii="Times New Roman" w:cs="Times New Roman" w:eastAsia="Times New Roman" w:hAnsi="Times New Roman"/>
          <w:sz w:val="18"/>
          <w:szCs w:val="18"/>
          <w:u w:val="single" w:color="auto"/>
          <w:color w:val="auto"/>
        </w:rPr>
        <w:t>8.10</w:t>
      </w:r>
      <w:r>
        <w:rPr>
          <w:rFonts w:ascii="Times New Roman" w:cs="Times New Roman" w:eastAsia="Times New Roman" w:hAnsi="Times New Roman"/>
          <w:sz w:val="18"/>
          <w:szCs w:val="18"/>
          <w:color w:val="auto"/>
        </w:rPr>
        <w:t xml:space="preserve"> (Severability), </w:t>
      </w:r>
      <w:r>
        <w:rPr>
          <w:rFonts w:ascii="Times New Roman" w:cs="Times New Roman" w:eastAsia="Times New Roman" w:hAnsi="Times New Roman"/>
          <w:sz w:val="18"/>
          <w:szCs w:val="18"/>
          <w:u w:val="single" w:color="auto"/>
          <w:color w:val="auto"/>
        </w:rPr>
        <w:t>8.11</w:t>
      </w:r>
      <w:r>
        <w:rPr>
          <w:rFonts w:ascii="Times New Roman" w:cs="Times New Roman" w:eastAsia="Times New Roman" w:hAnsi="Times New Roman"/>
          <w:sz w:val="18"/>
          <w:szCs w:val="18"/>
          <w:color w:val="auto"/>
        </w:rPr>
        <w:t xml:space="preserve"> (Counterparts; Electronic Signatures), </w:t>
      </w:r>
      <w:r>
        <w:rPr>
          <w:rFonts w:ascii="Times New Roman" w:cs="Times New Roman" w:eastAsia="Times New Roman" w:hAnsi="Times New Roman"/>
          <w:sz w:val="18"/>
          <w:szCs w:val="18"/>
          <w:u w:val="single" w:color="auto"/>
          <w:color w:val="auto"/>
        </w:rPr>
        <w:t>8.15</w:t>
      </w:r>
      <w:r>
        <w:rPr>
          <w:rFonts w:ascii="Times New Roman" w:cs="Times New Roman" w:eastAsia="Times New Roman" w:hAnsi="Times New Roman"/>
          <w:sz w:val="18"/>
          <w:szCs w:val="18"/>
          <w:color w:val="auto"/>
        </w:rPr>
        <w:t xml:space="preserve"> (Waiver of Jury Trial), </w:t>
      </w:r>
      <w:r>
        <w:rPr>
          <w:rFonts w:ascii="Times New Roman" w:cs="Times New Roman" w:eastAsia="Times New Roman" w:hAnsi="Times New Roman"/>
          <w:sz w:val="18"/>
          <w:szCs w:val="18"/>
          <w:u w:val="single" w:color="auto"/>
          <w:color w:val="auto"/>
        </w:rPr>
        <w:t>8.16</w:t>
      </w:r>
      <w:r>
        <w:rPr>
          <w:rFonts w:ascii="Times New Roman" w:cs="Times New Roman" w:eastAsia="Times New Roman" w:hAnsi="Times New Roman"/>
          <w:sz w:val="18"/>
          <w:szCs w:val="18"/>
          <w:color w:val="auto"/>
        </w:rPr>
        <w:t xml:space="preserve"> (Submission to Jurisdiction) and </w:t>
      </w:r>
      <w:r>
        <w:rPr>
          <w:rFonts w:ascii="Times New Roman" w:cs="Times New Roman" w:eastAsia="Times New Roman" w:hAnsi="Times New Roman"/>
          <w:sz w:val="18"/>
          <w:szCs w:val="18"/>
          <w:u w:val="single" w:color="auto"/>
          <w:color w:val="auto"/>
        </w:rPr>
        <w:t>8.17</w:t>
      </w:r>
      <w:r>
        <w:rPr>
          <w:rFonts w:ascii="Times New Roman" w:cs="Times New Roman" w:eastAsia="Times New Roman" w:hAnsi="Times New Roman"/>
          <w:sz w:val="18"/>
          <w:szCs w:val="18"/>
          <w:color w:val="auto"/>
        </w:rPr>
        <w:t xml:space="preserve"> (Remedies) of the Business Combination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 w:firstLine="436"/>
        <w:spacing w:after="0" w:line="254" w:lineRule="auto"/>
        <w:tabs>
          <w:tab w:leader="none" w:pos="69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will be deemed to vest in MAAC or any MAAC Non-Party Affiliate any direct or indirect ownership or incidents of ownership of or with respect to the Subject Company Shares. All rights, ownership and economic benefits of and relating to the Subject Company Shares shall remain vested in and belong to the Shareholder, and MAAC (and each MAAC Non-Party Affiliate) shall have no authority to manage, direct, superintend, restrict, regulate, govern or administer any of the policies or operations of Company or exercise any power or authority to direct Shareholder in the voting of any of the Subject Company Shares, except as otherwise expressly provided herein with respect to the Subject Company Shares. Except as otherwise set forth in Section 1, the Shareholder shall not be restricted from voting in favor of, against or abstaining with respect to any other matters presented to the stockholders of the Company. Without limiting the foregoing, nothing in this Agreement shall obligate or require the Shareholder to exercise an option to purchase any Company Shares.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70" w:right="47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and delivered this Transaction Support Agreement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MONTES ARCHIMEDES ACQUISITION CORP.</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Transaction Support Agreement]</w:t>
      </w:r>
    </w:p>
    <w:p>
      <w:pPr>
        <w:sectPr>
          <w:pgSz w:w="11900" w:h="16838" w:orient="portrait"/>
          <w:cols w:equalWidth="0" w:num="1">
            <w:col w:w="10100"/>
          </w:cols>
          <w:pgMar w:left="880" w:top="270" w:right="91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and delivered this Transaction Support Agreement as of the date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Transaction Support Agreement]</w:t>
      </w:r>
    </w:p>
    <w:p>
      <w:pPr>
        <w:sectPr>
          <w:pgSz w:w="11900" w:h="16838" w:orient="portrait"/>
          <w:cols w:equalWidth="0" w:num="1">
            <w:col w:w="9900"/>
          </w:cols>
          <w:pgMar w:left="880" w:top="270" w:right="1119" w:bottom="1440" w:gutter="0" w:footer="0" w:header="0"/>
        </w:sectPr>
      </w:pPr>
    </w:p>
    <w:bookmarkStart w:id="461" w:name="page462"/>
    <w:bookmarkEnd w:id="461"/>
    <w:tbl>
      <w:tblPr>
        <w:tblLayout w:type="fixed"/>
        <w:tblInd w:w="4"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67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5"/>
                <w:szCs w:val="15"/>
                <w:b w:val="1"/>
                <w:bCs w:val="1"/>
                <w:color w:val="auto"/>
              </w:rPr>
              <w:t>6</w:t>
            </w:r>
          </w:p>
        </w:tc>
      </w:tr>
      <w:tr>
        <w:trPr>
          <w:trHeight w:val="426"/>
        </w:trPr>
        <w:tc>
          <w:tcPr>
            <w:tcW w:w="4240" w:type="dxa"/>
            <w:vAlign w:val="bottom"/>
            <w:tcBorders>
              <w:bottom w:val="single" w:sz="8" w:color="auto"/>
            </w:tcBorders>
          </w:tcPr>
          <w:p>
            <w:pPr>
              <w:jc w:val="center"/>
              <w:ind w:left="1296"/>
              <w:spacing w:after="0"/>
              <w:rPr>
                <w:sz w:val="20"/>
                <w:szCs w:val="20"/>
                <w:color w:val="auto"/>
              </w:rPr>
            </w:pPr>
            <w:r>
              <w:rPr>
                <w:rFonts w:ascii="Times New Roman" w:cs="Times New Roman" w:eastAsia="Times New Roman" w:hAnsi="Times New Roman"/>
                <w:sz w:val="14"/>
                <w:szCs w:val="14"/>
                <w:b w:val="1"/>
                <w:bCs w:val="1"/>
                <w:color w:val="auto"/>
              </w:rPr>
              <w:t>Class/Series of Securities</w:t>
            </w:r>
          </w:p>
        </w:tc>
        <w:tc>
          <w:tcPr>
            <w:tcW w:w="64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49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91"/>
        </w:trPr>
        <w:tc>
          <w:tcPr>
            <w:tcW w:w="4240" w:type="dxa"/>
            <w:vAlign w:val="bottom"/>
          </w:tcPr>
          <w:p>
            <w:pPr>
              <w:jc w:val="center"/>
              <w:ind w:left="1296"/>
              <w:spacing w:after="0" w:line="191" w:lineRule="exact"/>
              <w:rPr>
                <w:sz w:val="20"/>
                <w:szCs w:val="20"/>
                <w:color w:val="auto"/>
              </w:rPr>
            </w:pPr>
            <w:r>
              <w:rPr>
                <w:rFonts w:ascii="Times New Roman" w:cs="Times New Roman" w:eastAsia="Times New Roman" w:hAnsi="Times New Roman"/>
                <w:sz w:val="18"/>
                <w:szCs w:val="18"/>
                <w:color w:val="auto"/>
              </w:rPr>
              <w:t>Company Pre-Closing</w:t>
            </w: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980" w:type="dxa"/>
            <w:vAlign w:val="bottom"/>
          </w:tcPr>
          <w:p>
            <w:pPr>
              <w:jc w:val="center"/>
              <w:ind w:right="239"/>
              <w:spacing w:after="0" w:line="191" w:lineRule="exact"/>
              <w:rPr>
                <w:sz w:val="20"/>
                <w:szCs w:val="20"/>
                <w:color w:val="auto"/>
              </w:rPr>
            </w:pPr>
            <w:r>
              <w:rPr>
                <w:rFonts w:ascii="Times New Roman" w:cs="Times New Roman" w:eastAsia="Times New Roman" w:hAnsi="Times New Roman"/>
                <w:sz w:val="18"/>
                <w:szCs w:val="18"/>
                <w:color w:val="auto"/>
                <w:w w:val="98"/>
              </w:rPr>
              <w:t>[•]</w:t>
            </w:r>
          </w:p>
        </w:tc>
      </w:tr>
      <w:tr>
        <w:trPr>
          <w:trHeight w:val="234"/>
        </w:trPr>
        <w:tc>
          <w:tcPr>
            <w:tcW w:w="4240" w:type="dxa"/>
            <w:vAlign w:val="bottom"/>
          </w:tcPr>
          <w:p>
            <w:pPr>
              <w:jc w:val="center"/>
              <w:ind w:left="1296"/>
              <w:spacing w:after="0"/>
              <w:rPr>
                <w:sz w:val="20"/>
                <w:szCs w:val="20"/>
                <w:color w:val="auto"/>
              </w:rPr>
            </w:pPr>
            <w:r>
              <w:rPr>
                <w:rFonts w:ascii="Times New Roman" w:cs="Times New Roman" w:eastAsia="Times New Roman" w:hAnsi="Times New Roman"/>
                <w:sz w:val="18"/>
                <w:szCs w:val="18"/>
                <w:color w:val="auto"/>
                <w:w w:val="98"/>
              </w:rPr>
              <w:t>Common Shares</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7715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2" w:lineRule="exact"/>
        <w:rPr>
          <w:sz w:val="20"/>
          <w:szCs w:val="20"/>
          <w:color w:val="auto"/>
        </w:rPr>
      </w:pPr>
    </w:p>
    <w:p>
      <w:pPr>
        <w:ind w:left="424" w:hanging="424"/>
        <w:spacing w:after="0"/>
        <w:tabs>
          <w:tab w:leader="none" w:pos="424" w:val="left"/>
        </w:tabs>
        <w:numPr>
          <w:ilvl w:val="0"/>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color w:val="auto"/>
        </w:rPr>
        <w:t>Note to Draft</w:t>
      </w:r>
      <w:r>
        <w:rPr>
          <w:rFonts w:ascii="Times New Roman" w:cs="Times New Roman" w:eastAsia="Times New Roman" w:hAnsi="Times New Roman"/>
          <w:sz w:val="18"/>
          <w:szCs w:val="18"/>
          <w:color w:val="auto"/>
        </w:rPr>
        <w:t>: Company to complete for each Company Shareholder.</w:t>
      </w:r>
    </w:p>
    <w:p>
      <w:pPr>
        <w:sectPr>
          <w:pgSz w:w="11900" w:h="16838" w:orient="portrait"/>
          <w:cols w:equalWidth="0" w:num="1">
            <w:col w:w="11024"/>
          </w:cols>
          <w:pgMar w:left="436" w:top="256" w:right="439" w:bottom="1440" w:gutter="0" w:footer="0" w:header="0"/>
        </w:sectPr>
      </w:pPr>
    </w:p>
    <w:bookmarkStart w:id="462" w:name="page463"/>
    <w:bookmarkEnd w:id="462"/>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Shareholders Agreements.</w:t>
      </w:r>
    </w:p>
    <w:p>
      <w:pPr>
        <w:sectPr>
          <w:pgSz w:w="11900" w:h="16838" w:orient="portrait"/>
          <w:cols w:equalWidth="0" w:num="1">
            <w:col w:w="10019"/>
          </w:cols>
          <w:pgMar w:left="440" w:top="266" w:right="1440" w:bottom="1440" w:gutter="0" w:footer="0" w:header="0"/>
        </w:sectPr>
      </w:pPr>
    </w:p>
    <w:bookmarkStart w:id="463" w:name="page464"/>
    <w:bookmarkEnd w:id="463"/>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AMENDMENT NO. 1</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SPONSOR SUPPORT AGREEMENT</w:t>
      </w:r>
    </w:p>
    <w:p>
      <w:pPr>
        <w:spacing w:after="0" w:line="207"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This Amendment No. 1 to the Sponsor Support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June 9, 2021, by and among Roivant Sciences Ltd., a Bermuda exempted limited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Montes Archimedes Acquisition Corp., a Delaware corporation (“</w:t>
      </w:r>
      <w:r>
        <w:rPr>
          <w:rFonts w:ascii="Times New Roman" w:cs="Times New Roman" w:eastAsia="Times New Roman" w:hAnsi="Times New Roman"/>
          <w:sz w:val="18"/>
          <w:szCs w:val="18"/>
          <w:u w:val="single" w:color="auto"/>
          <w:color w:val="auto"/>
        </w:rPr>
        <w:t>MAAC</w:t>
      </w:r>
      <w:r>
        <w:rPr>
          <w:rFonts w:ascii="Times New Roman" w:cs="Times New Roman" w:eastAsia="Times New Roman" w:hAnsi="Times New Roman"/>
          <w:sz w:val="18"/>
          <w:szCs w:val="18"/>
          <w:color w:val="auto"/>
        </w:rPr>
        <w:t>”), Patient Square Capital LLC, a Delaware limited liability company (the “</w:t>
      </w:r>
      <w:r>
        <w:rPr>
          <w:rFonts w:ascii="Times New Roman" w:cs="Times New Roman" w:eastAsia="Times New Roman" w:hAnsi="Times New Roman"/>
          <w:sz w:val="18"/>
          <w:szCs w:val="18"/>
          <w:u w:val="single" w:color="auto"/>
          <w:color w:val="auto"/>
        </w:rPr>
        <w:t>MAAC Sponsor</w:t>
      </w:r>
      <w:r>
        <w:rPr>
          <w:rFonts w:ascii="Times New Roman" w:cs="Times New Roman" w:eastAsia="Times New Roman" w:hAnsi="Times New Roman"/>
          <w:sz w:val="18"/>
          <w:szCs w:val="18"/>
          <w:color w:val="auto"/>
        </w:rPr>
        <w:t>”), and each of James C. Momtazee, George Barrett, Maria C. Walker and Steve Oesterle (collectively, the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and, together with the MAAC Sponsor, the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Capitalized terms used, but not otherwise defined herein, shall have the meaning given to them in the Sponsor Support Agreement (as defined below) or the Business Combination Agreement (as defined below), as the context so requires.</w:t>
      </w:r>
    </w:p>
    <w:p>
      <w:pPr>
        <w:spacing w:after="0" w:line="187"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WHEREAS, on May 1, 2021 (a) the Company, MAAC, the MAAC Sponsor and, solely for purposes of certain provisions therein, the Insiders entered into that certain Sponsor Support Agreement (as amended, amended and restated, supplemented or otherwise modified from time to time in accordance with its terms, the “</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and (b) MAAC, the Company and Rhine Merger Sub, Inc., a Delaware corporation and a direct wholly owned Subsidiary of the Company, entered into that certain Business Combination Agreement (as amended, amended and restated, supplemented or otherwise modified from time to time in accordance with its terms, including, for the avoidance of doubt, as amended by Amendment No. 1 to the Business Combination Agreement,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16 of the Sponsor Support Agreement, the Sponsor Support Agreement may be amended if, and only if, such amendment is in writing and signed by the Company, MAAC and the Shareholders;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the Company, MAAC and each Shareholder desires to amend the Sponsor Support Agreement to provide that, among other things,</w:t>
      </w:r>
    </w:p>
    <w:p>
      <w:pPr>
        <w:spacing w:after="0" w:line="27" w:lineRule="exact"/>
        <w:rPr>
          <w:sz w:val="20"/>
          <w:szCs w:val="20"/>
          <w:color w:val="auto"/>
        </w:rPr>
      </w:pPr>
    </w:p>
    <w:p>
      <w:pPr>
        <w:ind w:left="4" w:right="180" w:hanging="4"/>
        <w:spacing w:after="0" w:line="265" w:lineRule="auto"/>
        <w:tabs>
          <w:tab w:leader="none" w:pos="249"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MAAC Class B Share held by George Barrett or Steve Oesterle (each, a “</w:t>
      </w:r>
      <w:r>
        <w:rPr>
          <w:rFonts w:ascii="Times New Roman" w:cs="Times New Roman" w:eastAsia="Times New Roman" w:hAnsi="Times New Roman"/>
          <w:sz w:val="17"/>
          <w:szCs w:val="17"/>
          <w:u w:val="single" w:color="auto"/>
          <w:color w:val="auto"/>
        </w:rPr>
        <w:t>MAAC Independent Director</w:t>
      </w:r>
      <w:r>
        <w:rPr>
          <w:rFonts w:ascii="Times New Roman" w:cs="Times New Roman" w:eastAsia="Times New Roman" w:hAnsi="Times New Roman"/>
          <w:sz w:val="17"/>
          <w:szCs w:val="17"/>
          <w:color w:val="auto"/>
        </w:rPr>
        <w:t>”) issued and outstanding immediately prior to the Effective Time be converted as of the Effective Time into the number of Company Post-Closing Common Shares equal to the Sponsor Exchange Ratio, on the terms and subject to the conditions set forth in the Business Combination Agreement and the Sponsor Support Agreement, and</w:t>
      </w:r>
    </w:p>
    <w:p>
      <w:pPr>
        <w:ind w:left="4" w:right="580" w:hanging="4"/>
        <w:spacing w:after="0" w:line="260" w:lineRule="auto"/>
        <w:tabs>
          <w:tab w:leader="none" w:pos="259"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Company Post-Closing Common Shares issued upon conversion of the MAAC Class B Shares held by a MAAC Independent Director in the Merger be subject to the vesting provisions set forth in the Sponsor Support Agreement; and</w:t>
      </w:r>
    </w:p>
    <w:p>
      <w:pPr>
        <w:spacing w:after="0" w:line="181" w:lineRule="exact"/>
        <w:rPr>
          <w:sz w:val="20"/>
          <w:szCs w:val="20"/>
          <w:color w:val="auto"/>
        </w:rPr>
      </w:pPr>
    </w:p>
    <w:p>
      <w:pPr>
        <w:ind w:left="4" w:right="440" w:firstLine="440"/>
        <w:spacing w:after="0" w:line="261" w:lineRule="auto"/>
        <w:rPr>
          <w:sz w:val="20"/>
          <w:szCs w:val="20"/>
          <w:color w:val="auto"/>
        </w:rPr>
      </w:pPr>
      <w:r>
        <w:rPr>
          <w:rFonts w:ascii="Times New Roman" w:cs="Times New Roman" w:eastAsia="Times New Roman" w:hAnsi="Times New Roman"/>
          <w:sz w:val="18"/>
          <w:szCs w:val="18"/>
          <w:color w:val="auto"/>
        </w:rPr>
        <w:t>WHEREAS, on the date hereof (a) the Company and MAAC are entering into Amendment No. 1 to the Business Combination Agreement (“</w:t>
      </w:r>
      <w:r>
        <w:rPr>
          <w:rFonts w:ascii="Times New Roman" w:cs="Times New Roman" w:eastAsia="Times New Roman" w:hAnsi="Times New Roman"/>
          <w:sz w:val="18"/>
          <w:szCs w:val="18"/>
          <w:u w:val="single" w:color="auto"/>
          <w:color w:val="auto"/>
        </w:rPr>
        <w:t>Amendment No. 1 to the Business Combination Agreement</w:t>
      </w:r>
      <w:r>
        <w:rPr>
          <w:rFonts w:ascii="Times New Roman" w:cs="Times New Roman" w:eastAsia="Times New Roman" w:hAnsi="Times New Roman"/>
          <w:sz w:val="18"/>
          <w:szCs w:val="18"/>
          <w:color w:val="auto"/>
        </w:rPr>
        <w:t>”) in connection with the amendments contemplated hereby and (b) each MAAC Independent Director, on the one hand, and the Company, on the other hand, are entering into a Lock-Up Agreement (each, a “</w:t>
      </w:r>
      <w:r>
        <w:rPr>
          <w:rFonts w:ascii="Times New Roman" w:cs="Times New Roman" w:eastAsia="Times New Roman" w:hAnsi="Times New Roman"/>
          <w:sz w:val="18"/>
          <w:szCs w:val="18"/>
          <w:u w:val="single" w:color="auto"/>
          <w:color w:val="auto"/>
        </w:rPr>
        <w:t>MAAC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 Lock-Up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2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for the mutual promises made herein and other good and valuable consideration, the receipt and sufficiency of which are hereby acknowledged, the Company, MAAC and each Shareholder hereby agree to amend the Sponsor Support Agreement as follows:</w:t>
      </w:r>
    </w:p>
    <w:p>
      <w:pPr>
        <w:spacing w:after="0" w:line="140" w:lineRule="exact"/>
        <w:rPr>
          <w:sz w:val="20"/>
          <w:szCs w:val="20"/>
          <w:color w:val="auto"/>
        </w:rPr>
      </w:pPr>
    </w:p>
    <w:p>
      <w:pPr>
        <w:ind w:left="624" w:hanging="184"/>
        <w:spacing w:after="0"/>
        <w:tabs>
          <w:tab w:leader="none" w:pos="62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Sponsor Support Agreement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of the Sponsor Support Agreement is hereby amended and restated in its entirety and replaced with the following:</w:t>
      </w:r>
    </w:p>
    <w:p>
      <w:pPr>
        <w:sectPr>
          <w:pgSz w:w="11900" w:h="16838" w:orient="portrait"/>
          <w:cols w:equalWidth="0" w:num="1">
            <w:col w:w="11024"/>
          </w:cols>
          <w:pgMar w:left="436" w:top="117" w:right="439" w:bottom="1440" w:gutter="0" w:footer="0" w:header="0"/>
        </w:sectPr>
      </w:pPr>
    </w:p>
    <w:bookmarkStart w:id="464" w:name="page465"/>
    <w:bookmarkEnd w:id="46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3" w:lineRule="auto"/>
        <w:tabs>
          <w:tab w:leader="none" w:pos="124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conditioned upon the occurrence of and effective immediately after the Effective Time, (i) 20% of the number of Company Post-Closing Common Shares issued to the MAAC Sponsor, any Affiliate of the MAAC Sponsor, any MAAC Independent Director (as defined in the BCA) or any MAAC Independent Director Transferee (as defined in the BCA) upon the conversion of MAAC Class B Shares held by him, her or it immediately prior to the Effective Time (rounded up to the nearest whole share) shall be subject to the provisions set forth below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(such Company Post-Closing Common Shares, the “</w:t>
      </w:r>
      <w:r>
        <w:rPr>
          <w:rFonts w:ascii="Times New Roman" w:cs="Times New Roman" w:eastAsia="Times New Roman" w:hAnsi="Times New Roman"/>
          <w:sz w:val="18"/>
          <w:szCs w:val="18"/>
          <w:u w:val="single" w:color="auto"/>
          <w:color w:val="auto"/>
        </w:rPr>
        <w:t>20% Earn-Out Shares</w:t>
      </w:r>
      <w:r>
        <w:rPr>
          <w:rFonts w:ascii="Times New Roman" w:cs="Times New Roman" w:eastAsia="Times New Roman" w:hAnsi="Times New Roman"/>
          <w:sz w:val="18"/>
          <w:szCs w:val="18"/>
          <w:color w:val="auto"/>
        </w:rPr>
        <w:t xml:space="preserve">”), (ii) 10% of the number of Company Post-Closing Common Shares issued to the MAAC Sponsor, any Affiliate of the MAAC Sponsor, any MAAC Independent Director or any MAAC Independent Director Transferee upon the conversion of MAAC Class B Shares held by him, her or it immediately prior to the Effective Time (rounded up to the nearest whole share) shall be subject to the provisions set forth below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(such Company Post-Closing Common Shares, the “</w:t>
      </w:r>
      <w:r>
        <w:rPr>
          <w:rFonts w:ascii="Times New Roman" w:cs="Times New Roman" w:eastAsia="Times New Roman" w:hAnsi="Times New Roman"/>
          <w:sz w:val="18"/>
          <w:szCs w:val="18"/>
          <w:u w:val="single" w:color="auto"/>
          <w:color w:val="auto"/>
        </w:rPr>
        <w:t>10% 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together with the 20% Earn-Out Shares,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xml:space="preserve">”) and (iii) the remaining 70% of the number of Company Post-Closing Common Shares issued to the MAAC Sponsor, any Affiliate of the MAAC Sponsor, any MAAC Independent Director or any MAAC Independent Director Transferee upon the conversion of MAAC Class B Shares held by him, her or it immediately prior to the Effective Time (rounded down to the nearest whole share) shall not be subject to the provisions set forth below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(such Company Post-Closing Common Shares, the “</w:t>
      </w:r>
      <w:r>
        <w:rPr>
          <w:rFonts w:ascii="Times New Roman" w:cs="Times New Roman" w:eastAsia="Times New Roman" w:hAnsi="Times New Roman"/>
          <w:sz w:val="18"/>
          <w:szCs w:val="18"/>
          <w:u w:val="single" w:color="auto"/>
          <w:color w:val="auto"/>
        </w:rPr>
        <w:t>Retained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 w:right="240" w:firstLine="987"/>
        <w:spacing w:after="0" w:line="257" w:lineRule="auto"/>
        <w:tabs>
          <w:tab w:leader="none" w:pos="125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conditioned upon the occurrence of and effective immediately after the Effective Time, the Earn-Out Shares shall be unvested and subject to the restrictions and forfeiture provisions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The Earn-Out Shares shall vest and become free of the provisions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at such time as the Stock Price (as defined below) of Company Post-Closing Common Shares equals or exceeds</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 Earn-Out Shares, $15.00 per share (the “</w:t>
      </w:r>
      <w:r>
        <w:rPr>
          <w:rFonts w:ascii="Times New Roman" w:cs="Times New Roman" w:eastAsia="Times New Roman" w:hAnsi="Times New Roman"/>
          <w:sz w:val="18"/>
          <w:szCs w:val="18"/>
          <w:u w:val="single" w:color="auto"/>
          <w:color w:val="auto"/>
        </w:rPr>
        <w:t>20% Trigger Price</w:t>
      </w:r>
      <w:r>
        <w:rPr>
          <w:rFonts w:ascii="Times New Roman" w:cs="Times New Roman" w:eastAsia="Times New Roman" w:hAnsi="Times New Roman"/>
          <w:sz w:val="18"/>
          <w:szCs w:val="18"/>
          <w:color w:val="auto"/>
        </w:rPr>
        <w:t>”), and (y) with respect to the 10% Earn-Out Shares, $20.00 per share (the “</w:t>
      </w:r>
      <w:r>
        <w:rPr>
          <w:rFonts w:ascii="Times New Roman" w:cs="Times New Roman" w:eastAsia="Times New Roman" w:hAnsi="Times New Roman"/>
          <w:sz w:val="18"/>
          <w:szCs w:val="18"/>
          <w:u w:val="single" w:color="auto"/>
          <w:color w:val="auto"/>
        </w:rPr>
        <w:t>10% Trigger Price</w:t>
      </w:r>
      <w:r>
        <w:rPr>
          <w:rFonts w:ascii="Times New Roman" w:cs="Times New Roman" w:eastAsia="Times New Roman" w:hAnsi="Times New Roman"/>
          <w:sz w:val="18"/>
          <w:szCs w:val="18"/>
          <w:color w:val="auto"/>
        </w:rPr>
        <w:t>” and, together with the 20% Trigger Price, the “</w:t>
      </w:r>
      <w:r>
        <w:rPr>
          <w:rFonts w:ascii="Times New Roman" w:cs="Times New Roman" w:eastAsia="Times New Roman" w:hAnsi="Times New Roman"/>
          <w:sz w:val="18"/>
          <w:szCs w:val="18"/>
          <w:u w:val="single" w:color="auto"/>
          <w:color w:val="auto"/>
        </w:rPr>
        <w:t>Trigger Price</w:t>
      </w:r>
      <w:r>
        <w:rPr>
          <w:rFonts w:ascii="Times New Roman" w:cs="Times New Roman" w:eastAsia="Times New Roman" w:hAnsi="Times New Roman"/>
          <w:sz w:val="18"/>
          <w:szCs w:val="18"/>
          <w:color w:val="auto"/>
        </w:rPr>
        <w:t>”), in each case, for any 20 Trading Days within any 30 Trading Day period commencing no earlier than the Closing Date and ending no later than the fifth (5th) anniversary of the Closing Date (the “</w:t>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if the Earn-Out End Date occurs on a day that is not a Trading Day, then the Earn-Out End Date shall be deemed to occur on the next following Trading Day, and (ii) if the Company or any of its Affiliates enters into a definitive agreement with respect to a Sale (as defined below) on or prior to the Earn-Out End Date, then the Earn-Out End Date shall be automatically extended and shall be deemed to occur on the earlier of (A) the day after such Sale is consummated and (B) the termination of such definitive agreement with respect to such Sale in accordance with its terms. Any Earn-Out Shares that have not vested in accordance with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on or before the Earn-Out End Date will be immediately forfeited at 11:59 p.m., New York, New York time on the Earn-Out End Date.</w:t>
      </w:r>
    </w:p>
    <w:p>
      <w:pPr>
        <w:spacing w:after="0" w:line="85"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4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Sale (as defined below) on or prior to the Earn-Out End Date, any unvested Earn-Out Shares will fully vest and become free of the restrictions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as of immediately prior to the closing of such Sale. For purposes of this Agreement,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means (A) a purchase, sale, exchange, merger, business combination or other transaction or series of related transactions in which substantially all of the Company Post-Closing Common Shares are, directly or indirectly, converted into cash, securities or other property or non-cash consideration (other than, in the case of this clause (A), any transaction in which the holders of Company Post-Closing Common Shares as of immediately prior to the consummation of such transaction continue to own all or substantially all of the equity securities of the Company (or any successor or parent entity of the Company) immediately following the consummation of such transaction), (B) a direct or indirect sale, lease, exchange or other transfer (regardless of the form of the transaction) in one transaction or a series of related transactions of a majority of the Company’s assets, as determined on a consolidated basis, to a third party or third parties acting as a “group” (as defined in Section 13(d)(3) of the Exchange Act) or (C) any transaction or series of transactions</w:t>
      </w:r>
    </w:p>
    <w:p>
      <w:pPr>
        <w:spacing w:after="0" w:line="1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465" w:name="page466"/>
    <w:bookmarkEnd w:id="465"/>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results, directly or indirectly, in the shareholders of the Company as of immediately prior to such transactions holding, in the aggregate, less than fifty percent (50%) of the voting Equity Securities of the Company (or any successor or parent company of the Company) immediately after the consummation thereof (excluding, for the avoidance of doubt, any Earn-out Shares) (in the case of each of clause (A), (B) or (C), whether by amalgamation, merger, consolidation, arrangement, tender offer, recapitalization, purchase, issuance, sale or transfer of Equity Securities or assets or otherwise).</w:t>
      </w:r>
    </w:p>
    <w:p>
      <w:pPr>
        <w:spacing w:after="0" w:line="75" w:lineRule="exact"/>
        <w:rPr>
          <w:sz w:val="20"/>
          <w:szCs w:val="20"/>
          <w:color w:val="auto"/>
        </w:rPr>
      </w:pPr>
    </w:p>
    <w:p>
      <w:pPr>
        <w:ind w:right="60" w:firstLine="987"/>
        <w:spacing w:after="0" w:line="252" w:lineRule="auto"/>
        <w:tabs>
          <w:tab w:leader="none" w:pos="124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Shareholder agrees that he, she or it shall not engage in any Sale Transaction (as defined in the applicable Lock-Up Agreement) with respect to any of his, her or its Earn-Out Shares until such time as the Earn-Out Shares have vested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Notwithstanding the foregoing or anything to the contrary herein, (i) the MAAC Sponsor, any Affiliate of the MAAC Sponsor, any MAAC Independent Director or any MAAC Independent Director Transferee (and, for the avoidance of doubt, any permitted transferees pursuant to this clause (i)) may transfer all or any of the Earn-Out Shares held by him, her or it in any transfer of the type described in Sections 1(b)(iii)(A) through (C) or (F) of the applicable Lock-Up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 transfer of the type described in clauses (A) through (C), the transferee shall, in addition to any requirements in the applicable Lock-Up Agreement, agree in writing that he, she or it is receiving and holding such Earn-Out Shares subject to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(ii) from and after a transfer pursuant to clause (i) of this sentence, all references to any of the MAAC Sponsor, any Affiliate of the MAAC Sponsor, any MAAC Independent Director or any MAAC Independent Director Transferee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include such transferee and shall collectively mean the MAAC Sponsor, any Affiliate of the MAAC Sponsor, any MAAC Independent Director or any MAAC Independent Director Transferee (to the extent that he, she or it then holds Earn-Out Shares) and each permitted transferee of the Earn-Out Shares originally held by the MAAC Sponsor, any Affiliate of the MAAC Sponsor, any MAAC Independent Director or any MAAC Independent Director Transferee pursuant to clause (i) of this sentence (in each case, to the extent he, she or it then holds Earn-Out Shares). Each transferee of Earn-Out Shares pursuant to clause (i) of the preceding sentence shall be a third party beneficiary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Stock Price</w:t>
      </w:r>
      <w:r>
        <w:rPr>
          <w:rFonts w:ascii="Times New Roman" w:cs="Times New Roman" w:eastAsia="Times New Roman" w:hAnsi="Times New Roman"/>
          <w:sz w:val="18"/>
          <w:szCs w:val="18"/>
          <w:color w:val="auto"/>
        </w:rPr>
        <w:t>” means, on any date on or after the Closing and on or prior to the Earn-Out End Date, the closing sale price per share of Company Post-Closing Common Shares reported as of 4:00 p.m., New York, New York time on such date by Bloomberg, or if not available on Bloomberg, as reported by or an authoritative source generally used for such purposes and selected by the Company, and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xml:space="preserve">” means any day on which trading is generally conducted on Nasdaq or any other exchange on which the Company Post-Closing Common Shares are traded on or after the Closing and on or prior to the Earn-Out End Date. The Earn-out Shares and the applicable Trigger Price (and all references to Company Post-Closing Common Shares and each of the foregoing in this Agreement) shall each be adjusted appropriately to reflect the effect of any stock split, reverse stock split, stock dividend (including any dividend or other distribution of securities convertible into Company Post-Closing Common Shares), reorganization, recapitalization, reclassification, combination, exchange of shares or other like change with respect to the Company Post-Closing Common Shares (or any other Equity Securities into which they are adjusted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at any time prior to the vesting of the Earn-out Shares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so as to provide the holders of the Earn-Out Shares with the same economic effect as contemplated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prior to such event and as so adjusted shall, from and after the date of such event, be the Earn-Out Shares and the 20% Trigger Price or the 10% Trigger Price, as applicable.</w:t>
      </w:r>
    </w:p>
    <w:p>
      <w:pPr>
        <w:spacing w:after="0" w:line="81"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reasonable best efforts to remain listed as a public company on, and for the Earn-Out Shares to be tradable over, Nasdaq or any other nationally recognized U.S. stock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foregoing shall not limit the Company or any of its Affiliates from consummating a Sale or entering into a definitive agreement that contemplates a Sale. Subject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and the other applicable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upon the consummation of Sale the Company shall have no further obligations under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66" w:name="page467"/>
    <w:bookmarkEnd w:id="466"/>
    <w:p>
      <w:pPr>
        <w:ind w:left="4" w:right="20" w:firstLine="987"/>
        <w:spacing w:after="0" w:line="261" w:lineRule="auto"/>
        <w:tabs>
          <w:tab w:leader="none" w:pos="125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the time that the Earn-Out Shares become vested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the Company shall remove any legends, stock transfer restrictions, stop transfer orders or similar restrictions with respect to the Earn-Out Shares related to such vesting or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(other than, for the avoidance of doubt, those that relate to any applicable and then-existing Lock-Up Period (as defined in the applicable Lock-Up Agreement) with respect to such Earn-Out Shares).</w:t>
      </w:r>
    </w:p>
    <w:p>
      <w:pPr>
        <w:spacing w:after="0" w:line="71"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 the MAAC Sponsor, any Affiliate of the MAAC Sponsor, any MAAC Independent Director or any MAAC Independent Director Transferee shall retain all of his, her or its rights as a stockholder of the Company with respect to the Earn-Out Shares owned by him, her or it during any period of time that such shares are subject to restriction on transfer or sale hereunder, including the right to vote any such shares and the right to receive dividends and other distributions with respect to such Earn-Out Shares prior to vesting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dividends and other distributions with respect to Earn-Out Shares that are subject to vesting and are unvested at the time of such dividend or distribution shall be set aside by the Company and shall only be paid to such holders upon the vesting of such Earn-Out Shares (and, if any dividends or other distributions with respect to Earn-Out Shares are set aside and such Earn-Out Shares are subsequently forfeited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such set aside dividends or distributions shall become the property of the Company)), (ii) any Earn-Out Shares that vest in accordance with the terms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remain subject to any applicable Lock-Up Period set forth in the applicable Lock-Up Agreement and (iii) notwithstanding the expiration of any Lock-Up Period with respect to any Earn-Out Shares, such shares shall remain subject to any applicable restrictions set forth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1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MAAC Sponsor, any Affiliate of the MAAC Sponsor, any MAAC Independent Director or any MAAC Independent Director Transferee shall determine, based on advice from its own tax advisors, whether to make an election under Section 83(b) of the Code with respect to its Earn-Out Shares.</w:t>
      </w:r>
    </w:p>
    <w:p>
      <w:pPr>
        <w:spacing w:after="0" w:line="67"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and acknowledge that the Earn-Out Shares are intended to constitute “voting stock” within the meaning of</w:t>
      </w:r>
    </w:p>
    <w:p>
      <w:pPr>
        <w:spacing w:after="0" w:line="27" w:lineRule="exact"/>
        <w:rPr>
          <w:sz w:val="20"/>
          <w:szCs w:val="20"/>
          <w:color w:val="auto"/>
        </w:rPr>
      </w:pPr>
    </w:p>
    <w:p>
      <w:pPr>
        <w:ind w:left="4" w:right="40"/>
        <w:spacing w:after="0" w:line="265" w:lineRule="auto"/>
        <w:rPr>
          <w:sz w:val="20"/>
          <w:szCs w:val="20"/>
          <w:color w:val="auto"/>
        </w:rPr>
      </w:pPr>
      <w:r>
        <w:rPr>
          <w:rFonts w:ascii="Times New Roman" w:cs="Times New Roman" w:eastAsia="Times New Roman" w:hAnsi="Times New Roman"/>
          <w:sz w:val="17"/>
          <w:szCs w:val="17"/>
          <w:color w:val="auto"/>
        </w:rPr>
        <w:t>Section 368(a)(1) of the Code and the Treasury Regulations promulgated thereunder received by of the MAAC Sponsor, any Affiliate of the MAAC Sponsor, any MAAC Independent Director or any MAAC Independent Director Transferee in connection with the Merger, and shall file all Tax Returns consistent with, and take no position inconsistent with (whether in audits, Tax Returns or otherwise), such treatment unless (i) such Party requests that each of Kirkland &amp; Ellis LLP and Davis Polk &amp; Wardwell LLP provides written confirmation to the effect that such treatment is more likely than not correct, and each such law firm fails to provide such confirmation prior to the later of (A) thirty (30) days following such request is made and (B) sixty</w:t>
      </w:r>
    </w:p>
    <w:p>
      <w:pPr>
        <w:spacing w:after="0" w:line="1" w:lineRule="exact"/>
        <w:rPr>
          <w:sz w:val="20"/>
          <w:szCs w:val="20"/>
          <w:color w:val="auto"/>
        </w:rPr>
      </w:pPr>
    </w:p>
    <w:p>
      <w:pPr>
        <w:ind w:left="4" w:right="80" w:hanging="4"/>
        <w:spacing w:after="0" w:line="253" w:lineRule="auto"/>
        <w:tabs>
          <w:tab w:leader="none" w:pos="349"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prior to the date on which the relevant Tax Return is due (taking into account applicable extensions);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shall provide customary factual representations to such law firm;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the Parties shall not be required to restructure, or otherwise alter the terms of, the transaction as provided for in this Agreement or the Business Combination Agreement, or (ii) otherwise required by a final “determination” within the meaning of Section 1313(a) of the Code.”</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“Lock-Up Agreements” is hereby amended, and deemed, to include the MAAC Independent Director Lock-Up</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w:t>
      </w:r>
    </w:p>
    <w:p>
      <w:pPr>
        <w:spacing w:after="0" w:line="98"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22"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Sponsor Support Agreement to the contrary, the Insiders acknowledge and agree that Section 2 of the Sponsor Support Agreement shall apply to the Insiders.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467" w:name="page468"/>
    <w:bookmarkEnd w:id="467"/>
    <w:p>
      <w:pPr>
        <w:ind w:left="-140" w:firstLine="436"/>
        <w:spacing w:after="0" w:line="258" w:lineRule="auto"/>
        <w:tabs>
          <w:tab w:leader="none" w:pos="4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of Amendments and Modifications</w:t>
      </w:r>
      <w:r>
        <w:rPr>
          <w:rFonts w:ascii="Times New Roman" w:cs="Times New Roman" w:eastAsia="Times New Roman" w:hAnsi="Times New Roman"/>
          <w:sz w:val="18"/>
          <w:szCs w:val="18"/>
          <w:color w:val="auto"/>
        </w:rPr>
        <w:t>. Except as expressly amended hereby, the Sponsor Support Agreement shall remain unaltered and in full force and effect and the respective terms, conditions or covenants thereof are hereby in all respects confirmed. Whenever the Sponsor Support Agreement is referred to in any agreement, document or other instrument, such reference will be to the Sponsor Support as amended by this Amendment. For the avoidance of doubt, each reference in the Sponsor Support Agreement, as amended hereby, to “the date hereof”, the “date of this Agreement” and derivations thereof and other similar phrases shall continue to refer to May 1, 2021.</w:t>
      </w:r>
    </w:p>
    <w:p>
      <w:pPr>
        <w:spacing w:after="0" w:line="183" w:lineRule="exact"/>
        <w:rPr>
          <w:rFonts w:ascii="Times New Roman" w:cs="Times New Roman" w:eastAsia="Times New Roman" w:hAnsi="Times New Roman"/>
          <w:sz w:val="18"/>
          <w:szCs w:val="18"/>
          <w:color w:val="auto"/>
        </w:rPr>
      </w:pPr>
    </w:p>
    <w:p>
      <w:pPr>
        <w:ind w:left="-140" w:right="400" w:firstLine="436"/>
        <w:spacing w:after="0" w:line="282" w:lineRule="auto"/>
        <w:tabs>
          <w:tab w:leader="none" w:pos="4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8.5, 8.7, 8.10, 8.11, 8.15 and 8.16 of the Business Combination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40"/>
          </w:cols>
          <w:pgMar w:left="580" w:top="270" w:right="57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Amendment to be signed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Maisak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Matt Maisak</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Amendment No. 1 to the Sponsor Support Agreement]</w:t>
      </w:r>
    </w:p>
    <w:p>
      <w:pPr>
        <w:sectPr>
          <w:pgSz w:w="11900" w:h="16838" w:orient="portrait"/>
          <w:cols w:equalWidth="0" w:num="1">
            <w:col w:w="9579"/>
          </w:cols>
          <w:pgMar w:left="880" w:top="270" w:right="1440"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Amendment to be signed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MONTES ARCHIMEDES ACQUISITION CORP.</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Maria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Maria C. Walker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Amendment No. 1 to the Sponsor Support Agreement]</w:t>
      </w:r>
    </w:p>
    <w:p>
      <w:pPr>
        <w:sectPr>
          <w:pgSz w:w="11900" w:h="16838" w:orient="portrait"/>
          <w:cols w:equalWidth="0" w:num="1">
            <w:col w:w="10100"/>
          </w:cols>
          <w:pgMar w:left="880" w:top="270" w:right="91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Amendment to be signed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PATIENT SQUARE CAPITAL LLC</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Maria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Maria C. Walker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Amendment No. 1 to the Sponsor Support Agreement]</w:t>
      </w:r>
    </w:p>
    <w:p>
      <w:pPr>
        <w:sectPr>
          <w:pgSz w:w="11900" w:h="16838" w:orient="portrait"/>
          <w:cols w:equalWidth="0" w:num="1">
            <w:col w:w="9579"/>
          </w:cols>
          <w:pgMar w:left="880" w:top="270" w:right="1440"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Amendment to be signed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INSIDERS</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George Barrett</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 Barrett</w:t>
            </w:r>
          </w:p>
        </w:tc>
        <w:tc>
          <w:tcPr>
            <w:tcW w:w="0" w:type="dxa"/>
            <w:vAlign w:val="bottom"/>
          </w:tcPr>
          <w:p>
            <w:pPr>
              <w:spacing w:after="0"/>
              <w:rPr>
                <w:sz w:val="1"/>
                <w:szCs w:val="1"/>
                <w:color w:val="auto"/>
              </w:rPr>
            </w:pPr>
          </w:p>
        </w:tc>
      </w:tr>
      <w:tr>
        <w:trPr>
          <w:trHeight w:val="203"/>
        </w:trPr>
        <w:tc>
          <w:tcPr>
            <w:tcW w:w="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Address:</w:t>
            </w:r>
          </w:p>
        </w:tc>
        <w:tc>
          <w:tcPr>
            <w:tcW w:w="2400" w:type="dxa"/>
            <w:vAlign w:val="bottom"/>
            <w:gridSpan w:val="2"/>
            <w:shd w:val="clear" w:color="auto" w:fill="000000"/>
          </w:tcPr>
          <w:p>
            <w:pPr>
              <w:spacing w:after="0" w:line="202" w:lineRule="exact"/>
              <w:rPr>
                <w:sz w:val="20"/>
                <w:szCs w:val="20"/>
                <w:color w:val="auto"/>
              </w:rPr>
            </w:pPr>
            <w:r>
              <w:rPr>
                <w:rFonts w:ascii="Times New Roman" w:cs="Times New Roman" w:eastAsia="Times New Roman" w:hAnsi="Times New Roman"/>
                <w:sz w:val="18"/>
                <w:szCs w:val="18"/>
                <w:color w:val="auto"/>
                <w:highlight w:val="black"/>
                <w:w w:val="98"/>
              </w:rPr>
              <w:t>6724 Perimeter Loop Road, #311</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0" w:type="dxa"/>
            <w:vAlign w:val="bottom"/>
            <w:gridSpan w:val="2"/>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17"/>
                <w:szCs w:val="17"/>
                <w:color w:val="auto"/>
              </w:rPr>
            </w:pPr>
          </w:p>
        </w:tc>
        <w:tc>
          <w:tcPr>
            <w:tcW w:w="1460" w:type="dxa"/>
            <w:vAlign w:val="bottom"/>
            <w:shd w:val="clear" w:color="auto" w:fill="000000"/>
          </w:tcPr>
          <w:p>
            <w:pPr>
              <w:spacing w:after="0" w:line="202" w:lineRule="exact"/>
              <w:rPr>
                <w:sz w:val="20"/>
                <w:szCs w:val="20"/>
                <w:color w:val="auto"/>
              </w:rPr>
            </w:pPr>
            <w:r>
              <w:rPr>
                <w:rFonts w:ascii="Times New Roman" w:cs="Times New Roman" w:eastAsia="Times New Roman" w:hAnsi="Times New Roman"/>
                <w:sz w:val="18"/>
                <w:szCs w:val="18"/>
                <w:color w:val="auto"/>
                <w:highlight w:val="black"/>
                <w:w w:val="99"/>
              </w:rPr>
              <w:t>Dublin, Ohio 43017</w:t>
            </w:r>
          </w:p>
        </w:tc>
        <w:tc>
          <w:tcPr>
            <w:tcW w:w="2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Amendment No. 1 to the Sponsor Support Agreement]</w:t>
      </w:r>
    </w:p>
    <w:p>
      <w:pPr>
        <w:sectPr>
          <w:pgSz w:w="11900" w:h="16838" w:orient="portrait"/>
          <w:cols w:equalWidth="0" w:num="1">
            <w:col w:w="10580"/>
          </w:cols>
          <w:pgMar w:left="880" w:top="270" w:right="43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Amendment to be signed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INSIDERS</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James C. Momtazee</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C. Momtazee</w:t>
            </w:r>
          </w:p>
        </w:tc>
        <w:tc>
          <w:tcPr>
            <w:tcW w:w="0" w:type="dxa"/>
            <w:vAlign w:val="bottom"/>
          </w:tcPr>
          <w:p>
            <w:pPr>
              <w:spacing w:after="0"/>
              <w:rPr>
                <w:sz w:val="1"/>
                <w:szCs w:val="1"/>
                <w:color w:val="auto"/>
              </w:rPr>
            </w:pPr>
          </w:p>
        </w:tc>
      </w:tr>
      <w:tr>
        <w:trPr>
          <w:trHeight w:val="203"/>
        </w:trPr>
        <w:tc>
          <w:tcPr>
            <w:tcW w:w="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Address:</w:t>
            </w:r>
          </w:p>
        </w:tc>
        <w:tc>
          <w:tcPr>
            <w:tcW w:w="2220" w:type="dxa"/>
            <w:vAlign w:val="bottom"/>
            <w:gridSpan w:val="2"/>
            <w:shd w:val="clear" w:color="auto" w:fill="000000"/>
          </w:tcPr>
          <w:p>
            <w:pPr>
              <w:spacing w:after="0" w:line="202" w:lineRule="exact"/>
              <w:rPr>
                <w:sz w:val="20"/>
                <w:szCs w:val="20"/>
                <w:color w:val="auto"/>
              </w:rPr>
            </w:pPr>
            <w:r>
              <w:rPr>
                <w:rFonts w:ascii="Times New Roman" w:cs="Times New Roman" w:eastAsia="Times New Roman" w:hAnsi="Times New Roman"/>
                <w:sz w:val="18"/>
                <w:szCs w:val="18"/>
                <w:color w:val="auto"/>
                <w:highlight w:val="black"/>
                <w:w w:val="98"/>
              </w:rPr>
              <w:t>724 Oak Grove Ave, Suite 130</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00" w:type="dxa"/>
            <w:vAlign w:val="bottom"/>
            <w:gridSpan w:val="2"/>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17"/>
                <w:szCs w:val="17"/>
                <w:color w:val="auto"/>
              </w:rPr>
            </w:pPr>
          </w:p>
        </w:tc>
        <w:tc>
          <w:tcPr>
            <w:tcW w:w="2160" w:type="dxa"/>
            <w:vAlign w:val="bottom"/>
            <w:shd w:val="clear" w:color="auto" w:fill="000000"/>
          </w:tcPr>
          <w:p>
            <w:pPr>
              <w:spacing w:after="0" w:line="202" w:lineRule="exact"/>
              <w:rPr>
                <w:sz w:val="20"/>
                <w:szCs w:val="20"/>
                <w:color w:val="auto"/>
              </w:rPr>
            </w:pPr>
            <w:r>
              <w:rPr>
                <w:rFonts w:ascii="Times New Roman" w:cs="Times New Roman" w:eastAsia="Times New Roman" w:hAnsi="Times New Roman"/>
                <w:sz w:val="18"/>
                <w:szCs w:val="18"/>
                <w:color w:val="auto"/>
                <w:highlight w:val="black"/>
                <w:w w:val="99"/>
              </w:rPr>
              <w:t>Menlo Park, California 94025</w:t>
            </w: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Amendment No. 1 to the Sponsor Support Agreement]</w:t>
      </w:r>
    </w:p>
    <w:p>
      <w:pPr>
        <w:sectPr>
          <w:pgSz w:w="11900" w:h="16838" w:orient="portrait"/>
          <w:cols w:equalWidth="0" w:num="1">
            <w:col w:w="10580"/>
          </w:cols>
          <w:pgMar w:left="880" w:top="270" w:right="43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Amendment to be signed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INSIDERS</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Maria C. Walker</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Maria C. Walker</w:t>
            </w:r>
          </w:p>
        </w:tc>
        <w:tc>
          <w:tcPr>
            <w:tcW w:w="0" w:type="dxa"/>
            <w:vAlign w:val="bottom"/>
          </w:tcPr>
          <w:p>
            <w:pPr>
              <w:spacing w:after="0"/>
              <w:rPr>
                <w:sz w:val="1"/>
                <w:szCs w:val="1"/>
                <w:color w:val="auto"/>
              </w:rPr>
            </w:pPr>
          </w:p>
        </w:tc>
      </w:tr>
      <w:tr>
        <w:trPr>
          <w:trHeight w:val="203"/>
        </w:trPr>
        <w:tc>
          <w:tcPr>
            <w:tcW w:w="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Address:</w:t>
            </w:r>
          </w:p>
        </w:tc>
        <w:tc>
          <w:tcPr>
            <w:tcW w:w="1560" w:type="dxa"/>
            <w:vAlign w:val="bottom"/>
            <w:shd w:val="clear" w:color="auto" w:fill="000000"/>
          </w:tcPr>
          <w:p>
            <w:pPr>
              <w:spacing w:after="0" w:line="202" w:lineRule="exact"/>
              <w:rPr>
                <w:sz w:val="20"/>
                <w:szCs w:val="20"/>
                <w:color w:val="auto"/>
              </w:rPr>
            </w:pPr>
            <w:r>
              <w:rPr>
                <w:rFonts w:ascii="Times New Roman" w:cs="Times New Roman" w:eastAsia="Times New Roman" w:hAnsi="Times New Roman"/>
                <w:sz w:val="18"/>
                <w:szCs w:val="18"/>
                <w:color w:val="auto"/>
                <w:highlight w:val="black"/>
                <w:w w:val="99"/>
              </w:rPr>
              <w:t>8240 McDaniel Road</w:t>
            </w: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8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17"/>
                <w:szCs w:val="17"/>
                <w:color w:val="auto"/>
              </w:rPr>
            </w:pPr>
          </w:p>
        </w:tc>
        <w:tc>
          <w:tcPr>
            <w:tcW w:w="1800" w:type="dxa"/>
            <w:vAlign w:val="bottom"/>
            <w:gridSpan w:val="2"/>
            <w:shd w:val="clear" w:color="auto" w:fill="000000"/>
          </w:tcPr>
          <w:p>
            <w:pPr>
              <w:spacing w:after="0" w:line="202" w:lineRule="exact"/>
              <w:rPr>
                <w:sz w:val="20"/>
                <w:szCs w:val="20"/>
                <w:color w:val="auto"/>
              </w:rPr>
            </w:pPr>
            <w:r>
              <w:rPr>
                <w:rFonts w:ascii="Times New Roman" w:cs="Times New Roman" w:eastAsia="Times New Roman" w:hAnsi="Times New Roman"/>
                <w:sz w:val="18"/>
                <w:szCs w:val="18"/>
                <w:color w:val="auto"/>
                <w:highlight w:val="black"/>
                <w:w w:val="97"/>
              </w:rPr>
              <w:t>Fort Worth, Texas 76126</w:t>
            </w: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Amendment No. 1 to the Sponsor Support Agreement]</w:t>
      </w:r>
    </w:p>
    <w:p>
      <w:pPr>
        <w:sectPr>
          <w:pgSz w:w="11900" w:h="16838" w:orient="portrait"/>
          <w:cols w:equalWidth="0" w:num="1">
            <w:col w:w="10580"/>
          </w:cols>
          <w:pgMar w:left="880" w:top="270" w:right="43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Amendment to be signed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INSIDERS</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Steve Oesterle</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 Oesterle</w:t>
            </w:r>
          </w:p>
        </w:tc>
        <w:tc>
          <w:tcPr>
            <w:tcW w:w="0" w:type="dxa"/>
            <w:vAlign w:val="bottom"/>
          </w:tcPr>
          <w:p>
            <w:pPr>
              <w:spacing w:after="0"/>
              <w:rPr>
                <w:sz w:val="1"/>
                <w:szCs w:val="1"/>
                <w:color w:val="auto"/>
              </w:rPr>
            </w:pPr>
          </w:p>
        </w:tc>
      </w:tr>
      <w:tr>
        <w:trPr>
          <w:trHeight w:val="203"/>
        </w:trPr>
        <w:tc>
          <w:tcPr>
            <w:tcW w:w="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Address:</w:t>
            </w:r>
          </w:p>
        </w:tc>
        <w:tc>
          <w:tcPr>
            <w:tcW w:w="1300" w:type="dxa"/>
            <w:vAlign w:val="bottom"/>
            <w:shd w:val="clear" w:color="auto" w:fill="000000"/>
          </w:tcPr>
          <w:p>
            <w:pPr>
              <w:spacing w:after="0" w:line="202" w:lineRule="exact"/>
              <w:rPr>
                <w:sz w:val="20"/>
                <w:szCs w:val="20"/>
                <w:color w:val="auto"/>
              </w:rPr>
            </w:pPr>
            <w:r>
              <w:rPr>
                <w:rFonts w:ascii="Times New Roman" w:cs="Times New Roman" w:eastAsia="Times New Roman" w:hAnsi="Times New Roman"/>
                <w:sz w:val="18"/>
                <w:szCs w:val="18"/>
                <w:color w:val="auto"/>
                <w:highlight w:val="black"/>
                <w:w w:val="97"/>
              </w:rPr>
              <w:t>240 Oliver Ave S.</w:t>
            </w: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4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17"/>
                <w:szCs w:val="17"/>
                <w:color w:val="auto"/>
              </w:rPr>
            </w:pPr>
          </w:p>
        </w:tc>
        <w:tc>
          <w:tcPr>
            <w:tcW w:w="2240" w:type="dxa"/>
            <w:vAlign w:val="bottom"/>
            <w:gridSpan w:val="2"/>
            <w:shd w:val="clear" w:color="auto" w:fill="000000"/>
          </w:tcPr>
          <w:p>
            <w:pPr>
              <w:spacing w:after="0" w:line="202" w:lineRule="exact"/>
              <w:rPr>
                <w:sz w:val="20"/>
                <w:szCs w:val="20"/>
                <w:color w:val="auto"/>
              </w:rPr>
            </w:pPr>
            <w:r>
              <w:rPr>
                <w:rFonts w:ascii="Times New Roman" w:cs="Times New Roman" w:eastAsia="Times New Roman" w:hAnsi="Times New Roman"/>
                <w:sz w:val="18"/>
                <w:szCs w:val="18"/>
                <w:color w:val="auto"/>
                <w:highlight w:val="black"/>
                <w:w w:val="98"/>
              </w:rPr>
              <w:t>Minneapolis, Minnesota 55405</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Amendment No. 1 to the Sponsor Support Agreement]</w:t>
      </w:r>
    </w:p>
    <w:p>
      <w:pPr>
        <w:sectPr>
          <w:pgSz w:w="11900" w:h="16838" w:orient="portrait"/>
          <w:cols w:equalWidth="0" w:num="1">
            <w:col w:w="10580"/>
          </w:cols>
          <w:pgMar w:left="880" w:top="270" w:right="439" w:bottom="1440" w:gutter="0" w:footer="0" w:header="0"/>
        </w:sectPr>
      </w:pPr>
    </w:p>
    <w:bookmarkStart w:id="475" w:name="page476"/>
    <w:bookmarkEnd w:id="475"/>
    <w:p>
      <w:pPr>
        <w:jc w:val="right"/>
        <w:spacing w:after="0"/>
        <w:rPr>
          <w:sz w:val="20"/>
          <w:szCs w:val="20"/>
          <w:color w:val="auto"/>
        </w:rPr>
      </w:pPr>
      <w:r>
        <w:rPr>
          <w:rFonts w:ascii="Times New Roman" w:cs="Times New Roman" w:eastAsia="Times New Roman" w:hAnsi="Times New Roman"/>
          <w:sz w:val="18"/>
          <w:szCs w:val="18"/>
          <w:color w:val="auto"/>
        </w:rPr>
        <w:t>Exhibit 10.36</w:t>
      </w:r>
    </w:p>
    <w:p>
      <w:pPr>
        <w:spacing w:after="0" w:line="200" w:lineRule="exact"/>
        <w:rPr>
          <w:sz w:val="20"/>
          <w:szCs w:val="20"/>
          <w:color w:val="auto"/>
        </w:rPr>
      </w:pPr>
    </w:p>
    <w:p>
      <w:pPr>
        <w:spacing w:after="0" w:line="23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w:t>
      </w:r>
    </w:p>
    <w:p>
      <w:pPr>
        <w:spacing w:after="0" w:line="3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BY [***], HAS BEEN OMITTED BECAUSE ROIVANT SCIENCES LTD. (THE “COMPANY”)</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HAS DETERMINED THAT THE INFORMATION (I) IS NOT MATERIAL AND (II) WOULD</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LIKELY CAUSE COMPETITIVE HARM TO THE COMPANY IF PUBLICLY DISCLOSED.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5"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INVESTOR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September 13, 2021, by and among Priovant Holdings,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with offices at [***]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Roivant Sciences Ltd., an exempted limited company incorporated under the laws of Bermuda with its registered office at [***] (“</w:t>
      </w:r>
      <w:r>
        <w:rPr>
          <w:rFonts w:ascii="Times New Roman" w:cs="Times New Roman" w:eastAsia="Times New Roman" w:hAnsi="Times New Roman"/>
          <w:sz w:val="18"/>
          <w:szCs w:val="18"/>
          <w:b w:val="1"/>
          <w:bCs w:val="1"/>
          <w:color w:val="auto"/>
        </w:rPr>
        <w:t>Roivant</w:t>
      </w:r>
      <w:r>
        <w:rPr>
          <w:rFonts w:ascii="Times New Roman" w:cs="Times New Roman" w:eastAsia="Times New Roman" w:hAnsi="Times New Roman"/>
          <w:sz w:val="18"/>
          <w:szCs w:val="18"/>
          <w:color w:val="auto"/>
        </w:rPr>
        <w:t>”), Pfizer Inc., a Delaware corporation with offices at [***] (“</w:t>
      </w:r>
      <w:r>
        <w:rPr>
          <w:rFonts w:ascii="Times New Roman" w:cs="Times New Roman" w:eastAsia="Times New Roman" w:hAnsi="Times New Roman"/>
          <w:sz w:val="18"/>
          <w:szCs w:val="18"/>
          <w:b w:val="1"/>
          <w:bCs w:val="1"/>
          <w:color w:val="auto"/>
        </w:rPr>
        <w:t>Pfizer</w:t>
      </w:r>
      <w:r>
        <w:rPr>
          <w:rFonts w:ascii="Times New Roman" w:cs="Times New Roman" w:eastAsia="Times New Roman" w:hAnsi="Times New Roman"/>
          <w:sz w:val="18"/>
          <w:szCs w:val="18"/>
          <w:color w:val="auto"/>
        </w:rPr>
        <w:t>”) and each other Person that becomes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hereunder after the date hereof in accordance with this Agreement. Each of the Company and the Investors shall be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Roivant, and Pfizer are parties to that certain Stock Purchase Agreement dated as of the date hereof (as it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from time to time, the “</w:t>
      </w:r>
      <w:r>
        <w:rPr>
          <w:rFonts w:ascii="Times New Roman" w:cs="Times New Roman" w:eastAsia="Times New Roman" w:hAnsi="Times New Roman"/>
          <w:sz w:val="18"/>
          <w:szCs w:val="18"/>
          <w:b w:val="1"/>
          <w:bCs w:val="1"/>
          <w:color w:val="auto"/>
        </w:rPr>
        <w:t>Stock Purchase Agreement</w:t>
      </w:r>
      <w:r>
        <w:rPr>
          <w:rFonts w:ascii="Times New Roman" w:cs="Times New Roman" w:eastAsia="Times New Roman" w:hAnsi="Times New Roman"/>
          <w:sz w:val="18"/>
          <w:szCs w:val="18"/>
          <w:color w:val="auto"/>
        </w:rPr>
        <w:t>”) and Priovant, Inc., a wholly-owned Subsidiary of the Company, and Pfizer are parties to that certain License Agreement dated as of the date hereof (as it may be amended from time to time, the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induce the Company, Roivant, and Pfizer to enter into the Stock Purchase Agreement and to induce Priovant, Inc.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Pfizer to enter into the License Agreement, and to perform the transactions contemplated thereby and hereby, the Investors and the Company hereby agree that this Agreement shall govern the rights of the Investors to cause the Company to register certain of their Equity Securities, to receive certain information from the Company, and certain other matters as set forth herein.</w:t>
      </w:r>
    </w:p>
    <w:p>
      <w:pPr>
        <w:spacing w:after="0" w:line="176"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and the mutual covenants contained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hereby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any direct or indirect parent or Subsidiary of such Person (it being understood, for the avoidance of doubt, that a Person is only deemed an Affiliate of another Person at such times that the criteria set forth in this definition apply).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has a correlative meaning.</w:t>
      </w:r>
    </w:p>
    <w:p>
      <w:pPr>
        <w:spacing w:after="0" w:line="176"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ectPr>
          <w:pgSz w:w="11900" w:h="16838" w:orient="portrait"/>
          <w:cols w:equalWidth="0" w:num="1">
            <w:col w:w="11020"/>
          </w:cols>
          <w:pgMar w:left="440" w:top="121" w:right="439" w:bottom="1440" w:gutter="0" w:footer="0" w:header="0"/>
        </w:sectPr>
      </w:pPr>
    </w:p>
    <w:bookmarkStart w:id="476" w:name="page477"/>
    <w:bookmarkEnd w:id="476"/>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a national or public holiday, on which commercial banks in the State of New York, United States, and London, England are open for the transaction of commercial banking business.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Company’s Certificate of Incorporation, as amended or restated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shares of the Company’s common stock, par value $0.01 per share.</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contract, lease, license, sublicense, indenture, loan, note, agreement or other legally binding commitment, arrangement or undertaking (whether written or oral and whether express or implied).</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correlative meanings, the terms “controlled by” and “under common control with”), as used with respect to any Person or group of Persons, means (a) possession, directly or indirectly, of the power to direct or cause the direction of the management and policies of the Person, whether through the Beneficial Ownership of voting securities, by Contract or otherwise or (b) Beneficial Ownership of at least fifty percent (50%) of the aggregate voting rights of issued and outstanding equity securities that are entitled to vote at a general meeting of such Person.</w:t>
      </w:r>
    </w:p>
    <w:p>
      <w:pPr>
        <w:spacing w:after="0" w:line="176"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Strategic Relationship</w:t>
      </w:r>
      <w:r>
        <w:rPr>
          <w:rFonts w:ascii="Times New Roman" w:cs="Times New Roman" w:eastAsia="Times New Roman" w:hAnsi="Times New Roman"/>
          <w:sz w:val="18"/>
          <w:szCs w:val="18"/>
          <w:color w:val="auto"/>
        </w:rPr>
        <w:t>” means one or more agreements, arrangements or transactions that establishes, effects, amends or modifies any of the following; [***].</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means any loss, damage, claim or liability (joint or several) to which a Person is subject or may become subject under the Securities Act, the Exchange Act, or other applicable Laws or Orders, insofar as such loss, damage, claim or liability (or any action in respect thereof) arises out of or is based upon: (a) any untrue statement or alleged untrue statement of a material fact contained in any registration statement of the Company, including any preliminary prospectus or final prospectus contained therein or any amendments or supplements thereto; (b) an omission or alleged omission to state therein a material fact required to be stated therein, or necessary to make the statements therein not misleading; or (c) any violation or alleged violation by the indemnifying party (or any of its agents or Affiliates) of the Securities Act, the Exchange Act, any other applicable securities Law or Order.</w:t>
      </w:r>
    </w:p>
    <w:p>
      <w:pPr>
        <w:spacing w:after="0" w:line="183"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Affiliate</w:t>
      </w:r>
      <w:r>
        <w:rPr>
          <w:rFonts w:ascii="Times New Roman" w:cs="Times New Roman" w:eastAsia="Times New Roman" w:hAnsi="Times New Roman"/>
          <w:sz w:val="18"/>
          <w:szCs w:val="18"/>
          <w:color w:val="auto"/>
        </w:rPr>
        <w:t>” means (a) with respect to the Company, Roivant Sciences Ltd. and any Person controlled by Roivant Sciences Ltd., (b) with respect to Pfizer, any Person controlled by Pfizer and (c) with respect to any other Person that becomes an Investor hereunder, the ultimate parent entity of such Person, and each other Person controlled by such ultimate parent entity.</w:t>
      </w:r>
    </w:p>
    <w:p>
      <w:pPr>
        <w:spacing w:after="0" w:line="17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without duplication, (a) the Shares, (b) any other class or series of equity security or equity-linked security issued by the Company and (c) any other securities or rights (including options and warrants) convertible into or exchangeable or exercisable for (in each case, directly or indirectly) Shares or any other class or series of equity or equity-linked securities issued by the Company.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Registration</w:t>
      </w:r>
      <w:r>
        <w:rPr>
          <w:rFonts w:ascii="Times New Roman" w:cs="Times New Roman" w:eastAsia="Times New Roman" w:hAnsi="Times New Roman"/>
          <w:sz w:val="18"/>
          <w:szCs w:val="18"/>
          <w:color w:val="auto"/>
        </w:rPr>
        <w:t>” means: (a) a registration relating to the sale of securities to employees of the Company or a Subsidiary of the Company pursuant to an equity option, equity purchase, or similar plan; (b) a registration relating to an SEC Rule 145 transaction; (c) a registration in connection with an exchange offer; (d) a registration in which the only securities being registered are securities issuable upon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5" w:right="479" w:bottom="1440" w:gutter="0" w:footer="0" w:header="0"/>
        </w:sectPr>
      </w:pPr>
    </w:p>
    <w:bookmarkStart w:id="477" w:name="page478"/>
    <w:bookmarkEnd w:id="477"/>
    <w:p>
      <w:pPr>
        <w:ind w:right="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conversion of other securities that are also being registered; (e) a registration relating to the acquisition of, or combination with, another Person, including any registration on Form S-4 or F-4 (or any successor thereto) or its foreign equivalent; or (f) a registration on any form that does not include substantially the same information as would be required to be included in a registration statement covering the sale of the Registrable Securities.</w:t>
      </w:r>
    </w:p>
    <w:p>
      <w:pPr>
        <w:spacing w:after="0" w:line="15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Securities</w:t>
      </w:r>
      <w:r>
        <w:rPr>
          <w:rFonts w:ascii="Times New Roman" w:cs="Times New Roman" w:eastAsia="Times New Roman" w:hAnsi="Times New Roman"/>
          <w:sz w:val="18"/>
          <w:szCs w:val="18"/>
          <w:color w:val="auto"/>
        </w:rPr>
        <w:t xml:space="preserve">” means: (a) Equity Securities issued by reason of a dividend, share split, split-up or other dividend or distribution on Equity Securities,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Equity Securities are issued to all Holders, pro rata to the number of Equity Securities held or otherwise in accordance with the terms of such Equity Securities; (b) Equity Securities issued to officers, employees or directors of, or consultants or advisors to, the Company or any of its Subsidiaries pursuant to a plan, agreement or arrangement approved by the Board; (c) Equity Securities issued pursuant to an employee stock option plan, management incentive plan, restricted stock plan, stock purchase plan or stock ownership or similar benefit plan, program or agreement as approved by the Board; (d) Equity Securities issued upon the exercise or conversion of other Equity Securities, in each case provided such issuance is pursuant to the terms of such Equity Security; (e) Equity Securities issued to banks, equipment lessors, other financial institutions, or to real property lessors or other Persons, pursuant to debt financing, equipment leasing or real property leasing transactions approved by the Board; (f) Equity Securities issued to suppliers or third party service providers in connection with the provision of goods or services pursuant to transactions approved by the Board; (g) Equity Securities issued pursuant to the acquisition of, or combination with or into, another Person, business or assets by the Company or any of its Subsidiaries approved by the Board; (h) Equity Securities issued in connection with sponsored research, collaboration, technology license, development, marketing or other similar agreements or strategic partnerships approved by the Board; or (i) Equity Securities issued in connection with a bona fide strategic partnership or commercial arrangement with a Person approved by the Board; or (j) [***].</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means a free writing prospectus, as defined by Rule 405 promulgated under the Securities Act.</w:t>
      </w:r>
    </w:p>
    <w:p>
      <w:pPr>
        <w:spacing w:after="0" w:line="22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Trade Control Laws</w:t>
      </w:r>
      <w:r>
        <w:rPr>
          <w:rFonts w:ascii="Times New Roman" w:cs="Times New Roman" w:eastAsia="Times New Roman" w:hAnsi="Times New Roman"/>
          <w:sz w:val="18"/>
          <w:szCs w:val="18"/>
          <w:color w:val="auto"/>
        </w:rPr>
        <w:t>” means the U.S. Export Administration Regulations; the U.S. International Traffic in Arms Regulations; the U.S. economic sanctions rules and regulations implemented under statutory authority or the President’s Executive Orders and administered by the U.S. Department of the Treasury Office of Foreign Assets Control; E.U. Council Regulations on export controls, including Nos. 428/2009, 267/2012; other E.U. Council sanctions regulations, as implemented in E.U. Member States; United Nations sanctions policies; all relevant regulations and legislative instruments made under any of the above; other applicable economic sanctions, export and import control laws, and other applicable laws, regulations, legislation, Orders and requirements imposed by a relevant Governmental Authority.</w:t>
      </w:r>
    </w:p>
    <w:p>
      <w:pPr>
        <w:spacing w:after="0" w:line="182"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U.S. or non-U.S. federal, state, local or other governmental, administrative or regulatory (including self-regulatory) authority, body, agency, court, tribunal or similar entity, including any taxing authority, any work council or similar labor entity or any department, bureau, division or instrumentality of any of the foregoing.</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69" w:right="559" w:bottom="1440" w:gutter="0" w:footer="0" w:header="0"/>
        </w:sectPr>
      </w:pPr>
    </w:p>
    <w:bookmarkStart w:id="478" w:name="page479"/>
    <w:bookmarkEnd w:id="478"/>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the federal Anti-kickback Statute (42 U.S.C. § 1320a-7b(b)), the Anti-Inducement Law (42 U.S.C. § 1320a-7a(a)(5)), the Civil Monetary Penalty Statute (42 U.S.C. § 1320a-7a), the civil False Claims Act (31 U.S.C. §§ 3729 et seq.), the administrative False Claims Law (42 U.S.C. § 1320a-7b(a)), the Health Insurance Portability and Accountability Act of 1996 (42 U.S.C. § 1320d et seq.), the exclusion laws (42 U.S.C. § 1320a-7), the FD&amp;C Act (21 U.S.C. §§ 301 et. seq,), the Controlled Substances Act (21 U.S.C. §§ 801 et seq.), Section 1128G of the Social Security Act (the Physician Payment Sunshine Law), The Foreign Corrupt Practices Act (15 U.S.C. § 78dd-1, et seq.), the Medicare Program (Title XVIII of the Social Security Act), the Medicaid Program (Title XIX of the Social Security Act), the regulations promulgated pursuant to such laws, requirements of the Medicaid Drug Rebate Program (42 U.S.C. § 1396r-8) and any state supplemental rebate program, requirements of Medicare average sales price reporting (42 U.S.C. § 1395w-3a), the Public Health Service Act (42 U.S.C. § 256b), the VA Federal Supply Schedule (38 U.S.C. § 8126), state pharmaceutical assistance programs and regulations under such laws, and the U.S. FDA Good Clinical Practices (GCP) (21 C.F.R. Parts 50, 54, 56, 58 and 312), Good Laboratory Practices (GLP) (21 C.F.R. Part 58), and Good Manufacturing Practices (GMP) (21 C.F.R. Parts 210-211 and 820).</w:t>
      </w:r>
    </w:p>
    <w:p>
      <w:pPr>
        <w:spacing w:after="0" w:line="18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means, collectively, the Investors and their respective valid transferees that are holders of Registrable Securities and Party to this Agreement.</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55"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xml:space="preserve">” means the Persons named on Schedule 1 hereto and each Person to whom the rights of such parties are assigned pursuant to Section 6.1 </w:t>
      </w:r>
      <w:r>
        <w:rPr>
          <w:rFonts w:ascii="Times New Roman" w:cs="Times New Roman" w:eastAsia="Times New Roman" w:hAnsi="Times New Roman"/>
          <w:sz w:val="18"/>
          <w:szCs w:val="18"/>
          <w:i w:val="1"/>
          <w:iCs w:val="1"/>
          <w:color w:val="auto"/>
        </w:rPr>
        <w:t>(Successors and Assigns; Third Party Beneficiaries)</w:t>
      </w:r>
      <w:r>
        <w:rPr>
          <w:rFonts w:ascii="Times New Roman" w:cs="Times New Roman" w:eastAsia="Times New Roman" w:hAnsi="Times New Roman"/>
          <w:sz w:val="18"/>
          <w:szCs w:val="18"/>
          <w:color w:val="auto"/>
        </w:rPr>
        <w:t xml:space="preserve"> each Person who hereafter becomes a signatory to this Agreement pursuant to Section 6.14 </w:t>
      </w:r>
      <w:r>
        <w:rPr>
          <w:rFonts w:ascii="Times New Roman" w:cs="Times New Roman" w:eastAsia="Times New Roman" w:hAnsi="Times New Roman"/>
          <w:sz w:val="18"/>
          <w:szCs w:val="18"/>
          <w:i w:val="1"/>
          <w:iCs w:val="1"/>
          <w:color w:val="auto"/>
        </w:rPr>
        <w:t>(Additional Investors)</w:t>
      </w:r>
      <w:r>
        <w:rPr>
          <w:rFonts w:ascii="Times New Roman" w:cs="Times New Roman" w:eastAsia="Times New Roman" w:hAnsi="Times New Roman"/>
          <w:sz w:val="18"/>
          <w:szCs w:val="18"/>
          <w:color w:val="auto"/>
        </w:rPr>
        <w:t xml:space="preserve"> and any one of them, as the context may require; provided, however, that any such Person shall cease to be considered an Investor for purposes of this Agreement if, together with its Designated Affiliates, it ceases to Beneficially Own [***] of the aggregate voting rights of issued and outstanding Equity Securities that are entitled to vote at a meeting of stockholders of the Company; provided, however, that [***].</w:t>
      </w:r>
    </w:p>
    <w:p>
      <w:pPr>
        <w:spacing w:after="0" w:line="182"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international, supranational, national, federal, state or local law, constitution, treaty, convention, statute, ordinance, code, rule, regulation, common law or other similar requirement enacted, adopted, promulgated or applied by any Governmental Authority.</w:t>
      </w:r>
    </w:p>
    <w:p>
      <w:pPr>
        <w:spacing w:after="0" w:line="15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Event</w:t>
      </w:r>
      <w:r>
        <w:rPr>
          <w:rFonts w:ascii="Times New Roman" w:cs="Times New Roman" w:eastAsia="Times New Roman" w:hAnsi="Times New Roman"/>
          <w:sz w:val="18"/>
          <w:szCs w:val="18"/>
          <w:color w:val="auto"/>
        </w:rPr>
        <w:t>” means (a) the Company’s first underwritten public offering of its Shares or any other Equity Securities of the Company pursuant to an effective registration statement filed under the Securities Act or its foreign equivalent, (b) any transaction (including a “direct listing” or “reverse merger IPO” transaction) pursuant to which the Company or any successor entity first becomes subject to the periodic reporting requirements of Section 13 or 15(d) of the Exchange Act or any foreign equivalent, or (c) an acquisition of the Company by, or consolidation, amalgamation, merger, reorganization or other business combination involving the Company with or into, a special purpose acquisition company that is publicly listed on a national or foreign securities exchange and that does not conduct any material business or maintain any material assets other than cash.</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means Equity Securities, whether or not currently authorized.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judgment, order, injunction, decision ruling, writ or decree of any Governmental Authority.</w:t>
      </w:r>
    </w:p>
    <w:p>
      <w:pPr>
        <w:spacing w:after="0" w:line="225"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general or limited partnership, corporation, limited liability company, business trust, joint stock company, trust, unincorporated organization, joint venture, firm, association or other entity or organization (whether or not a legal entity), including any Governmental Authority.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5" w:right="479" w:bottom="1440" w:gutter="0" w:footer="0" w:header="0"/>
        </w:sectPr>
      </w:pPr>
    </w:p>
    <w:bookmarkStart w:id="479" w:name="page480"/>
    <w:bookmarkEnd w:id="4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Preferred Director</w:t>
      </w:r>
      <w:r>
        <w:rPr>
          <w:rFonts w:ascii="Times New Roman" w:cs="Times New Roman" w:eastAsia="Times New Roman" w:hAnsi="Times New Roman"/>
          <w:sz w:val="18"/>
          <w:szCs w:val="18"/>
          <w:color w:val="auto"/>
        </w:rPr>
        <w:t>” means any Series A-1 Preferred Director or Series A-2 Preferred Director.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Series A-1 Preferred Stock and Series A-2 Preferred Stock.</w:t>
      </w:r>
    </w:p>
    <w:p>
      <w:pPr>
        <w:spacing w:after="0" w:line="225"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Listing Event</w:t>
      </w:r>
      <w:r>
        <w:rPr>
          <w:rFonts w:ascii="Times New Roman" w:cs="Times New Roman" w:eastAsia="Times New Roman" w:hAnsi="Times New Roman"/>
          <w:sz w:val="18"/>
          <w:szCs w:val="18"/>
          <w:color w:val="auto"/>
        </w:rPr>
        <w:t>” means (a) the Company’s first underwritten public offering of its capital stock pursuant to an effective registration statement filed under the Securities Act of 1933, as amended, or its foreign equivalent, (b) any transaction (including a “direct listing” or “reverse merger IPO” transaction) pursuant to which the Company or any successor entity first becomes subject to the periodic reporting requirements of Section 13 or 15(d) of the Securities Exchange Act of 1934, as amended, or any foreign equivalent, or (c) an acquisition of the Company by, or consolidation, amalgamation, merger, reorganization or other business combination involving the Company with or into, a special purpose acquisition company that is publicly listed on a national or foreign securities exchange and that does not conduct any material business or maintain any material assets other than cash, in each case of clauses (a)–(c), which results [***].</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xml:space="preserve">” means (a) the Common Stock held by the Investors, including Common Stock issued or issuable (directly or indirectly) upon conversion, exchange or exercise of any other securities of the Company, acquired by the Investors on or after the date hereof; and (b) Common Stock issued as (or issuable upon the conversion or exercise of any warrant, right, or other security that is issued as) a dividend or other distribution with respect to, or in exchange for or in replacement of, the securities referenced in clause (a); excluding in all cases, any Registrable Securities Transferred by a Person in a transaction in which the applicable rights under this Agreement are not assigned pursuant to Section 6.1 </w:t>
      </w:r>
      <w:r>
        <w:rPr>
          <w:rFonts w:ascii="Times New Roman" w:cs="Times New Roman" w:eastAsia="Times New Roman" w:hAnsi="Times New Roman"/>
          <w:sz w:val="18"/>
          <w:szCs w:val="18"/>
          <w:i w:val="1"/>
          <w:iCs w:val="1"/>
          <w:color w:val="auto"/>
        </w:rPr>
        <w:t>(Successors and Assigns;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Party Beneficiaries) </w:t>
      </w:r>
      <w:r>
        <w:rPr>
          <w:rFonts w:ascii="Times New Roman" w:cs="Times New Roman" w:eastAsia="Times New Roman" w:hAnsi="Times New Roman"/>
          <w:sz w:val="18"/>
          <w:szCs w:val="18"/>
          <w:color w:val="auto"/>
        </w:rPr>
        <w:t>and excluding for purposes of Article II</w:t>
      </w:r>
      <w:r>
        <w:rPr>
          <w:rFonts w:ascii="Times New Roman" w:cs="Times New Roman" w:eastAsia="Times New Roman" w:hAnsi="Times New Roman"/>
          <w:sz w:val="18"/>
          <w:szCs w:val="18"/>
          <w:i w:val="1"/>
          <w:iCs w:val="1"/>
          <w:color w:val="auto"/>
        </w:rPr>
        <w:t xml:space="preserve"> (Registration Rights) </w:t>
      </w:r>
      <w:r>
        <w:rPr>
          <w:rFonts w:ascii="Times New Roman" w:cs="Times New Roman" w:eastAsia="Times New Roman" w:hAnsi="Times New Roman"/>
          <w:sz w:val="18"/>
          <w:szCs w:val="18"/>
          <w:color w:val="auto"/>
        </w:rPr>
        <w:t>any securities for which registration rights have terminated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Section 2.13 </w:t>
      </w: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Party Transaction</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Relatives</w:t>
      </w:r>
      <w:r>
        <w:rPr>
          <w:rFonts w:ascii="Times New Roman" w:cs="Times New Roman" w:eastAsia="Times New Roman" w:hAnsi="Times New Roman"/>
          <w:sz w:val="18"/>
          <w:szCs w:val="18"/>
          <w:color w:val="auto"/>
        </w:rPr>
        <w:t>” means, with respect to any individual, collectively, the spouse, parents, siblings and descendants of such individual and their respective issue (whether by blood or adoption and including stepchildren) and the spouses of such persons.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Preferred Director Vote</w:t>
      </w:r>
      <w:r>
        <w:rPr>
          <w:rFonts w:ascii="Times New Roman" w:cs="Times New Roman" w:eastAsia="Times New Roman" w:hAnsi="Times New Roman"/>
          <w:sz w:val="18"/>
          <w:szCs w:val="18"/>
          <w:color w:val="auto"/>
        </w:rPr>
        <w:t>” means the vote of a majority of the Series A-2 Preferred Directors then seated.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Market</w:t>
      </w:r>
      <w:r>
        <w:rPr>
          <w:rFonts w:ascii="Times New Roman" w:cs="Times New Roman" w:eastAsia="Times New Roman" w:hAnsi="Times New Roman"/>
          <w:sz w:val="18"/>
          <w:szCs w:val="18"/>
          <w:color w:val="auto"/>
        </w:rPr>
        <w:t>” means, as applicable under Global Trade Control Laws, the Crimean Peninsula, Cuba, Iran, North Korea, and Syria.</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Party</w:t>
      </w:r>
      <w:r>
        <w:rPr>
          <w:rFonts w:ascii="Times New Roman" w:cs="Times New Roman" w:eastAsia="Times New Roman" w:hAnsi="Times New Roman"/>
          <w:sz w:val="18"/>
          <w:szCs w:val="18"/>
          <w:color w:val="auto"/>
        </w:rPr>
        <w:t>” means any individual or entity on any of the following “</w:t>
      </w:r>
      <w:r>
        <w:rPr>
          <w:rFonts w:ascii="Times New Roman" w:cs="Times New Roman" w:eastAsia="Times New Roman" w:hAnsi="Times New Roman"/>
          <w:sz w:val="18"/>
          <w:szCs w:val="18"/>
          <w:b w:val="1"/>
          <w:bCs w:val="1"/>
          <w:color w:val="auto"/>
        </w:rPr>
        <w:t>Restricted Party Lists</w:t>
      </w:r>
      <w:r>
        <w:rPr>
          <w:rFonts w:ascii="Times New Roman" w:cs="Times New Roman" w:eastAsia="Times New Roman" w:hAnsi="Times New Roman"/>
          <w:sz w:val="18"/>
          <w:szCs w:val="18"/>
          <w:color w:val="auto"/>
        </w:rPr>
        <w:t>”: the list of sanctioned entities maintained by the United Nations; the Specially Designated Nationals List and the Sectoral Sanctions Identifications List, as administered by the U.S. Department of the Treasury Office of Foreign Assets Control; the U.S. Denied Persons List, the U.S. Entity List, and the U.S. Unverified List, all administered by the U.S. Department of Commerce; the entities subject to restrictive measures and the Consolidated List of Persons, Groups and Entities Subject to E.U. Financial Sanctions, as implemented by the E.U. Common Foreign &amp; Security Policy; the List of Excluded Individuals / Entities, as published by the U.S. Health and Human Services – Office of Inspector General; any lists of prohibited or debarred parties established under the FD&amp;C Act; the list of persons and entities suspended or debarred from contracting with the U.S. government; and similar lists of restricted parties maintained by the Governmental Authorities of the countries that have jurisdiction over the activities conducted by the Company.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5" w:right="479" w:bottom="1440" w:gutter="0" w:footer="0" w:header="0"/>
        </w:sectPr>
      </w:pPr>
    </w:p>
    <w:bookmarkStart w:id="480" w:name="page481"/>
    <w:bookmarkEnd w:id="480"/>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means the securities of the Company required to bear the legend set forth in Section 2.12(b) </w:t>
      </w:r>
      <w:r>
        <w:rPr>
          <w:rFonts w:ascii="Times New Roman" w:cs="Times New Roman" w:eastAsia="Times New Roman" w:hAnsi="Times New Roman"/>
          <w:sz w:val="18"/>
          <w:szCs w:val="18"/>
          <w:i w:val="1"/>
          <w:iCs w:val="1"/>
          <w:color w:val="auto"/>
        </w:rPr>
        <w:t>(Restrictions on Transfer)</w:t>
      </w:r>
      <w:r>
        <w:rPr>
          <w:rFonts w:ascii="Times New Roman" w:cs="Times New Roman" w:eastAsia="Times New Roman" w:hAnsi="Times New Roman"/>
          <w:sz w:val="18"/>
          <w:szCs w:val="18"/>
          <w:color w:val="auto"/>
        </w:rPr>
        <w:t xml:space="preserve">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Transaction</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Rule 144</w:t>
      </w:r>
      <w:r>
        <w:rPr>
          <w:rFonts w:ascii="Times New Roman" w:cs="Times New Roman" w:eastAsia="Times New Roman" w:hAnsi="Times New Roman"/>
          <w:sz w:val="18"/>
          <w:szCs w:val="18"/>
          <w:color w:val="auto"/>
        </w:rPr>
        <w:t>” means Rule 144 promulgated by the SEC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Rule 145</w:t>
      </w:r>
      <w:r>
        <w:rPr>
          <w:rFonts w:ascii="Times New Roman" w:cs="Times New Roman" w:eastAsia="Times New Roman" w:hAnsi="Times New Roman"/>
          <w:sz w:val="18"/>
          <w:szCs w:val="18"/>
          <w:color w:val="auto"/>
        </w:rPr>
        <w:t>” means Rule 145 promulgated by the SEC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underwriting discounts, selling commissions, and share transfer taxes applicable to the sale of Registrable Securities, and fees and disbursements of counsel for any Holder.</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A-1 Preferred Director</w:t>
      </w:r>
      <w:r>
        <w:rPr>
          <w:rFonts w:ascii="Times New Roman" w:cs="Times New Roman" w:eastAsia="Times New Roman" w:hAnsi="Times New Roman"/>
          <w:sz w:val="18"/>
          <w:szCs w:val="18"/>
          <w:color w:val="auto"/>
        </w:rPr>
        <w:t>” means any director of the Company that the holders of record of Series A-1 Preferred Stock are entitled to elect, exclusively and as a separate class, pursuant to the Certificate of Incorporation.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A-1 Preferred Stock</w:t>
      </w:r>
      <w:r>
        <w:rPr>
          <w:rFonts w:ascii="Times New Roman" w:cs="Times New Roman" w:eastAsia="Times New Roman" w:hAnsi="Times New Roman"/>
          <w:sz w:val="18"/>
          <w:szCs w:val="18"/>
          <w:color w:val="auto"/>
        </w:rPr>
        <w:t>” means shares of the Company’s Series A-1 Preferred Stock, par value $0.01 per share.</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A-2 Preferred Director</w:t>
      </w:r>
      <w:r>
        <w:rPr>
          <w:rFonts w:ascii="Times New Roman" w:cs="Times New Roman" w:eastAsia="Times New Roman" w:hAnsi="Times New Roman"/>
          <w:sz w:val="18"/>
          <w:szCs w:val="18"/>
          <w:color w:val="auto"/>
        </w:rPr>
        <w:t>” means any director of the Company that the holders of record of Series A-2 Preferred Stock are entitled to elect, exclusively and as a separate class, pursuant to the Certificate of Incorporation.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A-2 Preferred Stock</w:t>
      </w:r>
      <w:r>
        <w:rPr>
          <w:rFonts w:ascii="Times New Roman" w:cs="Times New Roman" w:eastAsia="Times New Roman" w:hAnsi="Times New Roman"/>
          <w:sz w:val="18"/>
          <w:szCs w:val="18"/>
          <w:color w:val="auto"/>
        </w:rPr>
        <w:t>” means shares of the Company’s Series A-2 Preferred Stock, par value $0.01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shares of the Common Stock and the Preferred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Standoff Period</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other Person with respect to which such first Person (a) possesses, directly or indirectly, the power to direct or cause the direction of the management and policies of such Person, whether through the Beneficial Ownership of voting securities, by Contract or otherwise or (b) Beneficially Owns at least fifty percent (50%) of the aggregate voting rights of issued and outstanding Equity Securities that are entitled to vote at a general meeting of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has the meaning given to such term in the Stock Purchase Agreement.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by any Person means to, directly or indirectly, sell, transfer, assign, pledge, encumber, mortgage, hypothecate or otherwise dispose of or transfer (by the operation of Law or otherwise), either voluntarily or involuntarily.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5" w:right="459" w:bottom="1440" w:gutter="0" w:footer="0" w:header="0"/>
        </w:sectPr>
      </w:pPr>
    </w:p>
    <w:bookmarkStart w:id="481" w:name="page482"/>
    <w:bookmarkEnd w:id="48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2.1 Form S-3 Demand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280" w:firstLine="987"/>
        <w:spacing w:after="0" w:line="272" w:lineRule="auto"/>
        <w:tabs>
          <w:tab w:leader="none" w:pos="1240" w:val="left"/>
        </w:tabs>
        <w:numPr>
          <w:ilvl w:val="1"/>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a Listing Event, if at any time when it is eligible to use a Form S-3 registration statement, the Company receives a request from any Holder (the “</w:t>
      </w:r>
      <w:r>
        <w:rPr>
          <w:rFonts w:ascii="Times New Roman" w:cs="Times New Roman" w:eastAsia="Times New Roman" w:hAnsi="Times New Roman"/>
          <w:sz w:val="17"/>
          <w:szCs w:val="17"/>
          <w:b w:val="1"/>
          <w:bCs w:val="1"/>
          <w:color w:val="auto"/>
        </w:rPr>
        <w:t>Initiating Holder</w:t>
      </w:r>
      <w:r>
        <w:rPr>
          <w:rFonts w:ascii="Times New Roman" w:cs="Times New Roman" w:eastAsia="Times New Roman" w:hAnsi="Times New Roman"/>
          <w:sz w:val="17"/>
          <w:szCs w:val="17"/>
          <w:color w:val="auto"/>
        </w:rPr>
        <w:t>”) that the Company file a Form S-3 registration statement with respect to outstanding Registrable Securities of such Initiating Holder having an anticipated aggregate offering price, net of Selling Expenses, of at least [***], then the Company shall,</w:t>
      </w:r>
    </w:p>
    <w:p>
      <w:pPr>
        <w:spacing w:after="0" w:line="1"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 after the date such request is given, give notice of such demand (a “</w:t>
      </w:r>
      <w:r>
        <w:rPr>
          <w:rFonts w:ascii="Times New Roman" w:cs="Times New Roman" w:eastAsia="Times New Roman" w:hAnsi="Times New Roman"/>
          <w:sz w:val="17"/>
          <w:szCs w:val="17"/>
          <w:b w:val="1"/>
          <w:bCs w:val="1"/>
          <w:color w:val="auto"/>
        </w:rPr>
        <w:t>Demand Notice</w:t>
      </w:r>
      <w:r>
        <w:rPr>
          <w:rFonts w:ascii="Times New Roman" w:cs="Times New Roman" w:eastAsia="Times New Roman" w:hAnsi="Times New Roman"/>
          <w:sz w:val="17"/>
          <w:szCs w:val="17"/>
          <w:color w:val="auto"/>
        </w:rPr>
        <w:t>”) to all Holders other than the Initiating Holder; and</w:t>
      </w:r>
    </w:p>
    <w:p>
      <w:pPr>
        <w:spacing w:after="0" w:line="20" w:lineRule="exact"/>
        <w:rPr>
          <w:rFonts w:ascii="Times New Roman" w:cs="Times New Roman" w:eastAsia="Times New Roman" w:hAnsi="Times New Roman"/>
          <w:sz w:val="17"/>
          <w:szCs w:val="17"/>
          <w:color w:val="auto"/>
        </w:rPr>
      </w:pPr>
    </w:p>
    <w:p>
      <w:pPr>
        <w:ind w:left="4" w:right="180" w:hanging="4"/>
        <w:spacing w:after="0" w:line="253" w:lineRule="auto"/>
        <w:tabs>
          <w:tab w:leader="none" w:pos="26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and in any event within [***] after the date such request is given by the Initiating Holder, file a Form S-3 registration statement under the Securities Act covering all Registrable Securities requested to be included in such registration by the Initiating Holder and by any other Holder, as specified by notice given by each such Holder to the Company within [***] of the date the Demand Notice is given, and in each case, subject to the limitations of Section 2.1(b) </w:t>
      </w:r>
      <w:r>
        <w:rPr>
          <w:rFonts w:ascii="Times New Roman" w:cs="Times New Roman" w:eastAsia="Times New Roman" w:hAnsi="Times New Roman"/>
          <w:sz w:val="18"/>
          <w:szCs w:val="18"/>
          <w:i w:val="1"/>
          <w:iCs w:val="1"/>
          <w:color w:val="auto"/>
        </w:rPr>
        <w:t>(Form S-3 Demand Registration)</w:t>
      </w:r>
      <w:r>
        <w:rPr>
          <w:rFonts w:ascii="Times New Roman" w:cs="Times New Roman" w:eastAsia="Times New Roman" w:hAnsi="Times New Roman"/>
          <w:sz w:val="18"/>
          <w:szCs w:val="18"/>
          <w:color w:val="auto"/>
        </w:rPr>
        <w:t xml:space="preserve"> and Section 2.3 </w:t>
      </w:r>
      <w:r>
        <w:rPr>
          <w:rFonts w:ascii="Times New Roman" w:cs="Times New Roman" w:eastAsia="Times New Roman" w:hAnsi="Times New Roman"/>
          <w:sz w:val="18"/>
          <w:szCs w:val="18"/>
          <w:i w:val="1"/>
          <w:iCs w:val="1"/>
          <w:color w:val="auto"/>
        </w:rPr>
        <w:t>(Underwriting Requirements)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obligations, if the Company furnishes to the Initiating Holder a certificate signed by any of the Company’s authorized officers stating that in the good faith judgment of the Board it would or would reasonably be expected to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or suspend the use of such registration statement (a “</w:t>
      </w:r>
      <w:r>
        <w:rPr>
          <w:rFonts w:ascii="Times New Roman" w:cs="Times New Roman" w:eastAsia="Times New Roman" w:hAnsi="Times New Roman"/>
          <w:sz w:val="18"/>
          <w:szCs w:val="18"/>
          <w:b w:val="1"/>
          <w:bCs w:val="1"/>
          <w:color w:val="auto"/>
        </w:rPr>
        <w:t>Suspension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permitted to exercise a Suspension Period for more than a total of [***] consecutive calendar days or more than [***] total calendar days in any [***] period; and provided further that the Company shall not register any securities for its own account or that of any other stockholder during any such Suspension Period other than an Excluded Registration. Each Holder agrees that, upon receipt of notice from the Company of the occurrence of a Suspension Period, such Holder shall cease offering, selling or distributing the Registrable Securities owned by such Holder until the Company notifies such Holder that such Suspension Period has ended.</w:t>
      </w:r>
    </w:p>
    <w:p>
      <w:pPr>
        <w:spacing w:after="0" w:line="187"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4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or to take any action to effect, any registration pursuant to Section 2.1(a) </w:t>
      </w:r>
      <w:r>
        <w:rPr>
          <w:rFonts w:ascii="Times New Roman" w:cs="Times New Roman" w:eastAsia="Times New Roman" w:hAnsi="Times New Roman"/>
          <w:sz w:val="18"/>
          <w:szCs w:val="18"/>
          <w:i w:val="1"/>
          <w:iCs w:val="1"/>
          <w:color w:val="auto"/>
        </w:rPr>
        <w:t>(Form S-3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Demand Registration)</w:t>
      </w:r>
      <w:r>
        <w:rPr>
          <w:rFonts w:ascii="Times New Roman" w:cs="Times New Roman" w:eastAsia="Times New Roman" w:hAnsi="Times New Roman"/>
          <w:sz w:val="18"/>
          <w:szCs w:val="18"/>
          <w:color w:val="auto"/>
        </w:rPr>
        <w:t>: (i) during the period that is [***] before the Company’s good faith estimate of the date of filing of, and ending on a date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after the effective date of, a Company-initiated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commercially reasonable efforts to cause such registration statement to become effective; or (ii) if the Company has effected [***] registrations pursuant to Section 2.1(a) </w:t>
      </w:r>
      <w:r>
        <w:rPr>
          <w:rFonts w:ascii="Times New Roman" w:cs="Times New Roman" w:eastAsia="Times New Roman" w:hAnsi="Times New Roman"/>
          <w:sz w:val="18"/>
          <w:szCs w:val="18"/>
          <w:i w:val="1"/>
          <w:iCs w:val="1"/>
          <w:color w:val="auto"/>
        </w:rPr>
        <w:t>(Form S-3 Demand Registration)</w:t>
      </w:r>
      <w:r>
        <w:rPr>
          <w:rFonts w:ascii="Times New Roman" w:cs="Times New Roman" w:eastAsia="Times New Roman" w:hAnsi="Times New Roman"/>
          <w:sz w:val="18"/>
          <w:szCs w:val="18"/>
          <w:color w:val="auto"/>
        </w:rPr>
        <w:t xml:space="preserve"> within the [***] period immediately preceding the date of such request. A registration shall not be counted as “effected” for purposes of this Section 2.1(c) </w:t>
      </w:r>
      <w:r>
        <w:rPr>
          <w:rFonts w:ascii="Times New Roman" w:cs="Times New Roman" w:eastAsia="Times New Roman" w:hAnsi="Times New Roman"/>
          <w:sz w:val="18"/>
          <w:szCs w:val="18"/>
          <w:i w:val="1"/>
          <w:iCs w:val="1"/>
          <w:color w:val="auto"/>
        </w:rPr>
        <w:t>(Form S-3 Demand Registration)</w:t>
      </w:r>
      <w:r>
        <w:rPr>
          <w:rFonts w:ascii="Times New Roman" w:cs="Times New Roman" w:eastAsia="Times New Roman" w:hAnsi="Times New Roman"/>
          <w:sz w:val="18"/>
          <w:szCs w:val="18"/>
          <w:color w:val="auto"/>
        </w:rPr>
        <w:t xml:space="preserve"> until such time as the applicable registration statement has been declared effective by the SEC, unless the Initiating Holder withdraws its request for such registration, elects not to pay the registration expenses therefor, and forfeits its right to one demand registration statement pursuant to Section 2.6 </w:t>
      </w: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xml:space="preserve">, in which case such withdrawn registration statement shall be counted as “effected” for purposes of this Section 2.1(c) </w:t>
      </w:r>
      <w:r>
        <w:rPr>
          <w:rFonts w:ascii="Times New Roman" w:cs="Times New Roman" w:eastAsia="Times New Roman" w:hAnsi="Times New Roman"/>
          <w:sz w:val="18"/>
          <w:szCs w:val="18"/>
          <w:i w:val="1"/>
          <w:iCs w:val="1"/>
          <w:color w:val="auto"/>
        </w:rPr>
        <w:t>(Form S-3 Demand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withdrawal is during a period the Company has deferred taking action pursuant to Section 2.1(b) </w:t>
      </w:r>
      <w:r>
        <w:rPr>
          <w:rFonts w:ascii="Times New Roman" w:cs="Times New Roman" w:eastAsia="Times New Roman" w:hAnsi="Times New Roman"/>
          <w:sz w:val="18"/>
          <w:szCs w:val="18"/>
          <w:i w:val="1"/>
          <w:iCs w:val="1"/>
          <w:color w:val="auto"/>
        </w:rPr>
        <w:t>(Form S-3 Demand Registration)</w:t>
      </w:r>
      <w:r>
        <w:rPr>
          <w:rFonts w:ascii="Times New Roman" w:cs="Times New Roman" w:eastAsia="Times New Roman" w:hAnsi="Times New Roman"/>
          <w:sz w:val="18"/>
          <w:szCs w:val="18"/>
          <w:color w:val="auto"/>
        </w:rPr>
        <w:t xml:space="preserve">, then the Initiating Holders may withdraw their request for registration and such registration will not be counted as “effected” for purposes of this Section 2.1(c) </w:t>
      </w:r>
      <w:r>
        <w:rPr>
          <w:rFonts w:ascii="Times New Roman" w:cs="Times New Roman" w:eastAsia="Times New Roman" w:hAnsi="Times New Roman"/>
          <w:sz w:val="18"/>
          <w:szCs w:val="18"/>
          <w:i w:val="1"/>
          <w:iCs w:val="1"/>
          <w:color w:val="auto"/>
        </w:rPr>
        <w:t>(Form S-3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Demand Registration)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5" w:right="459" w:bottom="1440" w:gutter="0" w:footer="0" w:header="0"/>
        </w:sectPr>
      </w:pPr>
    </w:p>
    <w:bookmarkStart w:id="482" w:name="page483"/>
    <w:bookmarkEnd w:id="482"/>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2.2 Company Registration</w:t>
      </w:r>
      <w:r>
        <w:rPr>
          <w:rFonts w:ascii="Times New Roman" w:cs="Times New Roman" w:eastAsia="Times New Roman" w:hAnsi="Times New Roman"/>
          <w:sz w:val="18"/>
          <w:szCs w:val="18"/>
          <w:color w:val="auto"/>
        </w:rPr>
        <w:t>. If the Company proposes to register (including, for this purpose, a registration effected by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other than the Holders) any of its Shares or other Equity Securities under the Securities Act in connection with the public offering of such securities solely for cash (other than in an Excluded Registration), the Company shall, at such time, promptly give each Holder notice of such registration, which notice shall describe the amount and type of securities to be included in such offer, the proposed manner of distribution and the name of the managing underwriter (if any and if known at such time). Upon the request of each Holder given within [***] after such notice is given by the Company, the Company shall, subject to the provisions of Section 2.3 </w:t>
      </w:r>
      <w:r>
        <w:rPr>
          <w:rFonts w:ascii="Times New Roman" w:cs="Times New Roman" w:eastAsia="Times New Roman" w:hAnsi="Times New Roman"/>
          <w:sz w:val="18"/>
          <w:szCs w:val="18"/>
          <w:i w:val="1"/>
          <w:iCs w:val="1"/>
          <w:color w:val="auto"/>
        </w:rPr>
        <w:t>(Underwriting Requirements)</w:t>
      </w:r>
      <w:r>
        <w:rPr>
          <w:rFonts w:ascii="Times New Roman" w:cs="Times New Roman" w:eastAsia="Times New Roman" w:hAnsi="Times New Roman"/>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Section 2.2 </w:t>
      </w:r>
      <w:r>
        <w:rPr>
          <w:rFonts w:ascii="Times New Roman" w:cs="Times New Roman" w:eastAsia="Times New Roman" w:hAnsi="Times New Roman"/>
          <w:sz w:val="18"/>
          <w:szCs w:val="18"/>
          <w:i w:val="1"/>
          <w:iCs w:val="1"/>
          <w:color w:val="auto"/>
        </w:rPr>
        <w:t>(Company Registration)</w:t>
      </w:r>
      <w:r>
        <w:rPr>
          <w:rFonts w:ascii="Times New Roman" w:cs="Times New Roman" w:eastAsia="Times New Roman" w:hAnsi="Times New Roman"/>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Section 2.6 </w:t>
      </w: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2.3 Underwriting Requirements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87"/>
        <w:spacing w:after="0" w:line="252" w:lineRule="auto"/>
        <w:tabs>
          <w:tab w:leader="none" w:pos="123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Section 2.1 </w:t>
      </w:r>
      <w:r>
        <w:rPr>
          <w:rFonts w:ascii="Times New Roman" w:cs="Times New Roman" w:eastAsia="Times New Roman" w:hAnsi="Times New Roman"/>
          <w:sz w:val="18"/>
          <w:szCs w:val="18"/>
          <w:i w:val="1"/>
          <w:iCs w:val="1"/>
          <w:color w:val="auto"/>
        </w:rPr>
        <w:t>(Form S-3 Demand Registration)</w:t>
      </w:r>
      <w:r>
        <w:rPr>
          <w:rFonts w:ascii="Times New Roman" w:cs="Times New Roman" w:eastAsia="Times New Roman" w:hAnsi="Times New Roman"/>
          <w:sz w:val="18"/>
          <w:szCs w:val="18"/>
          <w:color w:val="auto"/>
        </w:rPr>
        <w:t xml:space="preserve">, the Initiating Holder intends to distribute the Registrable Securities covered by its request by means of an underwriting, it shall so advise the Company as a part of their request made pursuant to Section 2.1 </w:t>
      </w:r>
      <w:r>
        <w:rPr>
          <w:rFonts w:ascii="Times New Roman" w:cs="Times New Roman" w:eastAsia="Times New Roman" w:hAnsi="Times New Roman"/>
          <w:sz w:val="18"/>
          <w:szCs w:val="18"/>
          <w:i w:val="1"/>
          <w:iCs w:val="1"/>
          <w:color w:val="auto"/>
        </w:rPr>
        <w:t>(Form S-3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Demand Registration)</w:t>
      </w:r>
      <w:r>
        <w:rPr>
          <w:rFonts w:ascii="Times New Roman" w:cs="Times New Roman" w:eastAsia="Times New Roman" w:hAnsi="Times New Roman"/>
          <w:sz w:val="18"/>
          <w:szCs w:val="18"/>
          <w:color w:val="auto"/>
        </w:rPr>
        <w:t>, and the Company shall include such information in the Demand Notice. The underwriter(s) will be selected by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reasonably acceptable to the Initiating Holder.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Section 2.4(e) </w:t>
      </w:r>
      <w:r>
        <w:rPr>
          <w:rFonts w:ascii="Times New Roman" w:cs="Times New Roman" w:eastAsia="Times New Roman" w:hAnsi="Times New Roman"/>
          <w:sz w:val="18"/>
          <w:szCs w:val="18"/>
          <w:i w:val="1"/>
          <w:iCs w:val="1"/>
          <w:color w:val="auto"/>
        </w:rPr>
        <w:t>(Obligations of the Company)</w:t>
      </w:r>
      <w:r>
        <w:rPr>
          <w:rFonts w:ascii="Times New Roman" w:cs="Times New Roman" w:eastAsia="Times New Roman" w:hAnsi="Times New Roman"/>
          <w:sz w:val="18"/>
          <w:szCs w:val="18"/>
          <w:color w:val="auto"/>
        </w:rPr>
        <w:t xml:space="preserve">) enter into an underwriting agreement in customary form with the underwriter(s) selected for such underwriting; [***]. Notwithstanding any other provision of this Section 2.3 </w:t>
      </w:r>
      <w:r>
        <w:rPr>
          <w:rFonts w:ascii="Times New Roman" w:cs="Times New Roman" w:eastAsia="Times New Roman" w:hAnsi="Times New Roman"/>
          <w:sz w:val="18"/>
          <w:szCs w:val="18"/>
          <w:i w:val="1"/>
          <w:iCs w:val="1"/>
          <w:color w:val="auto"/>
        </w:rPr>
        <w:t>(Underwriting Requirements)</w:t>
      </w:r>
      <w:r>
        <w:rPr>
          <w:rFonts w:ascii="Times New Roman" w:cs="Times New Roman" w:eastAsia="Times New Roman" w:hAnsi="Times New Roman"/>
          <w:sz w:val="18"/>
          <w:szCs w:val="18"/>
          <w:color w:val="auto"/>
        </w:rPr>
        <w:t xml:space="preserve">, if the managing underwriter(s) advise(s) the Initiating Holder in writing that marketing factors require a limitation on the number of shares to be underwritten, then the Initiating Holder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number of Registrable Securities held by the Holders to be included in such underwriting shall not be reduced unless all other securities (held by non-Holders)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94" w:lineRule="exact"/>
        <w:rPr>
          <w:rFonts w:ascii="Times New Roman" w:cs="Times New Roman" w:eastAsia="Times New Roman" w:hAnsi="Times New Roman"/>
          <w:sz w:val="18"/>
          <w:szCs w:val="18"/>
          <w:color w:val="auto"/>
        </w:rPr>
      </w:pPr>
    </w:p>
    <w:p>
      <w:pPr>
        <w:ind w:right="40" w:firstLine="987"/>
        <w:spacing w:after="0" w:line="257" w:lineRule="auto"/>
        <w:tabs>
          <w:tab w:leader="none" w:pos="124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offering involving an underwriting of Shares or other Equity Securities pursuant to Section 2.2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Registration)</w:t>
      </w:r>
      <w:r>
        <w:rPr>
          <w:rFonts w:ascii="Times New Roman" w:cs="Times New Roman" w:eastAsia="Times New Roman" w:hAnsi="Times New Roman"/>
          <w:sz w:val="18"/>
          <w:szCs w:val="18"/>
          <w:color w:val="auto"/>
        </w:rPr>
        <w:t>, the Company shall not be required to include any of the Holders’ Registrable Securities in such underwriting unless the Holders accept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sole discretion determine is compatible with the success of the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5" w:right="499" w:bottom="1440" w:gutter="0" w:footer="0" w:header="0"/>
        </w:sectPr>
      </w:pPr>
    </w:p>
    <w:bookmarkStart w:id="483" w:name="page484"/>
    <w:bookmarkEnd w:id="483"/>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w:t>
      </w:r>
    </w:p>
    <w:p>
      <w:pPr>
        <w:spacing w:after="0" w:line="5" w:lineRule="exact"/>
        <w:rPr>
          <w:sz w:val="20"/>
          <w:szCs w:val="20"/>
          <w:color w:val="auto"/>
        </w:rPr>
      </w:pPr>
    </w:p>
    <w:p>
      <w:pPr>
        <w:ind w:left="4" w:hanging="4"/>
        <w:spacing w:after="0" w:line="251" w:lineRule="auto"/>
        <w:tabs>
          <w:tab w:leader="none" w:pos="43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 of the total number of securities included in such offering, unless such offering is a Qualified Listing Event, in which case the selling Holders may be excluded further if the Company (and, if applicable, the underwriters) makes the determination described above and no other securities of the Company held by others are included in such offering. For purposes of the provision in this Section 2.3(b) </w:t>
      </w:r>
      <w:r>
        <w:rPr>
          <w:rFonts w:ascii="Times New Roman" w:cs="Times New Roman" w:eastAsia="Times New Roman" w:hAnsi="Times New Roman"/>
          <w:sz w:val="18"/>
          <w:szCs w:val="18"/>
          <w:i w:val="1"/>
          <w:iCs w:val="1"/>
          <w:color w:val="auto"/>
        </w:rPr>
        <w:t xml:space="preserve">(Underwriting Requirements) </w:t>
      </w:r>
      <w:r>
        <w:rPr>
          <w:rFonts w:ascii="Times New Roman" w:cs="Times New Roman" w:eastAsia="Times New Roman" w:hAnsi="Times New Roman"/>
          <w:sz w:val="18"/>
          <w:szCs w:val="18"/>
          <w:color w:val="auto"/>
        </w:rPr>
        <w:t>concerning apportionment, for any selling Holder that is a partnership, limited liability company, or corporation,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90" w:lineRule="exact"/>
        <w:rPr>
          <w:rFonts w:ascii="Times New Roman" w:cs="Times New Roman" w:eastAsia="Times New Roman" w:hAnsi="Times New Roman"/>
          <w:sz w:val="18"/>
          <w:szCs w:val="18"/>
          <w:color w:val="auto"/>
        </w:rPr>
      </w:pPr>
    </w:p>
    <w:p>
      <w:pPr>
        <w:ind w:left="4" w:right="340" w:firstLine="987"/>
        <w:spacing w:after="0" w:line="267" w:lineRule="auto"/>
        <w:tabs>
          <w:tab w:leader="none" w:pos="124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2.1 (</w:t>
      </w:r>
      <w:r>
        <w:rPr>
          <w:rFonts w:ascii="Times New Roman" w:cs="Times New Roman" w:eastAsia="Times New Roman" w:hAnsi="Times New Roman"/>
          <w:sz w:val="18"/>
          <w:szCs w:val="18"/>
          <w:i w:val="1"/>
          <w:iCs w:val="1"/>
          <w:color w:val="auto"/>
        </w:rPr>
        <w:t>Form S-3 Demand Registration</w:t>
      </w:r>
      <w:r>
        <w:rPr>
          <w:rFonts w:ascii="Times New Roman" w:cs="Times New Roman" w:eastAsia="Times New Roman" w:hAnsi="Times New Roman"/>
          <w:sz w:val="18"/>
          <w:szCs w:val="18"/>
          <w:color w:val="auto"/>
        </w:rPr>
        <w:t xml:space="preserve">), a registration shall not be counted as “effected” if, as a result of an exercise of the underwriter’s cutback provisions in Section 2.3(a) </w:t>
      </w:r>
      <w:r>
        <w:rPr>
          <w:rFonts w:ascii="Times New Roman" w:cs="Times New Roman" w:eastAsia="Times New Roman" w:hAnsi="Times New Roman"/>
          <w:sz w:val="18"/>
          <w:szCs w:val="18"/>
          <w:i w:val="1"/>
          <w:iCs w:val="1"/>
          <w:color w:val="auto"/>
        </w:rPr>
        <w:t>(Underwriting Requirements)</w:t>
      </w:r>
      <w:r>
        <w:rPr>
          <w:rFonts w:ascii="Times New Roman" w:cs="Times New Roman" w:eastAsia="Times New Roman" w:hAnsi="Times New Roman"/>
          <w:sz w:val="18"/>
          <w:szCs w:val="18"/>
          <w:color w:val="auto"/>
        </w:rPr>
        <w:t>, fewer than [***] of the total number of Registrable Securities that Holders have requested to be included in such registration statement are actually included.</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2.4 Obligations of the Company</w:t>
      </w:r>
      <w:r>
        <w:rPr>
          <w:rFonts w:ascii="Times New Roman" w:cs="Times New Roman" w:eastAsia="Times New Roman" w:hAnsi="Times New Roman"/>
          <w:sz w:val="18"/>
          <w:szCs w:val="18"/>
          <w:color w:val="auto"/>
        </w:rPr>
        <w:t>. Whenever required under this Article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effect the registration of any</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Registrable Securities, the Company shall, as expeditiously as reasonably possible:</w:t>
      </w:r>
    </w:p>
    <w:p>
      <w:pPr>
        <w:spacing w:after="0" w:line="207" w:lineRule="exact"/>
        <w:rPr>
          <w:sz w:val="20"/>
          <w:szCs w:val="20"/>
          <w:color w:val="auto"/>
        </w:rPr>
      </w:pPr>
    </w:p>
    <w:p>
      <w:pPr>
        <w:ind w:left="4" w:firstLine="987"/>
        <w:spacing w:after="0" w:line="255" w:lineRule="auto"/>
        <w:tabs>
          <w:tab w:leader="none" w:pos="124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SEC a registration statement with respect to such Registrable Securities and use commercially reasonable efforts to cause such registration statement to become effective and, upon the request of any Holder, keep such registration statement effective for a period of up to [***] or, if earlier, until the distribution contemplated in the registration statement has been completed;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 period shall be extended for a period of time equal to the period the Holder refrains, at the request of an underwriter of Shares or other Equity Securities, as applicable, from selling any securities included in such registration, and (ii) in the case of any registration of Registrable Securities on Form S-3 that are intended to be offered on a continuous or delayed basis, subject to compliance with applicable SEC rules, such [***] period shall be extended for up to [***], if necessary, to keep the registration statement effective until all such Registrable Securities are sold;</w:t>
      </w:r>
    </w:p>
    <w:p>
      <w:pPr>
        <w:spacing w:after="0" w:line="188"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 and provide the selling Holders and their counsel a reasonable opportunity to review and comment on such amendments and supplements prior to filing them with the SEC;</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9" w:right="479" w:bottom="1440" w:gutter="0" w:footer="0" w:header="0"/>
        </w:sectPr>
      </w:pPr>
    </w:p>
    <w:bookmarkStart w:id="484" w:name="page485"/>
    <w:bookmarkEnd w:id="484"/>
    <w:p>
      <w:pPr>
        <w:ind w:left="-40" w:right="60" w:firstLine="987"/>
        <w:spacing w:after="0" w:line="266" w:lineRule="auto"/>
        <w:tabs>
          <w:tab w:leader="none" w:pos="119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furnish to the selling Holders such numbers of copies of a prospectus, including a preliminary prospectus, as required by the Securities Act, and such other documents as such Holders may reasonably request in order to facilitate the disposition of their Registrable Securities and provide such Holders and their counsel a reasonable opportunity to review and comment on such prospectus prior to filing it with the SEC;</w:t>
      </w:r>
    </w:p>
    <w:p>
      <w:pPr>
        <w:spacing w:after="0" w:line="175" w:lineRule="exact"/>
        <w:rPr>
          <w:rFonts w:ascii="Times New Roman" w:cs="Times New Roman" w:eastAsia="Times New Roman" w:hAnsi="Times New Roman"/>
          <w:sz w:val="18"/>
          <w:szCs w:val="18"/>
          <w:color w:val="auto"/>
        </w:rPr>
      </w:pPr>
    </w:p>
    <w:p>
      <w:pPr>
        <w:ind w:left="-40" w:firstLine="987"/>
        <w:spacing w:after="0" w:line="261" w:lineRule="auto"/>
        <w:tabs>
          <w:tab w:leader="none" w:pos="120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ind w:left="-40" w:right="160" w:firstLine="987"/>
        <w:spacing w:after="0" w:line="282" w:lineRule="auto"/>
        <w:tabs>
          <w:tab w:leader="none" w:pos="119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underwriter(s) of such offering;</w:t>
      </w:r>
    </w:p>
    <w:p>
      <w:pPr>
        <w:spacing w:after="0" w:line="161" w:lineRule="exact"/>
        <w:rPr>
          <w:rFonts w:ascii="Times New Roman" w:cs="Times New Roman" w:eastAsia="Times New Roman" w:hAnsi="Times New Roman"/>
          <w:sz w:val="18"/>
          <w:szCs w:val="18"/>
          <w:color w:val="auto"/>
        </w:rPr>
      </w:pPr>
    </w:p>
    <w:p>
      <w:pPr>
        <w:ind w:left="-40" w:right="100" w:firstLine="987"/>
        <w:spacing w:after="0" w:line="266" w:lineRule="auto"/>
        <w:tabs>
          <w:tab w:leader="none" w:pos="117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left="-40" w:right="60" w:firstLine="987"/>
        <w:spacing w:after="0" w:line="282" w:lineRule="auto"/>
        <w:tabs>
          <w:tab w:leader="none" w:pos="120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ind w:left="-40" w:right="20" w:firstLine="987"/>
        <w:spacing w:after="0" w:line="254" w:lineRule="auto"/>
        <w:tabs>
          <w:tab w:leader="none" w:pos="120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of such Registrable Securities, at any time when a prospectus or Free Writing Prospectus relating thereto is required to be delivered under the Securities Act, of the happening of any event as a result of which the prospectus included in such registration statement, as then in effect, includes an untrue statement of a material fact or omits to state any material fact required to be stated therein or necessary in order to make the statements therein, in light of the circumstances under which they were made, not misleading (which, for the avoidance of doubt, will commence a Suspension Period) and, at the request of any such Holder, the Company will, as soon as reasonably practicable, file and furnish to all such Holders a supplement or amendment to such prospectus or Free Writing Prospectus so that, as thereafter delivered to the purchasers of such Registrable Securities, such prospectus will not contain an untrue statement of a material fact or omit to state any material fact necessary to make the statements therein not misleading in light of the circumstances under which they were made;</w:t>
      </w:r>
    </w:p>
    <w:p>
      <w:pPr>
        <w:spacing w:after="0" w:line="191" w:lineRule="exact"/>
        <w:rPr>
          <w:rFonts w:ascii="Times New Roman" w:cs="Times New Roman" w:eastAsia="Times New Roman" w:hAnsi="Times New Roman"/>
          <w:sz w:val="18"/>
          <w:szCs w:val="18"/>
          <w:color w:val="auto"/>
        </w:rPr>
      </w:pPr>
    </w:p>
    <w:p>
      <w:pPr>
        <w:ind w:left="-40" w:right="20" w:firstLine="987"/>
        <w:spacing w:after="0" w:line="256" w:lineRule="auto"/>
        <w:tabs>
          <w:tab w:leader="none" w:pos="116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87" w:lineRule="exact"/>
        <w:rPr>
          <w:rFonts w:ascii="Times New Roman" w:cs="Times New Roman" w:eastAsia="Times New Roman" w:hAnsi="Times New Roman"/>
          <w:sz w:val="18"/>
          <w:szCs w:val="18"/>
          <w:color w:val="auto"/>
        </w:rPr>
      </w:pPr>
    </w:p>
    <w:p>
      <w:pPr>
        <w:ind w:left="-40" w:right="140" w:firstLine="987"/>
        <w:spacing w:after="0" w:line="266" w:lineRule="auto"/>
        <w:tabs>
          <w:tab w:leader="none" w:pos="116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furnish, at the request of any selling Holder requesting registration of Registrable Securities pursuant to this Article II, if such securities are being sold through underwriters, (i) an opinion, dated such date, of the counsel representing the Company for the purposes of such registration, in form and substance as is customarily given to underwriters in 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80" w:top="269" w:right="479" w:bottom="1440" w:gutter="0" w:footer="0" w:header="0"/>
        </w:sectPr>
      </w:pPr>
    </w:p>
    <w:bookmarkStart w:id="485" w:name="page486"/>
    <w:bookmarkEnd w:id="485"/>
    <w:p>
      <w:pPr>
        <w:ind w:left="4" w:right="3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underwritten public offering, addressed to the underwriters, (ii) a “negative assurances letter”, dated such date, of the legal counsel representing the Company for the purposes of such registration, in form and substance as is customarily given to underwriters in an underwritten public offering and</w:t>
      </w:r>
    </w:p>
    <w:p>
      <w:pPr>
        <w:spacing w:after="0" w:line="1" w:lineRule="exact"/>
        <w:rPr>
          <w:sz w:val="20"/>
          <w:szCs w:val="20"/>
          <w:color w:val="auto"/>
        </w:rPr>
      </w:pPr>
    </w:p>
    <w:p>
      <w:pPr>
        <w:ind w:left="4" w:right="560" w:hanging="4"/>
        <w:spacing w:after="0" w:line="260" w:lineRule="auto"/>
        <w:tabs>
          <w:tab w:leader="none" w:pos="31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81" w:lineRule="exact"/>
        <w:rPr>
          <w:rFonts w:ascii="Times New Roman" w:cs="Times New Roman" w:eastAsia="Times New Roman" w:hAnsi="Times New Roman"/>
          <w:sz w:val="18"/>
          <w:szCs w:val="18"/>
          <w:color w:val="auto"/>
        </w:rPr>
      </w:pPr>
    </w:p>
    <w:p>
      <w:pPr>
        <w:ind w:left="4" w:firstLine="987"/>
        <w:spacing w:after="0" w:line="312" w:lineRule="auto"/>
        <w:tabs>
          <w:tab w:leader="none" w:pos="1250" w:val="left"/>
        </w:tabs>
        <w:numPr>
          <w:ilvl w:val="1"/>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 underwritten offering, the Company shall cause its officers to use their commercially reasonable efforts to support the marketing of the Registrable Securities covered by such offering (including participation in “road shows” or other similar marketing efforts);</w:t>
      </w:r>
    </w:p>
    <w:p>
      <w:pPr>
        <w:spacing w:after="0" w:line="139" w:lineRule="exact"/>
        <w:rPr>
          <w:rFonts w:ascii="Times New Roman" w:cs="Times New Roman" w:eastAsia="Times New Roman" w:hAnsi="Times New Roman"/>
          <w:sz w:val="17"/>
          <w:szCs w:val="17"/>
          <w:color w:val="auto"/>
        </w:rPr>
      </w:pPr>
    </w:p>
    <w:p>
      <w:pPr>
        <w:jc w:val="both"/>
        <w:ind w:left="4" w:right="460" w:firstLine="987"/>
        <w:spacing w:after="0" w:line="266" w:lineRule="auto"/>
        <w:tabs>
          <w:tab w:leader="none" w:pos="121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selling Holder and each underwriter or agent participating in the disposition of Registrable Securities and their respective counsel in connection with any filings required to be made with FINRA, including the use of commercially reasonable efforts to obtain FINRA’s pre-clearance or pre-approval of the registration statement and applicable prospectus upon filing with the SEC;</w:t>
      </w:r>
    </w:p>
    <w:p>
      <w:pPr>
        <w:spacing w:after="0" w:line="175"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30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6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registration statement becomes effective, notify each selling Holder of any request by the SEC that the Company amend or supplement such registration statement or prospectus.</w:t>
      </w:r>
    </w:p>
    <w:p>
      <w:pPr>
        <w:spacing w:after="0" w:line="162"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72"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2.5 Furnish Information</w:t>
      </w:r>
      <w:r>
        <w:rPr>
          <w:rFonts w:ascii="Times New Roman" w:cs="Times New Roman" w:eastAsia="Times New Roman" w:hAnsi="Times New Roman"/>
          <w:sz w:val="18"/>
          <w:szCs w:val="18"/>
          <w:color w:val="auto"/>
        </w:rPr>
        <w:t>. It shall be a condition precedent to the obligations of the Company to take any action pursuant to this Article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(Registration Rights) </w:t>
      </w:r>
      <w:r>
        <w:rPr>
          <w:rFonts w:ascii="Times New Roman" w:cs="Times New Roman" w:eastAsia="Times New Roman" w:hAnsi="Times New Roman"/>
          <w:sz w:val="18"/>
          <w:szCs w:val="18"/>
          <w:color w:val="auto"/>
        </w:rPr>
        <w:t>with respect to the Registrable Securities of any selling Holder that such Holder shall furnish to the Company such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itself, the Registrable Securities held by it, and the intended method of disposition of such securities as is reasonably required to effect the registration of such Holder’s Registrable Securities.</w:t>
      </w:r>
    </w:p>
    <w:p>
      <w:pPr>
        <w:spacing w:after="0" w:line="17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2.6 Expenses of Registration</w:t>
      </w:r>
      <w:r>
        <w:rPr>
          <w:rFonts w:ascii="Times New Roman" w:cs="Times New Roman" w:eastAsia="Times New Roman" w:hAnsi="Times New Roman"/>
          <w:sz w:val="18"/>
          <w:szCs w:val="18"/>
          <w:color w:val="auto"/>
        </w:rPr>
        <w:t>. All expenses (other than Selling Expenses) incurred in connection with registrations, filings,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qualifications pursuant to Article II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xml:space="preserve">, including all registration, filing, and qualification fees; printers’ and accounting fees; fees and disbursements of counsel for the Company; [***], shall be borne and paid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pay for any expenses of any registration proceeding begun pursuant to Section 2.1 </w:t>
      </w:r>
      <w:r>
        <w:rPr>
          <w:rFonts w:ascii="Times New Roman" w:cs="Times New Roman" w:eastAsia="Times New Roman" w:hAnsi="Times New Roman"/>
          <w:sz w:val="18"/>
          <w:szCs w:val="18"/>
          <w:i w:val="1"/>
          <w:iCs w:val="1"/>
          <w:color w:val="auto"/>
        </w:rPr>
        <w:t>(Form S-3 Demand Registration)</w:t>
      </w:r>
      <w:r>
        <w:rPr>
          <w:rFonts w:ascii="Times New Roman" w:cs="Times New Roman" w:eastAsia="Times New Roman" w:hAnsi="Times New Roman"/>
          <w:sz w:val="18"/>
          <w:szCs w:val="18"/>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Section 2.1(a) </w:t>
      </w:r>
      <w:r>
        <w:rPr>
          <w:rFonts w:ascii="Times New Roman" w:cs="Times New Roman" w:eastAsia="Times New Roman" w:hAnsi="Times New Roman"/>
          <w:sz w:val="18"/>
          <w:szCs w:val="18"/>
          <w:i w:val="1"/>
          <w:iCs w:val="1"/>
          <w:color w:val="auto"/>
        </w:rPr>
        <w:t>(Form S-3 Demand Registration)</w:t>
      </w:r>
      <w:r>
        <w:rPr>
          <w:rFonts w:ascii="Times New Roman" w:cs="Times New Roman" w:eastAsia="Times New Roman" w:hAnsi="Times New Roman"/>
          <w:sz w:val="18"/>
          <w:szCs w:val="18"/>
          <w:color w:val="auto"/>
        </w:rPr>
        <w:t xml:space="preserve">; provided further that if, at the time of such withdrawal, (i) the Holders shall have learned of a material adverse change in the condition, business, or prospects of the Company from that known to the Holders at the time of their request and have withdrawn the request with reasonable promptness after learning of such material adverse change or (ii) if the Holders have withdrawn the request in connection with the deferral of a registration by the Company pursuant to Section 2.1(b) </w:t>
      </w:r>
      <w:r>
        <w:rPr>
          <w:rFonts w:ascii="Times New Roman" w:cs="Times New Roman" w:eastAsia="Times New Roman" w:hAnsi="Times New Roman"/>
          <w:sz w:val="18"/>
          <w:szCs w:val="18"/>
          <w:i w:val="1"/>
          <w:iCs w:val="1"/>
          <w:color w:val="auto"/>
        </w:rPr>
        <w:t>(Form S-3 Demand Registration)</w:t>
      </w:r>
      <w:r>
        <w:rPr>
          <w:rFonts w:ascii="Times New Roman" w:cs="Times New Roman" w:eastAsia="Times New Roman" w:hAnsi="Times New Roman"/>
          <w:sz w:val="18"/>
          <w:szCs w:val="18"/>
          <w:color w:val="auto"/>
        </w:rPr>
        <w:t xml:space="preserve">, then the Holders shall not be required to pay any of such expenses and shall not forfeit their right to one registration pursuant to Section 2.1(a) </w:t>
      </w:r>
      <w:r>
        <w:rPr>
          <w:rFonts w:ascii="Times New Roman" w:cs="Times New Roman" w:eastAsia="Times New Roman" w:hAnsi="Times New Roman"/>
          <w:sz w:val="18"/>
          <w:szCs w:val="18"/>
          <w:i w:val="1"/>
          <w:iCs w:val="1"/>
          <w:color w:val="auto"/>
        </w:rPr>
        <w:t>(Form S-3 Demand Registration)</w:t>
      </w:r>
      <w:r>
        <w:rPr>
          <w:rFonts w:ascii="Times New Roman" w:cs="Times New Roman" w:eastAsia="Times New Roman" w:hAnsi="Times New Roman"/>
          <w:sz w:val="18"/>
          <w:szCs w:val="18"/>
          <w:color w:val="auto"/>
        </w:rPr>
        <w:t xml:space="preserve">. All Selling Expenses relating to Registrable Securities registered pursuant to this Article II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xml:space="preserve"> [***] shall be borne and paid by the Holders pro rata on the basis of the number of Registrable Securities registered on their behalf.</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9" w:right="479" w:bottom="1440" w:gutter="0" w:footer="0" w:header="0"/>
        </w:sectPr>
      </w:pPr>
    </w:p>
    <w:bookmarkStart w:id="486" w:name="page487"/>
    <w:bookmarkEnd w:id="486"/>
    <w:p>
      <w:pPr>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2.7 Delay of Registration</w:t>
      </w:r>
      <w:r>
        <w:rPr>
          <w:rFonts w:ascii="Times New Roman" w:cs="Times New Roman" w:eastAsia="Times New Roman" w:hAnsi="Times New Roman"/>
          <w:sz w:val="18"/>
          <w:szCs w:val="18"/>
          <w:color w:val="auto"/>
        </w:rPr>
        <w:t>. No Holder shall have any right to obtain or seek an injunction restraining or otherwise delaying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pursuant to this Agreement as the result of any controversy that might arise with respect to the interpretation or implementation of this Article II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2.8 Indemnification</w:t>
      </w:r>
      <w:r>
        <w:rPr>
          <w:rFonts w:ascii="Times New Roman" w:cs="Times New Roman" w:eastAsia="Times New Roman" w:hAnsi="Times New Roman"/>
          <w:sz w:val="18"/>
          <w:szCs w:val="18"/>
          <w:color w:val="auto"/>
        </w:rPr>
        <w:t>. If any Registrable Securities are included in a registration statement under this Article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53" w:lineRule="auto"/>
        <w:tabs>
          <w:tab w:leader="none" w:pos="123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or Order,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indemnity agreement contained in this Section 2.8(a) </w:t>
      </w: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shall not apply to amounts paid in settlement of any such claim or proceeding if such settlement is effected without the consent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94"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or Order,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indemnity agreement contained in this Section 2.8(b)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Holder, which consent shall not be unreasonably withheld; and provided further that in no event shall the aggregate amounts payable by any Holder by way of indemnity or contribution under Section 2.8(b)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and Section 2.8(d)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exceed the proceeds from the offering received by such Holder (net of any Selling Expenses paid by such Holder), except in the case of fraud or willful misconduct by such Holder.</w:t>
      </w:r>
    </w:p>
    <w:p>
      <w:pPr>
        <w:spacing w:after="0" w:line="185"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2.8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Section 2.8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give the indemnifying party notice of the commencement thereof. The indemnifying party shall have the right to participate in such action and, to the extent the indemnifying party so desires, participate jointly with any</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5" w:right="499" w:bottom="1440" w:gutter="0" w:footer="0" w:header="0"/>
        </w:sectPr>
      </w:pPr>
    </w:p>
    <w:bookmarkStart w:id="487" w:name="page488"/>
    <w:bookmarkEnd w:id="487"/>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indemnifying party to which notice has been given, and to assume the defense thereof with counsel mutually satisfactory to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Section 2.8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Section 2.8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40" w:firstLine="987"/>
        <w:spacing w:after="0" w:line="267" w:lineRule="auto"/>
        <w:tabs>
          <w:tab w:leader="none" w:pos="1250" w:val="left"/>
        </w:tabs>
        <w:numPr>
          <w:ilvl w:val="1"/>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Section 2.8 </w:t>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2.8 </w:t>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 xml:space="preserve"> provides for indemnification in such case, or (ii) contribution under the Securities Act may be required on the part of any Party hereto for which indemnification is provided under this Section 2.8 </w:t>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any such case</w:t>
      </w:r>
    </w:p>
    <w:p>
      <w:pPr>
        <w:ind w:left="4" w:hanging="4"/>
        <w:spacing w:after="0" w:line="252" w:lineRule="auto"/>
        <w:tabs>
          <w:tab w:leader="none" w:pos="25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Holder will be required to contribute any amount in excess of the public offering price of all such Registrable Securities offered and sold by such Holder pursuant to such registration statement (net of any Selling Expenses paid by such Holder), and (y) no Person guilty of fraudulent misrepresentation (within the meaning of Section 11(f) of the Securities Act) will be entitled to contribution from any Person who was not guilty of such fraudulent misrepresentation; and provided further that in no event shall a Holder’s liability pursuant to this Section 2.8(d)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when combined with the amounts paid or payable by such Holder pursuant to Section 2.8(b)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exceed the proceeds from the offering received by such Holder (net of any Selling Expenses paid by such Holder), except in the case of willful misconduct or fraud by such Holder.</w:t>
      </w:r>
    </w:p>
    <w:p>
      <w:pPr>
        <w:spacing w:after="0" w:line="189" w:lineRule="exact"/>
        <w:rPr>
          <w:rFonts w:ascii="Times New Roman" w:cs="Times New Roman" w:eastAsia="Times New Roman" w:hAnsi="Times New Roman"/>
          <w:sz w:val="18"/>
          <w:szCs w:val="18"/>
          <w:color w:val="auto"/>
        </w:rPr>
      </w:pPr>
    </w:p>
    <w:p>
      <w:pPr>
        <w:ind w:left="4" w:right="380" w:firstLine="987"/>
        <w:spacing w:after="0" w:line="266" w:lineRule="auto"/>
        <w:tabs>
          <w:tab w:leader="none" w:pos="124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5" w:lineRule="exact"/>
        <w:rPr>
          <w:rFonts w:ascii="Times New Roman" w:cs="Times New Roman" w:eastAsia="Times New Roman" w:hAnsi="Times New Roman"/>
          <w:sz w:val="18"/>
          <w:szCs w:val="18"/>
          <w:color w:val="auto"/>
        </w:rPr>
      </w:pPr>
    </w:p>
    <w:p>
      <w:pPr>
        <w:ind w:left="4" w:right="540" w:firstLine="987"/>
        <w:spacing w:after="0" w:line="266" w:lineRule="auto"/>
        <w:tabs>
          <w:tab w:leader="none" w:pos="122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superseded by an underwriting agreement entered into in connection with the underwritten public offering, the obligations of the Company and the Holders under this Section 2.8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shall survive the completion of any offering of Registrable Securities in a registration under this Article II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and otherwise shall survive the termination of this Agreement.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69" w:right="479" w:bottom="1440" w:gutter="0" w:footer="0" w:header="0"/>
        </w:sectPr>
      </w:pPr>
    </w:p>
    <w:bookmarkStart w:id="488" w:name="page489"/>
    <w:bookmarkEnd w:id="488"/>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2.9 Reports Under Exchange Act</w:t>
      </w:r>
      <w:r>
        <w:rPr>
          <w:rFonts w:ascii="Times New Roman" w:cs="Times New Roman" w:eastAsia="Times New Roman" w:hAnsi="Times New Roman"/>
          <w:sz w:val="18"/>
          <w:szCs w:val="18"/>
          <w:color w:val="auto"/>
        </w:rPr>
        <w:t>. With a view to making available to the Holders the benefits of SEC Rule 144 and any other rule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of the SEC that may at any time permit a Holder to sell securities of the Company to the public without registration or pursuant to a registration on Form S-3, the Company shall use commercially reasonable efforts to:</w:t>
      </w:r>
    </w:p>
    <w:p>
      <w:pPr>
        <w:spacing w:after="0" w:line="175" w:lineRule="exact"/>
        <w:rPr>
          <w:sz w:val="20"/>
          <w:szCs w:val="20"/>
          <w:color w:val="auto"/>
        </w:rPr>
      </w:pPr>
    </w:p>
    <w:p>
      <w:pPr>
        <w:ind w:right="40" w:firstLine="987"/>
        <w:spacing w:after="0" w:line="266" w:lineRule="auto"/>
        <w:tabs>
          <w:tab w:leader="none" w:pos="123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available adequate current public information, as those terms are understood and defined in SEC Rule 144, at all times after the date of consummation of a Listing Event and for so long as the Company remains subject to the periodic reporting requirements under Sections 13 or 15(d) of the Exchange Act;</w:t>
      </w:r>
    </w:p>
    <w:p>
      <w:pPr>
        <w:spacing w:after="0" w:line="175" w:lineRule="exact"/>
        <w:rPr>
          <w:rFonts w:ascii="Times New Roman" w:cs="Times New Roman" w:eastAsia="Times New Roman" w:hAnsi="Times New Roman"/>
          <w:sz w:val="18"/>
          <w:szCs w:val="18"/>
          <w:color w:val="auto"/>
        </w:rPr>
      </w:pPr>
    </w:p>
    <w:p>
      <w:pPr>
        <w:ind w:right="600" w:firstLine="987"/>
        <w:spacing w:after="0" w:line="282" w:lineRule="auto"/>
        <w:tabs>
          <w:tab w:leader="none" w:pos="124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Securities Act and the Exchange Act (at any time after the Company has become subject to such reporting requirements); and</w:t>
      </w:r>
    </w:p>
    <w:p>
      <w:pPr>
        <w:spacing w:after="0" w:line="161"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so long as such Holder owns any Registrable Securities, forthwith upon request (i) to the extent accurate, a written statement by the Company that it has complied with the reporting requirements of SEC Rule 144 (at any time after 90 days after the applicable Listing Event),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8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2.10 Limitations on Subsequent Registration Rights</w:t>
      </w:r>
      <w:r>
        <w:rPr>
          <w:rFonts w:ascii="Times New Roman" w:cs="Times New Roman" w:eastAsia="Times New Roman" w:hAnsi="Times New Roman"/>
          <w:sz w:val="18"/>
          <w:szCs w:val="18"/>
          <w:color w:val="auto"/>
        </w:rPr>
        <w:t>. From and after the date of this Agreement, the Company shall not,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written consent of the Holders, enter into any agreement with any holder or prospective holder of any securities of the Company that: (a) would provide to such holder the right to include securities in any registration on other than either (i) a pro rata basis with respect to the Registrable Securities or (ii) on a subordinate basis after all of the Holders have had the opportunity to include in the registration and offering all Registrable Securities that they wish to so include or (b) allow such holder or prospective holder to initiate a demand for registration of any securities held by such holder or prospective holder.</w:t>
      </w:r>
    </w:p>
    <w:p>
      <w:pPr>
        <w:spacing w:after="0" w:line="182"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Section 2.11 “Market Stand-off” Agreement</w:t>
      </w:r>
      <w:r>
        <w:rPr>
          <w:rFonts w:ascii="Times New Roman" w:cs="Times New Roman" w:eastAsia="Times New Roman" w:hAnsi="Times New Roman"/>
          <w:sz w:val="17"/>
          <w:szCs w:val="17"/>
          <w:color w:val="auto"/>
        </w:rPr>
        <w:t>. Each Holder agrees that it will not, without the prior written consent of the Company and,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applicable, the managing underwriter, during the Standoff Period: (a) lend; offer; pledge; sell; contract to sell; sell any option or contract to purchase; purchase any option or contract to sell; grant any option, right, or warrant to purchase; or otherwise Transfer or dispose of, directly or indirectly, any Shares or any securities convertible into or exercisable or exchangeable (directly or indirectly) for Shares or (b) enter into any swap or other arrangement that Transfers to another, in whole or in part, any of the economic consequences of ownership of such securities, whether any such transaction described in clause (a) or (b) above is to be settled by delivery of Shares or other securities, in cash, or otherwise. The foregoing provisions of this Section 2.11 </w:t>
      </w:r>
      <w:r>
        <w:rPr>
          <w:rFonts w:ascii="Times New Roman" w:cs="Times New Roman" w:eastAsia="Times New Roman" w:hAnsi="Times New Roman"/>
          <w:sz w:val="17"/>
          <w:szCs w:val="17"/>
          <w:i w:val="1"/>
          <w:iCs w:val="1"/>
          <w:color w:val="auto"/>
        </w:rPr>
        <w:t>(“Market Stand-off” Agreement)</w:t>
      </w:r>
      <w:r>
        <w:rPr>
          <w:rFonts w:ascii="Times New Roman" w:cs="Times New Roman" w:eastAsia="Times New Roman" w:hAnsi="Times New Roman"/>
          <w:sz w:val="17"/>
          <w:szCs w:val="17"/>
          <w:color w:val="auto"/>
        </w:rPr>
        <w:t xml:space="preserve"> shall not apply to the sale of any shares to an underwriter pursuant to an underwriting agreement or the Transfer of any shares to any Designated Affiliate of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Designated Affiliate shall agree to be bound by the provisions of this Section 2.11 </w:t>
      </w:r>
      <w:r>
        <w:rPr>
          <w:rFonts w:ascii="Times New Roman" w:cs="Times New Roman" w:eastAsia="Times New Roman" w:hAnsi="Times New Roman"/>
          <w:sz w:val="17"/>
          <w:szCs w:val="17"/>
          <w:i w:val="1"/>
          <w:iCs w:val="1"/>
          <w:color w:val="auto"/>
        </w:rPr>
        <w:t>(“Market Stand-off” Agreement)</w:t>
      </w:r>
      <w:r>
        <w:rPr>
          <w:rFonts w:ascii="Times New Roman" w:cs="Times New Roman" w:eastAsia="Times New Roman" w:hAnsi="Times New Roman"/>
          <w:sz w:val="17"/>
          <w:szCs w:val="17"/>
          <w:color w:val="auto"/>
        </w:rPr>
        <w:t xml:space="preserve"> with respect to future Transfers; provided further that this Section 2.11 </w:t>
      </w:r>
      <w:r>
        <w:rPr>
          <w:rFonts w:ascii="Times New Roman" w:cs="Times New Roman" w:eastAsia="Times New Roman" w:hAnsi="Times New Roman"/>
          <w:sz w:val="17"/>
          <w:szCs w:val="17"/>
          <w:i w:val="1"/>
          <w:iCs w:val="1"/>
          <w:color w:val="auto"/>
        </w:rPr>
        <w:t>(“Market Stand-off”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Agreement) </w:t>
      </w:r>
      <w:r>
        <w:rPr>
          <w:rFonts w:ascii="Times New Roman" w:cs="Times New Roman" w:eastAsia="Times New Roman" w:hAnsi="Times New Roman"/>
          <w:sz w:val="17"/>
          <w:szCs w:val="17"/>
          <w:color w:val="auto"/>
        </w:rPr>
        <w:t>shall be applicable to each Holder and transferee only if all officers and directors of the Company and stockholders with at least a [***]</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ownership of the issued and outstanding Common Stock (after giving effect to the conversion into Common Stock of all outstanding Preferred Stock) immediately prior to (x) in respect of a QLE Standoff Period, the Company entering into an underwriting, business combination or similar agreement in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5" w:right="459" w:bottom="1440" w:gutter="0" w:footer="0" w:header="0"/>
        </w:sectPr>
      </w:pPr>
    </w:p>
    <w:bookmarkStart w:id="489" w:name="page490"/>
    <w:bookmarkEnd w:id="489"/>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connection with a Qualified Listing Event and (y) in respect of a non-QLE Standoff Period, the Company entering into an underwriting agreement in respect of the applicable underwritten public offering, are subject to the same restrictions and the Company obtains a substantially identical agreement from all other Investors. Any discretionary waiver or termination of the restrictions of any or all of such agreements by the Company or the underwriters shall apply pro rata to all Company stockholders that are subject to such agreements, based on the number of shares subject to such agreements. The underwriters, if any, in connection with such Qualified Listing Event or other underwritten public offering of the Company’s Equity Securities under the Securities Act are intended third party beneficiaries of this Section 2.11 </w:t>
      </w:r>
      <w:r>
        <w:rPr>
          <w:rFonts w:ascii="Times New Roman" w:cs="Times New Roman" w:eastAsia="Times New Roman" w:hAnsi="Times New Roman"/>
          <w:sz w:val="18"/>
          <w:szCs w:val="18"/>
          <w:i w:val="1"/>
          <w:iCs w:val="1"/>
          <w:color w:val="auto"/>
        </w:rPr>
        <w:t>(“Market Stand-off” Agreement)</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Each Holder further agrees to execute such agreements as may be reasonably requested by the Company or the underwriters in connection with such registration or other transaction that are consistent with this Section 2.11 </w:t>
      </w:r>
      <w:r>
        <w:rPr>
          <w:rFonts w:ascii="Times New Roman" w:cs="Times New Roman" w:eastAsia="Times New Roman" w:hAnsi="Times New Roman"/>
          <w:sz w:val="18"/>
          <w:szCs w:val="18"/>
          <w:i w:val="1"/>
          <w:iCs w:val="1"/>
          <w:color w:val="auto"/>
        </w:rPr>
        <w:t xml:space="preserve">(“Market Stand-off” Agreement) </w:t>
      </w:r>
      <w:r>
        <w:rPr>
          <w:rFonts w:ascii="Times New Roman" w:cs="Times New Roman" w:eastAsia="Times New Roman" w:hAnsi="Times New Roman"/>
          <w:sz w:val="18"/>
          <w:szCs w:val="18"/>
          <w:color w:val="auto"/>
        </w:rPr>
        <w:t>or that are necessary to give further effect thereto. In order to enforce the foregoing covenant, the Company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 stop-transfer instructions with respect to the Registrable Securities (and the Equity Securities of every other Person subject to the foregoing restriction) until the end of such restricted period.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2.12 Restrictions on Transfer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58" w:lineRule="auto"/>
        <w:tabs>
          <w:tab w:leader="none" w:pos="123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and the Registrable Securities shall not be Transferred, and the Company shall not recognize and shall issue stop-transfer instructions to its transfer agent with respect to any such Transfer, except upon the conditions specified in this Agreement, which conditions are intended to ensure compliance with the provisions of the Securities Act. Each Holder, if effecting a Transfer, will cause any proposed transferee of the Preferred Stock and the Registrable Securities to agree to take and hold such securities subject to the provisions and upon the conditions specified in this Agreement.</w:t>
      </w:r>
    </w:p>
    <w:p>
      <w:pPr>
        <w:spacing w:after="0" w:line="183"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certificate or instrument representing the Preferred Stock, the Registrable Securities, and any other securities issued in respect of such Preferred Stock or Registrable Securities, upon any split, dividend, recapitalization, merger, amalgamation, consolidation, or similar event, shall (unless otherwise permitted by the provisions of Section 2.12(c) </w:t>
      </w:r>
      <w:r>
        <w:rPr>
          <w:rFonts w:ascii="Times New Roman" w:cs="Times New Roman" w:eastAsia="Times New Roman" w:hAnsi="Times New Roman"/>
          <w:sz w:val="18"/>
          <w:szCs w:val="18"/>
          <w:i w:val="1"/>
          <w:iCs w:val="1"/>
          <w:color w:val="auto"/>
        </w:rPr>
        <w:t>(Restrictions on Transfer)</w:t>
      </w:r>
      <w:r>
        <w:rPr>
          <w:rFonts w:ascii="Times New Roman" w:cs="Times New Roman" w:eastAsia="Times New Roman" w:hAnsi="Times New Roman"/>
          <w:sz w:val="18"/>
          <w:szCs w:val="18"/>
          <w:color w:val="auto"/>
        </w:rPr>
        <w:t xml:space="preserve"> be stamped or otherwise imprinted with a legend substantially in the following form:</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SECURITIES REPRESENTED BY THIS CERTIFICATE WERE ORIGINALLY ISSUED ON __________ ____, 20__, HAVE</w:t>
      </w:r>
    </w:p>
    <w:p>
      <w:pPr>
        <w:spacing w:after="0" w:line="27" w:lineRule="exact"/>
        <w:rPr>
          <w:sz w:val="20"/>
          <w:szCs w:val="20"/>
          <w:color w:val="auto"/>
        </w:rPr>
      </w:pPr>
    </w:p>
    <w:p>
      <w:pPr>
        <w:ind w:left="980"/>
        <w:spacing w:after="0" w:line="273" w:lineRule="auto"/>
        <w:rPr>
          <w:sz w:val="20"/>
          <w:szCs w:val="20"/>
          <w:color w:val="auto"/>
        </w:rPr>
      </w:pPr>
      <w:r>
        <w:rPr>
          <w:rFonts w:ascii="Times New Roman" w:cs="Times New Roman" w:eastAsia="Times New Roman" w:hAnsi="Times New Roman"/>
          <w:sz w:val="17"/>
          <w:szCs w:val="17"/>
          <w:color w:val="auto"/>
        </w:rPr>
        <w:t>NOT BEEN REGISTERED UNDER THE SECURITIES ACT OF 1933, AS AMENDED (THE “SECURITIES ACT”), OR APPLICABLE STATE SECURITIES LAWS (“STATE ACTS”) AND MAY NOT BE TRANSFERRED, SOLD, ASSIGNED, PLEDGED, HYPOTHECATED OR OTHERWISE DISPOSED OF (“TRANSFERRED”) IN THE ABSENCE OF AN EFFECTIVE REGISTRATION STATEMENT UNDER THE SECURITIES ACT OR STATE ACTS OR AN EXEMPTION FROM REGISTRATION THEREUNDER.</w:t>
      </w:r>
    </w:p>
    <w:p>
      <w:pPr>
        <w:spacing w:after="0" w:line="64" w:lineRule="exact"/>
        <w:rPr>
          <w:sz w:val="20"/>
          <w:szCs w:val="20"/>
          <w:color w:val="auto"/>
        </w:rPr>
      </w:pPr>
    </w:p>
    <w:p>
      <w:pPr>
        <w:ind w:left="980" w:right="180"/>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MAY NOT BE TRANSFERRED EXCEPT IN ACCORDANCE WITH THE PROVISIONS OF THE BYLAWS OF THE COMPANY, A CERTAIN INVESTOR RIGHTS AGREEMENT BY AND AMONG THE COMPANY AND CERTAIN STOCKHOLDERS OF THE COMPANY AND A CERTAIN RIGHT OF FIRST REFUSAL AND CO-SALE AGREEMENT BY AND AMONG THE COMPANY AND CERTAIN STOCKHOLDERS OF THE COMPANY. ANY TRANSFEREE OF THESE SECURITIES TAKES SUBJECT TO THE TERMS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9" w:right="459" w:bottom="1440" w:gutter="0" w:footer="0" w:header="0"/>
        </w:sectPr>
      </w:pPr>
    </w:p>
    <w:bookmarkStart w:id="490" w:name="page491"/>
    <w:bookmarkEnd w:id="490"/>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Holders consent to the Company’s making a notation in its records and giving instructions to any transfer agent of the Restricted Securities in order to implement the restrictions on Transfer set forth in this Section 2.12 </w:t>
      </w:r>
      <w:r>
        <w:rPr>
          <w:rFonts w:ascii="Times New Roman" w:cs="Times New Roman" w:eastAsia="Times New Roman" w:hAnsi="Times New Roman"/>
          <w:sz w:val="18"/>
          <w:szCs w:val="18"/>
          <w:i w:val="1"/>
          <w:iCs w:val="1"/>
          <w:color w:val="auto"/>
        </w:rPr>
        <w:t>(Restrictions on Transfer)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87"/>
        <w:spacing w:after="0" w:line="252" w:lineRule="auto"/>
        <w:tabs>
          <w:tab w:leader="none" w:pos="123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as a holder of Restricted Securities, by acceptance of ownership thereof, agrees to comply in all respects with the provisions of this Article II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xml:space="preserve">. Before any Transfer of any Restricted Securities, unless there is in effect a registration statement under the Securities Act covering the proposed transaction, the Holder shall give notice to the Company of its intention to effect such Transfer. Each such notice shall describe the manner and circumstances of the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Transfer of such Restricted Securities without registration will not result in a recommendation by the staff of the SEC that action be taken with respect thereto; or (iii) any other evidence reasonably satisfactory to counsel to the Company to the effect that the proposed Transfer of the Restricted Securities may be effected without registration under the Securities Act, whereupon the Holder of such Restricted Securities shall be entitled to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 Designated Affiliate of such Holder for no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 (y), each transferee agrees in writing to be subject to the terms of this Section 2.12 </w:t>
      </w:r>
      <w:r>
        <w:rPr>
          <w:rFonts w:ascii="Times New Roman" w:cs="Times New Roman" w:eastAsia="Times New Roman" w:hAnsi="Times New Roman"/>
          <w:sz w:val="18"/>
          <w:szCs w:val="18"/>
          <w:i w:val="1"/>
          <w:iCs w:val="1"/>
          <w:color w:val="auto"/>
        </w:rPr>
        <w:t>(Restrictions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Each certificate or instrument evidencing the Restricted Securities transferred as above provided shall bear, except if such Transfer is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SEC Rule 144, the appropriate restrictive legend set forth in Section 2.12(b) </w:t>
      </w:r>
      <w:r>
        <w:rPr>
          <w:rFonts w:ascii="Times New Roman" w:cs="Times New Roman" w:eastAsia="Times New Roman" w:hAnsi="Times New Roman"/>
          <w:sz w:val="18"/>
          <w:szCs w:val="18"/>
          <w:i w:val="1"/>
          <w:iCs w:val="1"/>
          <w:color w:val="auto"/>
        </w:rPr>
        <w:t>(Restrictions on Transfer)</w:t>
      </w:r>
      <w:r>
        <w:rPr>
          <w:rFonts w:ascii="Times New Roman" w:cs="Times New Roman" w:eastAsia="Times New Roman" w:hAnsi="Times New Roman"/>
          <w:sz w:val="18"/>
          <w:szCs w:val="18"/>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191"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Sections Section 2.12(a) </w:t>
      </w:r>
      <w:r>
        <w:rPr>
          <w:rFonts w:ascii="Times New Roman" w:cs="Times New Roman" w:eastAsia="Times New Roman" w:hAnsi="Times New Roman"/>
          <w:sz w:val="18"/>
          <w:szCs w:val="18"/>
          <w:i w:val="1"/>
          <w:iCs w:val="1"/>
          <w:color w:val="auto"/>
        </w:rPr>
        <w:t>(Restrictions on Transfer)</w:t>
      </w:r>
      <w:r>
        <w:rPr>
          <w:rFonts w:ascii="Times New Roman" w:cs="Times New Roman" w:eastAsia="Times New Roman" w:hAnsi="Times New Roman"/>
          <w:sz w:val="18"/>
          <w:szCs w:val="18"/>
          <w:color w:val="auto"/>
        </w:rPr>
        <w:t xml:space="preserve"> and 2.12(c) </w:t>
      </w:r>
      <w:r>
        <w:rPr>
          <w:rFonts w:ascii="Times New Roman" w:cs="Times New Roman" w:eastAsia="Times New Roman" w:hAnsi="Times New Roman"/>
          <w:sz w:val="18"/>
          <w:szCs w:val="18"/>
          <w:i w:val="1"/>
          <w:iCs w:val="1"/>
          <w:color w:val="auto"/>
        </w:rPr>
        <w:t>(Restrictions on Transfer)</w:t>
      </w:r>
      <w:r>
        <w:rPr>
          <w:rFonts w:ascii="Times New Roman" w:cs="Times New Roman" w:eastAsia="Times New Roman" w:hAnsi="Times New Roman"/>
          <w:sz w:val="18"/>
          <w:szCs w:val="18"/>
          <w:color w:val="auto"/>
        </w:rPr>
        <w:t xml:space="preserve"> above, no such registration statement or opinion of counsel or “no action” letter shall be necessary for: (a) a transfer by a Holder to any of its Affiliates, (b) a transfer by a Holder that is a partnership, limited liability company or corporation to a partner, limited partner, retired partner, member, retired member or stockholder of a Holder; (c) a transfer to a Charity; (d) a transfer by gift, will or intestate succession of any partner to his or her spouse or to the siblings, lineal descendants or ancestors of such partner or his or her spouse; or (e) the transfer by a Holder exercising its co-sale rights under the Right of First Refusal and Co-Sale Agreement by and among the Company and the Investors and Common Holders named therein of even date herewith, as amended, if in each transfer under clauses (a), (b), (c) or (d) the prospective transferee agrees in all such instances in writing to be subject to the terms hereof to the same extent as if he or she were an original Holder hereunder.</w:t>
      </w:r>
    </w:p>
    <w:p>
      <w:pPr>
        <w:spacing w:after="0" w:line="184"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cause the Company to register Registrable Securities pursuant to this Section 2.12(e) </w:t>
      </w:r>
      <w:r>
        <w:rPr>
          <w:rFonts w:ascii="Times New Roman" w:cs="Times New Roman" w:eastAsia="Times New Roman" w:hAnsi="Times New Roman"/>
          <w:sz w:val="18"/>
          <w:szCs w:val="18"/>
          <w:i w:val="1"/>
          <w:iCs w:val="1"/>
          <w:color w:val="auto"/>
        </w:rPr>
        <w:t>(Restrictions on Transfer)</w:t>
      </w:r>
      <w:r>
        <w:rPr>
          <w:rFonts w:ascii="Times New Roman" w:cs="Times New Roman" w:eastAsia="Times New Roman" w:hAnsi="Times New Roman"/>
          <w:sz w:val="18"/>
          <w:szCs w:val="18"/>
          <w:color w:val="auto"/>
        </w:rPr>
        <w:t xml:space="preserve"> may be assigned by a Holder to a transferee or assignee of Registrable Securities (for so long as such shares remain Registrable Securities) that (a) is a subsidiary, parent, general partner, limited partner, retired partner, member or retired member, of a Holder that is a corporation, partnership or limited liability company, (b) is a Holder’s family member or trust for the benefit of an individual Holder, (c) acquires at least [***] of the then-outstanding Registrable Securities or (d) is an Affiliate of such Holder; provided, however, that (i) the transferor shall, within [***] after such transfer, furnish to the Company written notice of the name and address of such transferee or assignee and the securities with respect to which such registration rights are being assigned and (ii) such transferee shall agree to be subject to all restrictions set forth in this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9" w:right="459" w:bottom="1440" w:gutter="0" w:footer="0" w:header="0"/>
        </w:sectPr>
      </w:pPr>
    </w:p>
    <w:bookmarkStart w:id="491" w:name="page492"/>
    <w:bookmarkEnd w:id="491"/>
    <w:p>
      <w:pPr>
        <w:jc w:val="both"/>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2.13 Termination of Registration Rights</w:t>
      </w:r>
      <w:r>
        <w:rPr>
          <w:rFonts w:ascii="Times New Roman" w:cs="Times New Roman" w:eastAsia="Times New Roman" w:hAnsi="Times New Roman"/>
          <w:sz w:val="18"/>
          <w:szCs w:val="18"/>
          <w:color w:val="auto"/>
        </w:rPr>
        <w:t>. The right of any Holder to request registration or inclusion of Registrable Securities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pursuant to Section 2.1 </w:t>
      </w:r>
      <w:r>
        <w:rPr>
          <w:rFonts w:ascii="Times New Roman" w:cs="Times New Roman" w:eastAsia="Times New Roman" w:hAnsi="Times New Roman"/>
          <w:sz w:val="18"/>
          <w:szCs w:val="18"/>
          <w:i w:val="1"/>
          <w:iCs w:val="1"/>
          <w:color w:val="auto"/>
        </w:rPr>
        <w:t>(Form S-3 Demand Registration)</w:t>
      </w:r>
      <w:r>
        <w:rPr>
          <w:rFonts w:ascii="Times New Roman" w:cs="Times New Roman" w:eastAsia="Times New Roman" w:hAnsi="Times New Roman"/>
          <w:sz w:val="18"/>
          <w:szCs w:val="18"/>
          <w:color w:val="auto"/>
        </w:rPr>
        <w:t xml:space="preserve"> or Section 2.2 </w:t>
      </w:r>
      <w:r>
        <w:rPr>
          <w:rFonts w:ascii="Times New Roman" w:cs="Times New Roman" w:eastAsia="Times New Roman" w:hAnsi="Times New Roman"/>
          <w:sz w:val="18"/>
          <w:szCs w:val="18"/>
          <w:i w:val="1"/>
          <w:iCs w:val="1"/>
          <w:color w:val="auto"/>
        </w:rPr>
        <w:t>(Company Registration)</w:t>
      </w:r>
      <w:r>
        <w:rPr>
          <w:rFonts w:ascii="Times New Roman" w:cs="Times New Roman" w:eastAsia="Times New Roman" w:hAnsi="Times New Roman"/>
          <w:sz w:val="18"/>
          <w:szCs w:val="18"/>
          <w:color w:val="auto"/>
        </w:rPr>
        <w:t xml:space="preserve"> shall terminate upon the earliest to occur of:</w:t>
      </w:r>
    </w:p>
    <w:p>
      <w:pPr>
        <w:spacing w:after="0" w:line="175" w:lineRule="exact"/>
        <w:rPr>
          <w:sz w:val="20"/>
          <w:szCs w:val="20"/>
          <w:color w:val="auto"/>
        </w:rPr>
      </w:pPr>
    </w:p>
    <w:p>
      <w:pPr>
        <w:ind w:left="1240" w:hanging="253"/>
        <w:spacing w:after="0"/>
        <w:tabs>
          <w:tab w:leader="none" w:pos="12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Change of Control of the Company or the liquidation, winding up or other dissolution of the Company;</w:t>
      </w:r>
    </w:p>
    <w:p>
      <w:pPr>
        <w:spacing w:after="0" w:line="225"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Rule 144 or another similar exemption under the Securities Act is available for the sale of all of such Holder’s shares without limitation during a three-month period without registration;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 of a Qualified Listing Event.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RIGHTS.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3.1 Delivery of Financial Statements</w:t>
      </w:r>
      <w:r>
        <w:rPr>
          <w:rFonts w:ascii="Times New Roman" w:cs="Times New Roman" w:eastAsia="Times New Roman" w:hAnsi="Times New Roman"/>
          <w:sz w:val="18"/>
          <w:szCs w:val="18"/>
          <w:color w:val="auto"/>
        </w:rPr>
        <w:t>. The Company shall deliver to each Investor:</w:t>
      </w:r>
    </w:p>
    <w:p>
      <w:pPr>
        <w:spacing w:after="0" w:line="229" w:lineRule="exact"/>
        <w:rPr>
          <w:sz w:val="20"/>
          <w:szCs w:val="20"/>
          <w:color w:val="auto"/>
        </w:rPr>
      </w:pPr>
    </w:p>
    <w:p>
      <w:pPr>
        <w:ind w:right="20" w:firstLine="987"/>
        <w:spacing w:after="0" w:line="256" w:lineRule="auto"/>
        <w:tabs>
          <w:tab w:leader="none" w:pos="123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(90) days after the end of each fiscal year of the Company beginning with the fiscal year ended March 31, 2022: (i) a balance sheet as of the end of such year, (ii) statements of income and of cash flows for such year, and (iii) a statement of stockholders’ equity as of the end of such year, all such financial statements to be to be (x) prepared in accordance with applicable Accounting Standards (as such term is defined in the License Agreement) and (y) audited commencing in the year in which the Company or any of its Affiliates achieves its first commercial sale of a Licensed Product (as defined in the License Agreement), with the audit to be conducted by an independent registered public accounting firm selected by the Company;</w:t>
      </w:r>
    </w:p>
    <w:p>
      <w:pPr>
        <w:spacing w:after="0" w:line="187"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sixty (60) days after the end of each of the first three quarters of each fiscal year of the Company beginning with the fiscal quarter ending December 31, 2021, unaudited statements of income and a balance sheet for such fiscal quarter and as of the end of such fiscal quarter (respectively) to be prepared in accordance with applicable Accounting Standards (as such term is defined in the License Agreement) (except that such financial statements (i) may be subject to income tax or normal year end audit adjustments; and (ii) may not contain all notes thereto that may be required in accordance with applicable Accounting Standards). [***];</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for any period, the Company has any Subsidiary whose accounts are consolidated with those of the Company, then in respect of such period the financial statements delivered pursuant to clauses (a) through (b) shall be the consolidated financial statements of the Company and all such consolidated Subsidiaries.</w:t>
      </w:r>
    </w:p>
    <w:p>
      <w:pPr>
        <w:spacing w:after="0" w:line="174"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Notwithstanding anything else in this Section 3.1 </w:t>
      </w:r>
      <w:r>
        <w:rPr>
          <w:rFonts w:ascii="Times New Roman" w:cs="Times New Roman" w:eastAsia="Times New Roman" w:hAnsi="Times New Roman"/>
          <w:sz w:val="18"/>
          <w:szCs w:val="18"/>
          <w:i w:val="1"/>
          <w:iCs w:val="1"/>
          <w:color w:val="auto"/>
        </w:rPr>
        <w:t>(Delivery of Financial Statements)</w:t>
      </w:r>
      <w:r>
        <w:rPr>
          <w:rFonts w:ascii="Times New Roman" w:cs="Times New Roman" w:eastAsia="Times New Roman" w:hAnsi="Times New Roman"/>
          <w:sz w:val="18"/>
          <w:szCs w:val="18"/>
          <w:color w:val="auto"/>
        </w:rPr>
        <w:t xml:space="preserve"> to the contrary and subject to applicable Law and Order, the Company may cease providing the information set forth in this Section 3.1 </w:t>
      </w:r>
      <w:r>
        <w:rPr>
          <w:rFonts w:ascii="Times New Roman" w:cs="Times New Roman" w:eastAsia="Times New Roman" w:hAnsi="Times New Roman"/>
          <w:sz w:val="18"/>
          <w:szCs w:val="18"/>
          <w:i w:val="1"/>
          <w:iCs w:val="1"/>
          <w:color w:val="auto"/>
        </w:rPr>
        <w:t>(Delivery of Financial Statements)</w:t>
      </w:r>
      <w:r>
        <w:rPr>
          <w:rFonts w:ascii="Times New Roman" w:cs="Times New Roman" w:eastAsia="Times New Roman" w:hAnsi="Times New Roman"/>
          <w:sz w:val="18"/>
          <w:szCs w:val="18"/>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Company’s covenants under this Section 3.1 </w:t>
      </w:r>
      <w:r>
        <w:rPr>
          <w:rFonts w:ascii="Times New Roman" w:cs="Times New Roman" w:eastAsia="Times New Roman" w:hAnsi="Times New Roman"/>
          <w:sz w:val="18"/>
          <w:szCs w:val="18"/>
          <w:i w:val="1"/>
          <w:iCs w:val="1"/>
          <w:color w:val="auto"/>
        </w:rPr>
        <w:t xml:space="preserve">(Delivery of Financial Statements) </w:t>
      </w:r>
      <w:r>
        <w:rPr>
          <w:rFonts w:ascii="Times New Roman" w:cs="Times New Roman" w:eastAsia="Times New Roman" w:hAnsi="Times New Roman"/>
          <w:sz w:val="18"/>
          <w:szCs w:val="18"/>
          <w:color w:val="auto"/>
        </w:rPr>
        <w:t>shall be reinstated at such time as the Company is no longer actively employing its commercially reasonable efforts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cause such registration statement to become effective.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5" w:right="479" w:bottom="1440" w:gutter="0" w:footer="0" w:header="0"/>
        </w:sectPr>
      </w:pPr>
    </w:p>
    <w:bookmarkStart w:id="492" w:name="page493"/>
    <w:bookmarkEnd w:id="492"/>
    <w:p>
      <w:pPr>
        <w:ind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3.2 Access</w:t>
      </w:r>
      <w:r>
        <w:rPr>
          <w:rFonts w:ascii="Times New Roman" w:cs="Times New Roman" w:eastAsia="Times New Roman" w:hAnsi="Times New Roman"/>
          <w:sz w:val="18"/>
          <w:szCs w:val="18"/>
          <w:color w:val="auto"/>
        </w:rPr>
        <w:t>. Except in connection with any dispute involving the Company or any other Investor or any of their respective Affiliates,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shall, and shall cause each of its Subsidiaries to, provide each Investor (for the purpose of monitoring its investment in the Company) reasonable access to the Company’s and each of its Subsidiaries’ properties, books of account and records, and officers to discuss the Company’s and such Subsidiaries’ affairs, finances and accounts. All access pursuant to this Section 3.2 </w:t>
      </w:r>
      <w:r>
        <w:rPr>
          <w:rFonts w:ascii="Times New Roman" w:cs="Times New Roman" w:eastAsia="Times New Roman" w:hAnsi="Times New Roman"/>
          <w:sz w:val="18"/>
          <w:szCs w:val="18"/>
          <w:i w:val="1"/>
          <w:iCs w:val="1"/>
          <w:color w:val="auto"/>
        </w:rPr>
        <w:t>(Access)</w:t>
      </w:r>
      <w:r>
        <w:rPr>
          <w:rFonts w:ascii="Times New Roman" w:cs="Times New Roman" w:eastAsia="Times New Roman" w:hAnsi="Times New Roman"/>
          <w:sz w:val="18"/>
          <w:szCs w:val="18"/>
          <w:color w:val="auto"/>
        </w:rPr>
        <w:t xml:space="preserve"> shall be conducted (i) during normal business hours of the Company or its Subsidiaries, as applicable, upon reasonable advance written notice to the Company, (ii) in such a manner as not to unreasonably interfere with the normal operations of the Company and its Subsidiaries, as applicable and (iii) at the Investor’s sole cost and expense; provided, however, that the Company shall not be obligated pursuant to this Section 3.2 </w:t>
      </w:r>
      <w:r>
        <w:rPr>
          <w:rFonts w:ascii="Times New Roman" w:cs="Times New Roman" w:eastAsia="Times New Roman" w:hAnsi="Times New Roman"/>
          <w:sz w:val="18"/>
          <w:szCs w:val="18"/>
          <w:i w:val="1"/>
          <w:iCs w:val="1"/>
          <w:color w:val="auto"/>
        </w:rPr>
        <w:t>(Access)</w:t>
      </w:r>
      <w:r>
        <w:rPr>
          <w:rFonts w:ascii="Times New Roman" w:cs="Times New Roman" w:eastAsia="Times New Roman" w:hAnsi="Times New Roman"/>
          <w:sz w:val="18"/>
          <w:szCs w:val="18"/>
          <w:color w:val="auto"/>
        </w:rPr>
        <w:t xml:space="preserve"> to provide access to any information, books, accounts, records or other material if (a) the Company reasonably determines in good faith that providing access to any such information is reasonably likely to result in a material competitive disadvantage or (b) providing access to any such information would reasonably be expected to (x) violate any applicable Law or Order, (y) jeopardize an attorney-client privilege or cause a loss of attorney work product protection or other privilege or protection, (z) violate a confidentiality obligation to a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use reasonable efforts to provide an alternative means of providing access to such information to the maximum extent that would not reasonably be expected to result in a material competitive disadvantage or a loss of such legal privilege or protection or violate any such confidentiality obligations or contravene any applicable Law or Order).</w:t>
      </w:r>
    </w:p>
    <w:p>
      <w:pPr>
        <w:spacing w:after="0" w:line="187"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3.3 Termination of Information Rights</w:t>
      </w:r>
      <w:r>
        <w:rPr>
          <w:rFonts w:ascii="Times New Roman" w:cs="Times New Roman" w:eastAsia="Times New Roman" w:hAnsi="Times New Roman"/>
          <w:sz w:val="18"/>
          <w:szCs w:val="18"/>
          <w:color w:val="auto"/>
        </w:rPr>
        <w:t>. The covenants set forth in Section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(Delivery of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Section 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(Access) </w:t>
      </w:r>
      <w:r>
        <w:rPr>
          <w:rFonts w:ascii="Times New Roman" w:cs="Times New Roman" w:eastAsia="Times New Roman" w:hAnsi="Times New Roman"/>
          <w:sz w:val="18"/>
          <w:szCs w:val="18"/>
          <w:color w:val="auto"/>
        </w:rPr>
        <w:t>shall terminate and be of no further force or effect upon the earliest of: (i) immediately before the consummation of a Qualified Listing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the consummation of a Change of Control of the Company or (iii) the liquidation, winding up or other dissolution of the Company.</w:t>
      </w:r>
    </w:p>
    <w:p>
      <w:pPr>
        <w:spacing w:after="0" w:line="17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3.4 Confidentiality</w:t>
      </w:r>
      <w:r>
        <w:rPr>
          <w:rFonts w:ascii="Times New Roman" w:cs="Times New Roman" w:eastAsia="Times New Roman" w:hAnsi="Times New Roman"/>
          <w:sz w:val="18"/>
          <w:szCs w:val="18"/>
          <w:color w:val="auto"/>
        </w:rPr>
        <w:t>. Each Investor agrees that such Investor will keep confidential and will not disclose, divulge, or use for any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to monitor or make decisions with respect to its investment in the Company) any information obtained from or on behalf of the Company or its Subsidiaries pursuant to the terms of this Agreement unless such information: (a) is known or available or becomes known or available to the public (other than as a result of a breach of this Section 3.4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by such Investor), (b) is or has been independently developed or conceived by such Investor without use of the Company’s information or (c) is or has been made known or disclosed to such Investor by a third party without a known or reasonably expected breach of any obligation of confidentiality such third party may have to the Company; provided, however, that an Investor may disclose confidential information: (i) to its attorneys, accountants, consultants, and other professionals to the extent necessary or useful to obtain their services in connection with monitoring its investment in the Company; (ii) to any prospective purchaser of any Registrable Securities from such Investor, if such prospective purchaser agrees to be bound by the provisions of this Section 3.4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(iii) to any existing Affiliate, partner, member, stockholder, or wholly owned Subsidiary of such Investor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Investor informs such Person that such information is confidential and causes such Person to maintain the confidentiality of such information, or (iv) in the event that the Investor or anyone to whom it discloses information receives a request, or is legally required, to disclose all or any part of the information under the terms of a subpoena or other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shall (a) promptly notify the Company of the existence, terms and circumstances surrounding such a request or requirement so that the Company may seek, at the Company’s sole cost and expense, an appropriate protective order, other reasonable assurance that confidential treatment will be accorded to such information or other remedy, (b) cooperate with the Company in its efforts to obtain such an order, assurance or other remedy or to take steps to resist or narrow the scope of such request or requirement and (c) not oppose any action to obtain such protective order, assurance or other remedy. If, a protective order, other reasonable assurance or other remedy is not obtained and subject to such Investor’s compliance with the preceding sentence, such Investor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5" w:right="459" w:bottom="1440" w:gutter="0" w:footer="0" w:header="0"/>
        </w:sectPr>
      </w:pPr>
    </w:p>
    <w:bookmarkStart w:id="493" w:name="page494"/>
    <w:bookmarkEnd w:id="493"/>
    <w:p>
      <w:pPr>
        <w:ind w:left="4" w:hanging="4"/>
        <w:spacing w:after="0" w:line="255" w:lineRule="auto"/>
        <w:tabs>
          <w:tab w:leader="none" w:pos="259"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may disclose such information only to the extent legally required based on the advice of such Investor’s counsel, (2) will use reasonable best efforts, at such Investor’s sole cost and expense, to obtain assurance that confidential treatment will be accorded to such information, (3) will give advance notice to the Company of the information to be disclosed, or the proposed disclosure itself (as applicable, as far in advance as practicable and (4) in the case of any required public disclosure, will give the Company a reasonable opportunity to comment on such disclosure prior to it being made public. Each Investor agrees that it will be liable for any breach of this Section 3.4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by any Person to whom it discloses confidential information pursuant to the foregoing clauses (i), (ii), and (iii). The obligations under this Section 3.4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shall survive the termination of this Agreement.</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RIGHT TO FUTURE SHARE ISSUANCES</w:t>
      </w:r>
    </w:p>
    <w:p>
      <w:pPr>
        <w:spacing w:after="0" w:line="203"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4.1 Right of First Offer</w:t>
      </w:r>
      <w:r>
        <w:rPr>
          <w:rFonts w:ascii="Times New Roman" w:cs="Times New Roman" w:eastAsia="Times New Roman" w:hAnsi="Times New Roman"/>
          <w:sz w:val="18"/>
          <w:szCs w:val="18"/>
          <w:color w:val="auto"/>
        </w:rPr>
        <w:t>. Subject to the terms and conditions of this Section 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(Right of First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applicable Laws and Orders,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proposes to offer or sell any New Securities, the Company shall first offer such New Securities to each Investor. An Investor shall be entitled to apportion the right of first offer hereby granted to it in such proportions as it deems appropriate, among (i) itself and (ii)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Affiliate agrees to enter into this Agreement and the Voting Agreement of even date herewith among the Company, the Investors and the other parties named therein,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in each such agreement.</w:t>
      </w:r>
    </w:p>
    <w:p>
      <w:pPr>
        <w:spacing w:after="0" w:line="179" w:lineRule="exact"/>
        <w:rPr>
          <w:sz w:val="20"/>
          <w:szCs w:val="20"/>
          <w:color w:val="auto"/>
        </w:rPr>
      </w:pPr>
    </w:p>
    <w:p>
      <w:pPr>
        <w:ind w:left="1244" w:hanging="253"/>
        <w:spacing w:after="0"/>
        <w:tabs>
          <w:tab w:leader="none" w:pos="1244"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to each Investor, stating (i) its bona fide intention to offer such New Securities,</w:t>
      </w:r>
    </w:p>
    <w:p>
      <w:pPr>
        <w:spacing w:after="0" w:line="3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New Securities to be offered, and (iii) the price and terms, if any, upon which it proposes to offer such New Securities.</w:t>
      </w:r>
    </w:p>
    <w:p>
      <w:pPr>
        <w:spacing w:after="0" w:line="206"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5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notification to the Company within [***] after the Offer Notice is given, each Investor may irrevocably elect to purchase or otherwise acquire, at the price and on the terms specified in the Offer Notice, up to that portion of such New Securities which equals the proportion that the Equity Securities then Beneficially Owned by such Investor and its Designated Affiliates (including all Equity Securities then issuable (directly or indirectly) upon conversion or exercise, as applicable, of any other Equity Securities then held by such Investor) bears to the total Equity Securities of the Company then outstanding (assuming full conversion or exercise, as applicable, of all other Equity Securities then outstanding) (with respect to each Investor, the “</w:t>
      </w:r>
      <w:r>
        <w:rPr>
          <w:rFonts w:ascii="Times New Roman" w:cs="Times New Roman" w:eastAsia="Times New Roman" w:hAnsi="Times New Roman"/>
          <w:sz w:val="18"/>
          <w:szCs w:val="18"/>
          <w:b w:val="1"/>
          <w:bCs w:val="1"/>
          <w:color w:val="auto"/>
        </w:rPr>
        <w:t>Proportionate Percentage</w:t>
      </w:r>
      <w:r>
        <w:rPr>
          <w:rFonts w:ascii="Times New Roman" w:cs="Times New Roman" w:eastAsia="Times New Roman" w:hAnsi="Times New Roman"/>
          <w:sz w:val="18"/>
          <w:szCs w:val="18"/>
          <w:color w:val="auto"/>
        </w:rPr>
        <w:t xml:space="preserve">”); provided, however, that an Investor’s election to purchase or acquire New Securities may be revoked in the event (i) any of the terms set forth in the Offer Notice are changed or (ii) any material term that had not been set forth in the Offer Notice is required or included in connection with such Investor’s purchase or acquisition of such New Securities. The closing of any sale pursuant to this Section 4.1(b) </w:t>
      </w:r>
      <w:r>
        <w:rPr>
          <w:rFonts w:ascii="Times New Roman" w:cs="Times New Roman" w:eastAsia="Times New Roman" w:hAnsi="Times New Roman"/>
          <w:sz w:val="18"/>
          <w:szCs w:val="18"/>
          <w:i w:val="1"/>
          <w:iCs w:val="1"/>
          <w:color w:val="auto"/>
        </w:rPr>
        <w:t xml:space="preserve">(Right of First Offer) </w:t>
      </w:r>
      <w:r>
        <w:rPr>
          <w:rFonts w:ascii="Times New Roman" w:cs="Times New Roman" w:eastAsia="Times New Roman" w:hAnsi="Times New Roman"/>
          <w:sz w:val="18"/>
          <w:szCs w:val="18"/>
          <w:color w:val="auto"/>
        </w:rPr>
        <w:t>shall occur within the later of [***] of the date that the Offer Notice is given and the date of initial sale of New Securities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Section 4.1(c) </w:t>
      </w:r>
      <w:r>
        <w:rPr>
          <w:rFonts w:ascii="Times New Roman" w:cs="Times New Roman" w:eastAsia="Times New Roman" w:hAnsi="Times New Roman"/>
          <w:sz w:val="18"/>
          <w:szCs w:val="18"/>
          <w:i w:val="1"/>
          <w:iCs w:val="1"/>
          <w:color w:val="auto"/>
        </w:rPr>
        <w:t>(Right of First Offer)</w:t>
      </w:r>
      <w:r>
        <w:rPr>
          <w:rFonts w:ascii="Times New Roman" w:cs="Times New Roman" w:eastAsia="Times New Roman" w:hAnsi="Times New Roman"/>
          <w:sz w:val="18"/>
          <w:szCs w:val="18"/>
          <w:color w:val="auto"/>
        </w:rPr>
        <w:t>; provided, however, that if such sale pursuant to this Section 4.1(b) would require the approval of any Governmental Authority prior to consummating such sale, such closing shall be extended to the date that is [***] after such approval has been obtained or finally denied, but in no event later than [***] after the Offer Notice is given.</w:t>
      </w:r>
    </w:p>
    <w:p>
      <w:pPr>
        <w:spacing w:after="0" w:line="187" w:lineRule="exact"/>
        <w:rPr>
          <w:rFonts w:ascii="Times New Roman" w:cs="Times New Roman" w:eastAsia="Times New Roman" w:hAnsi="Times New Roman"/>
          <w:sz w:val="18"/>
          <w:szCs w:val="18"/>
          <w:color w:val="auto"/>
        </w:rPr>
      </w:pPr>
    </w:p>
    <w:p>
      <w:pPr>
        <w:ind w:left="4" w:firstLine="987"/>
        <w:spacing w:after="0" w:line="257" w:lineRule="auto"/>
        <w:tabs>
          <w:tab w:leader="none" w:pos="124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New Securities referred to in the Offer Notice are not elected to be purchased or acquired as provided in Section 4.1(b) </w:t>
      </w:r>
      <w:r>
        <w:rPr>
          <w:rFonts w:ascii="Times New Roman" w:cs="Times New Roman" w:eastAsia="Times New Roman" w:hAnsi="Times New Roman"/>
          <w:sz w:val="18"/>
          <w:szCs w:val="18"/>
          <w:i w:val="1"/>
          <w:iCs w:val="1"/>
          <w:color w:val="auto"/>
        </w:rPr>
        <w:t>(Right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First Offer)</w:t>
      </w:r>
      <w:r>
        <w:rPr>
          <w:rFonts w:ascii="Times New Roman" w:cs="Times New Roman" w:eastAsia="Times New Roman" w:hAnsi="Times New Roman"/>
          <w:sz w:val="18"/>
          <w:szCs w:val="18"/>
          <w:color w:val="auto"/>
        </w:rPr>
        <w:t>, the Company may, during the [***] period following the expiration of the periods provided in Section 4.1(b)</w:t>
      </w:r>
      <w:r>
        <w:rPr>
          <w:rFonts w:ascii="Times New Roman" w:cs="Times New Roman" w:eastAsia="Times New Roman" w:hAnsi="Times New Roman"/>
          <w:sz w:val="18"/>
          <w:szCs w:val="18"/>
          <w:i w:val="1"/>
          <w:iCs w:val="1"/>
          <w:color w:val="auto"/>
        </w:rPr>
        <w:t xml:space="preserve"> (Right of First Offer)</w:t>
      </w:r>
      <w:r>
        <w:rPr>
          <w:rFonts w:ascii="Times New Roman" w:cs="Times New Roman" w:eastAsia="Times New Roman" w:hAnsi="Times New Roman"/>
          <w:sz w:val="18"/>
          <w:szCs w:val="18"/>
          <w:color w:val="auto"/>
        </w:rPr>
        <w:t>,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sell the remaining unsubscribed portion of such New Securities to any Person or Persons at a price not less than, and upon terms not materially more favorable in the aggregate to the offeree than, those specified in the Offer Notice. If the Company does not enter into an agreement for the sale of the New Securities within such period, the right provided hereunder shall be deemed to be revived and such New Securities shall not be offered unless first reoffered to the Investors in accordance with this Section 4.1 </w:t>
      </w:r>
      <w:r>
        <w:rPr>
          <w:rFonts w:ascii="Times New Roman" w:cs="Times New Roman" w:eastAsia="Times New Roman" w:hAnsi="Times New Roman"/>
          <w:sz w:val="18"/>
          <w:szCs w:val="18"/>
          <w:i w:val="1"/>
          <w:iCs w:val="1"/>
          <w:color w:val="auto"/>
        </w:rPr>
        <w:t>(Right of First Offer)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9" w:right="459" w:bottom="1440" w:gutter="0" w:footer="0" w:header="0"/>
        </w:sectPr>
      </w:pPr>
    </w:p>
    <w:bookmarkStart w:id="494" w:name="page495"/>
    <w:bookmarkEnd w:id="494"/>
    <w:p>
      <w:pPr>
        <w:ind w:left="1244" w:hanging="253"/>
        <w:spacing w:after="0"/>
        <w:tabs>
          <w:tab w:leader="none" w:pos="1244"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right of first offer in this Section 4.1 </w:t>
      </w:r>
      <w:r>
        <w:rPr>
          <w:rFonts w:ascii="Times New Roman" w:cs="Times New Roman" w:eastAsia="Times New Roman" w:hAnsi="Times New Roman"/>
          <w:sz w:val="18"/>
          <w:szCs w:val="18"/>
          <w:i w:val="1"/>
          <w:iCs w:val="1"/>
          <w:color w:val="auto"/>
        </w:rPr>
        <w:t>(Right of First Offer)</w:t>
      </w:r>
      <w:r>
        <w:rPr>
          <w:rFonts w:ascii="Times New Roman" w:cs="Times New Roman" w:eastAsia="Times New Roman" w:hAnsi="Times New Roman"/>
          <w:sz w:val="18"/>
          <w:szCs w:val="18"/>
          <w:color w:val="auto"/>
        </w:rPr>
        <w:t xml:space="preserve"> shall not be applicable to issuances of: (i) Exempted Securities; and</w:t>
      </w:r>
    </w:p>
    <w:p>
      <w:pPr>
        <w:spacing w:after="0" w:line="29" w:lineRule="exact"/>
        <w:rPr>
          <w:rFonts w:ascii="Times New Roman" w:cs="Times New Roman" w:eastAsia="Times New Roman" w:hAnsi="Times New Roman"/>
          <w:sz w:val="18"/>
          <w:szCs w:val="18"/>
          <w:color w:val="auto"/>
        </w:rPr>
      </w:pPr>
    </w:p>
    <w:p>
      <w:pPr>
        <w:ind w:left="4" w:right="40" w:hanging="4"/>
        <w:spacing w:after="0" w:line="265" w:lineRule="auto"/>
        <w:tabs>
          <w:tab w:leader="none" w:pos="269"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securities issued in a Qualified Listing Event or to a new holding company solely for the purposes of a forthcoming Qualified Listing Event. In addition to the foregoing, the right of first offer in this Section 4.1 </w:t>
      </w:r>
      <w:r>
        <w:rPr>
          <w:rFonts w:ascii="Times New Roman" w:cs="Times New Roman" w:eastAsia="Times New Roman" w:hAnsi="Times New Roman"/>
          <w:sz w:val="17"/>
          <w:szCs w:val="17"/>
          <w:i w:val="1"/>
          <w:iCs w:val="1"/>
          <w:color w:val="auto"/>
        </w:rPr>
        <w:t>(Right of First Offer)</w:t>
      </w:r>
      <w:r>
        <w:rPr>
          <w:rFonts w:ascii="Times New Roman" w:cs="Times New Roman" w:eastAsia="Times New Roman" w:hAnsi="Times New Roman"/>
          <w:sz w:val="17"/>
          <w:szCs w:val="17"/>
          <w:color w:val="auto"/>
        </w:rPr>
        <w:t xml:space="preserve"> shall not be applicable with respect to any particular Investor in any subsequent offering or sale of New Securities if (x) at the time of such offering or sale, such Investor is neither a “qualified institutional buyer” as that term is defined in Rule 144A under the Securities Actor nor an “accredited investor” as that term is defined in Rule 501(a) of the Securities Act and</w:t>
      </w:r>
    </w:p>
    <w:p>
      <w:pPr>
        <w:ind w:left="264" w:hanging="264"/>
        <w:spacing w:after="0"/>
        <w:tabs>
          <w:tab w:leader="none" w:pos="26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offering or sale of Shares is otherwise being offered or made only to qualified institutional buyers or accredited investors, as the case may be.</w:t>
      </w:r>
    </w:p>
    <w:p>
      <w:pPr>
        <w:spacing w:after="0" w:line="204"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24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in lieu of complying with the provisions of this Section 4.1 </w:t>
      </w:r>
      <w:r>
        <w:rPr>
          <w:rFonts w:ascii="Times New Roman" w:cs="Times New Roman" w:eastAsia="Times New Roman" w:hAnsi="Times New Roman"/>
          <w:sz w:val="18"/>
          <w:szCs w:val="18"/>
          <w:i w:val="1"/>
          <w:iCs w:val="1"/>
          <w:color w:val="auto"/>
        </w:rPr>
        <w:t>(Right of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the Company may consummate the offering and sale of New Securities without first providing an Offer Notice pursuant to Section 4.1(b)</w:t>
      </w:r>
      <w:r>
        <w:rPr>
          <w:rFonts w:ascii="Times New Roman" w:cs="Times New Roman" w:eastAsia="Times New Roman" w:hAnsi="Times New Roman"/>
          <w:sz w:val="18"/>
          <w:szCs w:val="18"/>
          <w:i w:val="1"/>
          <w:iCs w:val="1"/>
          <w:color w:val="auto"/>
        </w:rPr>
        <w:t xml:space="preserve"> (Right of First Offer)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complies with the terms and conditions of this Section 4.1(e)</w:t>
      </w:r>
      <w:r>
        <w:rPr>
          <w:rFonts w:ascii="Times New Roman" w:cs="Times New Roman" w:eastAsia="Times New Roman" w:hAnsi="Times New Roman"/>
          <w:sz w:val="18"/>
          <w:szCs w:val="18"/>
          <w:i w:val="1"/>
          <w:iCs w:val="1"/>
          <w:color w:val="auto"/>
        </w:rPr>
        <w:t xml:space="preserve"> (Right of First Offer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In the event that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offering or sale of New Securities is consummated without prior delivery of an Offer Notice to one or more Investors, the Company shall, within [***] from the closing of such offer and sale of New Securities, provide each non-participating Investor with written notice of such offering (including the material terms and conditions thereof) and thereupon provide each such Investor with the right, which shall be exercisable for a period of [***] from delivery of such notice, to subscribe for a number of New Securities equal to such Investor’s Proportionate Percentage (calculated pursuant to Section 4.1(b) </w:t>
      </w:r>
      <w:r>
        <w:rPr>
          <w:rFonts w:ascii="Times New Roman" w:cs="Times New Roman" w:eastAsia="Times New Roman" w:hAnsi="Times New Roman"/>
          <w:sz w:val="18"/>
          <w:szCs w:val="18"/>
          <w:i w:val="1"/>
          <w:iCs w:val="1"/>
          <w:color w:val="auto"/>
        </w:rPr>
        <w:t>(Right of First Offer)</w:t>
      </w:r>
      <w:r>
        <w:rPr>
          <w:rFonts w:ascii="Times New Roman" w:cs="Times New Roman" w:eastAsia="Times New Roman" w:hAnsi="Times New Roman"/>
          <w:sz w:val="18"/>
          <w:szCs w:val="18"/>
          <w:color w:val="auto"/>
        </w:rPr>
        <w:t xml:space="preserve"> before giving effect to the issuance of the New Securities) of the shares offered and sold in such offering, at the same price and on the same terms and conditions as which such securities were first sold. The closing of such sale shall occur within [***] of the date the notice is given to the Investor.</w:t>
      </w:r>
    </w:p>
    <w:p>
      <w:pPr>
        <w:spacing w:after="0" w:line="183"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4.2 Termination</w:t>
      </w:r>
      <w:r>
        <w:rPr>
          <w:rFonts w:ascii="Times New Roman" w:cs="Times New Roman" w:eastAsia="Times New Roman" w:hAnsi="Times New Roman"/>
          <w:sz w:val="18"/>
          <w:szCs w:val="18"/>
          <w:color w:val="auto"/>
        </w:rPr>
        <w:t>. The covenants set forth in Section 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(Right of First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terminate and be of no further force or effect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earliest of: (i) immediately before the consummation of a Qualified Listing Event (ii) the consummation of a Change of Control of the Company or (iii) the liquidation, winding up or other dissolution of the Company.</w:t>
      </w:r>
    </w:p>
    <w:p>
      <w:pPr>
        <w:spacing w:after="0" w:line="38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5.2 Indemnification Matters</w:t>
      </w:r>
      <w:r>
        <w:rPr>
          <w:rFonts w:ascii="Times New Roman" w:cs="Times New Roman" w:eastAsia="Times New Roman" w:hAnsi="Times New Roman"/>
          <w:sz w:val="18"/>
          <w:szCs w:val="18"/>
          <w:color w:val="auto"/>
        </w:rPr>
        <w:t>. The Company hereby acknowledges that one (1) or more of the Preferred Directors nominated to serve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by one (1) or more Investors may have certain rights to indemnification, advancement of expenses or insurance provided by one (1) or more of the Investors and certain of their Affiliates (collectively, the “</w:t>
      </w:r>
      <w:r>
        <w:rPr>
          <w:rFonts w:ascii="Times New Roman" w:cs="Times New Roman" w:eastAsia="Times New Roman" w:hAnsi="Times New Roman"/>
          <w:sz w:val="18"/>
          <w:szCs w:val="18"/>
          <w:b w:val="1"/>
          <w:bCs w:val="1"/>
          <w:color w:val="auto"/>
        </w:rPr>
        <w:t>Investor Indemnitors</w:t>
      </w:r>
      <w:r>
        <w:rPr>
          <w:rFonts w:ascii="Times New Roman" w:cs="Times New Roman" w:eastAsia="Times New Roman" w:hAnsi="Times New Roman"/>
          <w:sz w:val="18"/>
          <w:szCs w:val="18"/>
          <w:color w:val="auto"/>
        </w:rPr>
        <w:t>”). The Company hereby agrees (a)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its obligations to any such Preferred Director are primary and any obligation of the Investor Indemnitors to advance expenses or to provide indemnification for the same expenses or liabilities incurred by such Preferred Director are secondary), (b) that it shall be required to advance the full amount of expenses incurred by such Preferred Director and shall be liable for the full amount of all expenses, judgments, penalties, fines and amounts paid in settlement by or on behalf of any such Preferred Director to the extent legally permitted and as required by the Certificate of Incorporation or bylaws of the Company (or any agreement between the Company and such Preferred Director), without regard to any rights such Preferred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Preferred Director with respect to any claim for which such Preferred Director has sought indemnification from the Company shall affect the foregoing and the Investor Indemnitors shall</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67" w:right="479" w:bottom="1440" w:gutter="0" w:footer="0" w:header="0"/>
        </w:sectPr>
      </w:pPr>
    </w:p>
    <w:bookmarkStart w:id="495" w:name="page496"/>
    <w:bookmarkEnd w:id="49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have a right of contribution or be subrogated to the extent of such advancement or payment to all of the rights of recovery of such Preferred Director against the Company. The Preferred Directors and the Investor Indemnitors are intended third-party beneficiaries of this Section 5.2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Matters) </w:t>
      </w:r>
      <w:r>
        <w:rPr>
          <w:rFonts w:ascii="Times New Roman" w:cs="Times New Roman" w:eastAsia="Times New Roman" w:hAnsi="Times New Roman"/>
          <w:sz w:val="18"/>
          <w:szCs w:val="18"/>
          <w:color w:val="auto"/>
        </w:rPr>
        <w:t>and shall have the right, power and authority to enforce the provisions of this Section 5.2</w:t>
      </w:r>
      <w:r>
        <w:rPr>
          <w:rFonts w:ascii="Times New Roman" w:cs="Times New Roman" w:eastAsia="Times New Roman" w:hAnsi="Times New Roman"/>
          <w:sz w:val="18"/>
          <w:szCs w:val="18"/>
          <w:i w:val="1"/>
          <w:iCs w:val="1"/>
          <w:color w:val="auto"/>
        </w:rPr>
        <w:t xml:space="preserve"> (Indemnification Matters) </w:t>
      </w:r>
      <w:r>
        <w:rPr>
          <w:rFonts w:ascii="Times New Roman" w:cs="Times New Roman" w:eastAsia="Times New Roman" w:hAnsi="Times New Roman"/>
          <w:sz w:val="18"/>
          <w:szCs w:val="18"/>
          <w:color w:val="auto"/>
        </w:rPr>
        <w:t>as though they were a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5.4 Termination</w:t>
      </w:r>
      <w:r>
        <w:rPr>
          <w:rFonts w:ascii="Times New Roman" w:cs="Times New Roman" w:eastAsia="Times New Roman" w:hAnsi="Times New Roman"/>
          <w:sz w:val="18"/>
          <w:szCs w:val="18"/>
          <w:color w:val="auto"/>
        </w:rPr>
        <w:t>. The covenants set forth in Section 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(Protective Provisions)</w:t>
      </w:r>
      <w:r>
        <w:rPr>
          <w:rFonts w:ascii="Times New Roman" w:cs="Times New Roman" w:eastAsia="Times New Roman" w:hAnsi="Times New Roman"/>
          <w:sz w:val="18"/>
          <w:szCs w:val="18"/>
          <w:color w:val="auto"/>
        </w:rPr>
        <w:t>, [***], Section 5.9 (Board Matters), and [***]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and be of no further force or effect upon the earliest of: (i) immediately before the consummation of a Qualified Listing Event, (ii) the consummation of a Change of Control or (iii) the liquidation, winding up or other dissolution of the Company.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5.5 Legal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61" w:lineRule="auto"/>
        <w:tabs>
          <w:tab w:leader="none" w:pos="123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The Company shall, and shall cause its Subsidiaries to, comply in all material respects with all applicable Laws, including applicable Healthcare Laws and accepted pharmaceutical industry business practices governing product research and development, marketing, promotion, and sale, including with respect to product claims and restrictions on “off-label” promotion, interactions with healthcare professionals, and product pricing and price-reporting obligations.</w:t>
      </w:r>
    </w:p>
    <w:p>
      <w:pPr>
        <w:spacing w:after="0" w:line="179" w:lineRule="exact"/>
        <w:rPr>
          <w:rFonts w:ascii="Times New Roman" w:cs="Times New Roman" w:eastAsia="Times New Roman" w:hAnsi="Times New Roman"/>
          <w:sz w:val="18"/>
          <w:szCs w:val="18"/>
          <w:color w:val="auto"/>
        </w:rPr>
      </w:pPr>
    </w:p>
    <w:p>
      <w:pPr>
        <w:ind w:right="60" w:firstLine="987"/>
        <w:spacing w:after="0" w:line="252" w:lineRule="auto"/>
        <w:tabs>
          <w:tab w:leader="none" w:pos="124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The Company shall not, and shall not permit any of its subsidiaries and affiliates or any of its or their respective directors, officers, managers, employees, independent contractors, representatives or agents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to, promise, authorize or make any payment to, or otherwise contribute any item of value to, directly or indirectly, any non-U.S. government official, in each case, in violation of 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xml:space="preserve">”) or any other applicable anti-bribery or anti-corruption law. If applicable at any time, the Company shall, and shall cause each of its subsidiaries and affiliates to, cease all of its or their respective activities, as well as remediate any actions taken by the Company, its subsidiaries or affiliates or any of its or their respective Representatives in violation of the FCPA or any other applicable anti-bribery or anti-corruption law. Within a reasonable period of time following the Closing (but in no event greater than six months post-Closing), the Company shall, and shall cause each of its affiliates to, institute and maintain a customary code of conduct and anti-corruption policy and commence devising applicable systems of internal controls (including, but not limited to, appropriate accounting systems, purchasing systems and billing systems, if reasonably necessary) to provide reasonable assurance that the Company and its affiliates will comply with the FCPA or any other applicable anti-bribery or anti-corruption law to the extent required by such laws. The Company will monitor its operations and the operations of each of its affiliates with the purpose of ensuring the systems and controls are effective at the reasonable assurance level and make necessary changes from time to time, in particular as its business activities expand. Solely for purposes of this Section 5.5(b) </w:t>
      </w:r>
      <w:r>
        <w:rPr>
          <w:rFonts w:ascii="Times New Roman" w:cs="Times New Roman" w:eastAsia="Times New Roman" w:hAnsi="Times New Roman"/>
          <w:sz w:val="18"/>
          <w:szCs w:val="18"/>
          <w:i w:val="1"/>
          <w:iCs w:val="1"/>
          <w:color w:val="auto"/>
        </w:rPr>
        <w:t>(Foreign Corrupt Practices Act)</w:t>
      </w:r>
      <w:r>
        <w:rPr>
          <w:rFonts w:ascii="Times New Roman" w:cs="Times New Roman" w:eastAsia="Times New Roman" w:hAnsi="Times New Roman"/>
          <w:sz w:val="18"/>
          <w:szCs w:val="18"/>
          <w:color w:val="auto"/>
        </w:rPr>
        <w:t>, the term “affiliate” shall mean, with respect to a Person, any wholly or partially-owned subsidiary of such Person that the Person has the power to control.</w:t>
      </w:r>
    </w:p>
    <w:p>
      <w:pPr>
        <w:spacing w:after="0" w:line="197"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Global Trade Controls Compliance Program</w:t>
      </w:r>
      <w:r>
        <w:rPr>
          <w:rFonts w:ascii="Times New Roman" w:cs="Times New Roman" w:eastAsia="Times New Roman" w:hAnsi="Times New Roman"/>
          <w:sz w:val="18"/>
          <w:szCs w:val="18"/>
          <w:color w:val="auto"/>
        </w:rPr>
        <w:t>. For so long as the holders of record of Series A-2 Preferred Stock are entitled to elect, exclusively and as a separate class, pursuant to the Certificate of Incorporation, the Series A-2 Preferred Director, the Company shall, and shall cause its Subsidiaries to, comply with Global Trade Control Laws, and will engage in activities involving Restricted Parties and Restricted Markets only as authorized by applicable Law.</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Section 5.6 D&amp;O Insurance</w:t>
      </w:r>
      <w:r>
        <w:rPr>
          <w:rFonts w:ascii="Times New Roman" w:cs="Times New Roman" w:eastAsia="Times New Roman" w:hAnsi="Times New Roman"/>
          <w:sz w:val="17"/>
          <w:szCs w:val="17"/>
          <w:color w:val="auto"/>
        </w:rPr>
        <w:t>. The Company shall use its best efforts to obtain and maintain in full force and effect directors and officers insurance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amount of at least [***] for so long as human trials are not being conducted by the Company and its subsidiaries, and at least [***] once human trials are to be conducted by the Company or any of its subsidiaries, on such other terms as reasonably determined by the Board and covering such risks as are adequate and customary for its size and business, each with financially sound and reputable insurance companies or associations.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9" w:right="459" w:bottom="1440" w:gutter="0" w:footer="0" w:header="0"/>
        </w:sectPr>
      </w:pPr>
    </w:p>
    <w:bookmarkStart w:id="496" w:name="page497"/>
    <w:bookmarkEnd w:id="496"/>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5.7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5.9 Board Matters</w:t>
      </w:r>
      <w:r>
        <w:rPr>
          <w:rFonts w:ascii="Times New Roman" w:cs="Times New Roman" w:eastAsia="Times New Roman" w:hAnsi="Times New Roman"/>
          <w:sz w:val="18"/>
          <w:szCs w:val="18"/>
          <w:color w:val="auto"/>
        </w:rPr>
        <w:t>. The Company shall reimburse its nonemployee directors for all reasonable out-of-pocket travel expenses incurred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the Company’s travel policy) in connection with attending meetings of the Board.</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5.10 Successor Indemnification</w:t>
      </w:r>
      <w:r>
        <w:rPr>
          <w:rFonts w:ascii="Times New Roman" w:cs="Times New Roman" w:eastAsia="Times New Roman" w:hAnsi="Times New Roman"/>
          <w:sz w:val="18"/>
          <w:szCs w:val="18"/>
          <w:color w:val="auto"/>
        </w:rPr>
        <w:t>. If the Company or any of its successors or assignees consolidates with or merges into any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bylaws, the Certificate of Incorporation, or elsewhere, as the case may be.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5.13 Publicity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987"/>
        <w:spacing w:after="0" w:line="258" w:lineRule="auto"/>
        <w:tabs>
          <w:tab w:leader="none" w:pos="123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Pfizer’s rights pursuant to Section 15.4.3(c)(iv) of the License Agreement, no Party (nor any of its Affiliates or agents) shall use the registered or unregistered trademarks of the other Party or its Affiliates in any press release, publication or other form of promotional disclosure without the prior written consent of the other Party in each instance; provided, however, that the Company and any of its Affiliates or sublicensees may state publicly that Licensee (as defined in the License Agreement) has received, or been sublicensed under, a license from Pfizer to Exploit the Compounds and Products (each as defined in the License Agreement).</w:t>
      </w:r>
    </w:p>
    <w:p>
      <w:pPr>
        <w:spacing w:after="0" w:line="183"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one or more Parties, either singly or jointly, may desire to publish one or more press releases relating to the Transaction Documents, the rights granted thereunder, and developments made thereto. However, each Party agrees not to issue any press release or other public statement, whether written, electronic, oral or otherwise, disclosing the existence of the Transaction Documents, the terms hereof or thereof or any information relating to the Transaction Documents without the prior written consent of the other Parties, such consent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Party desiring to make such public disclosure may issue such press release or public announcement without such prior written consent by the other Party if (a) the entire contents of such press release or public announcement have previously been made public other than through a breach of the Transaction Documents by such Party, and (b) such press release or public announcement does not materially differ from a previously issued press release or other publicly available information. No Party will be prevented from complying with any duty of disclosure it may have pursuant to applicable Law or the rules of any recognized stock exchange so long as the disclosing Party provides the other Parties at least [***] prior written notice to the extent practicable and only discloses information to the extent required by applicable Law or the rules of any recognized stock exchange.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5" w:right="479" w:bottom="1440" w:gutter="0" w:footer="0" w:header="0"/>
        </w:sectPr>
      </w:pPr>
    </w:p>
    <w:bookmarkStart w:id="497" w:name="page498"/>
    <w:bookmarkEnd w:id="497"/>
    <w:p>
      <w:pPr>
        <w:ind w:right="240" w:firstLine="987"/>
        <w:spacing w:after="0" w:line="282" w:lineRule="auto"/>
        <w:tabs>
          <w:tab w:leader="none" w:pos="123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acknowledge that nothing herein shall restrict disclosure and publication explicitly permitted pursuant to Section 16.3 of the License Agreement.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6.1 Successors and Assigns; Third Party Beneficiaries</w:t>
      </w:r>
      <w:r>
        <w:rPr>
          <w:rFonts w:ascii="Times New Roman" w:cs="Times New Roman" w:eastAsia="Times New Roman" w:hAnsi="Times New Roman"/>
          <w:sz w:val="18"/>
          <w:szCs w:val="18"/>
          <w:color w:val="auto"/>
        </w:rPr>
        <w:t>. No Investor shall assign its rights under this Agreement without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prior written consent, except by a Holder to a transferee of Registrable Securities in accordance with this Agreement, or as otherwise expressly permitted by the terms hereof: (x) that is a Designated Affiliate of such Holder or (y) in connection with the Transfer of all Registrable Securities held by such Holder to such transferee;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Transfer or assignment may otherwise be effected in accordance with applicable Laws and Orders, (ii) the Company is, within two (2) Business Days after such Transfer, furnished with written notice of the name and address of such transferee and the Registrable Securities with respect to which such rights are being transferred; and (iii) such transferee agrees in a written instrument, in form and substance satisfactory to the Company, delivered to the Company to be bound by and subject to the terms and conditions of this Agreement, including the provisions of Section 2.11 </w:t>
      </w:r>
      <w:r>
        <w:rPr>
          <w:rFonts w:ascii="Times New Roman" w:cs="Times New Roman" w:eastAsia="Times New Roman" w:hAnsi="Times New Roman"/>
          <w:sz w:val="18"/>
          <w:szCs w:val="18"/>
          <w:i w:val="1"/>
          <w:iCs w:val="1"/>
          <w:color w:val="auto"/>
        </w:rPr>
        <w:t>(“Market Stand-off” Agreement)</w:t>
      </w:r>
      <w:r>
        <w:rPr>
          <w:rFonts w:ascii="Times New Roman" w:cs="Times New Roman" w:eastAsia="Times New Roman" w:hAnsi="Times New Roman"/>
          <w:sz w:val="18"/>
          <w:szCs w:val="18"/>
          <w:color w:val="auto"/>
        </w:rPr>
        <w:t xml:space="preserve">; and provided further that, for the avoidance of doubt, in no case shall any Investor assign its rights under Section 5.1 </w:t>
      </w:r>
      <w:r>
        <w:rPr>
          <w:rFonts w:ascii="Times New Roman" w:cs="Times New Roman" w:eastAsia="Times New Roman" w:hAnsi="Times New Roman"/>
          <w:sz w:val="18"/>
          <w:szCs w:val="18"/>
          <w:i w:val="1"/>
          <w:iCs w:val="1"/>
          <w:color w:val="auto"/>
        </w:rPr>
        <w:t>(Protective Provisions)</w:t>
      </w:r>
      <w:r>
        <w:rPr>
          <w:rFonts w:ascii="Times New Roman" w:cs="Times New Roman" w:eastAsia="Times New Roman" w:hAnsi="Times New Roman"/>
          <w:sz w:val="18"/>
          <w:szCs w:val="18"/>
          <w:color w:val="auto"/>
        </w:rPr>
        <w:t xml:space="preserve"> of this Agreement pursuant to the preceding clause (y) without the Company’s prior written consent.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6.2 Governing Law; Dispute Resolution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987"/>
        <w:spacing w:after="0" w:line="266" w:lineRule="auto"/>
        <w:tabs>
          <w:tab w:leader="none" w:pos="123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and construed in all respects in accordance with the internal law of the State of Delaware, as such laws are applied to agreements among Delaware residents entered into and performed entirely within the state of Delaware, without regard to conflict of law principles that would result in the application of any law other than the law of the State of Delaware.</w:t>
      </w:r>
    </w:p>
    <w:p>
      <w:pPr>
        <w:spacing w:after="0" w:line="17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negotiate in good faith and use reasonable efforts to settle any dispute, controversy or action arising from or related to this Agreement or the breach thereof. In the event that the Parties cannot resolve such dispute, controversy or action within a period of [***] from when the dispute, controversy or action is first identified in writing by the Party raising or asserting such dispute, controversy or action, then the matter shall be referred to designated representatives of the Parties for resolution by the sending of a notice of dispute(s) (a “</w:t>
      </w:r>
      <w:r>
        <w:rPr>
          <w:rFonts w:ascii="Times New Roman" w:cs="Times New Roman" w:eastAsia="Times New Roman" w:hAnsi="Times New Roman"/>
          <w:sz w:val="18"/>
          <w:szCs w:val="18"/>
          <w:b w:val="1"/>
          <w:bCs w:val="1"/>
          <w:color w:val="auto"/>
        </w:rPr>
        <w:t>Notice of Dispute(s)</w:t>
      </w:r>
      <w:r>
        <w:rPr>
          <w:rFonts w:ascii="Times New Roman" w:cs="Times New Roman" w:eastAsia="Times New Roman" w:hAnsi="Times New Roman"/>
          <w:sz w:val="18"/>
          <w:szCs w:val="18"/>
          <w:color w:val="auto"/>
        </w:rPr>
        <w:t>”). The designated representatives shall endeavor to meet in person or by means of telephone conference, video conference or similar communications equipment by means of which all Persons participating in the meeting can hear and speak to each other, and where such participation by the Parties’ designated representatives shall constitute presence in person at the meeting, within [***] following transmittal of the Notice of Dispute(s). Each Party shall be entitled to name representatives upon written notice to the other Party. The foregoing duties may be delegated to the extent the person delegated with such duties is duly authorized to enter into the foregoing resolution without seeking any additional approval within the respective Party.</w:t>
      </w:r>
    </w:p>
    <w:p>
      <w:pPr>
        <w:spacing w:after="0" w:line="188"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do not fully settle any dispute, controversy or action referred to the representatives of the Parties within [***] of it being referred to them, and a Party wishes to pursue the matter, then such dispute, controversy or action shall be finally resolved by binding arbitration administered by the American Arbitration Association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pursuant to AAA’s Commercial Arbitration Rules then in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9" w:right="459" w:bottom="1440" w:gutter="0" w:footer="0" w:header="0"/>
        </w:sectPr>
      </w:pPr>
    </w:p>
    <w:bookmarkStart w:id="498" w:name="page499"/>
    <w:bookmarkEnd w:id="498"/>
    <w:p>
      <w:pPr>
        <w:ind w:right="100" w:firstLine="987"/>
        <w:spacing w:after="0" w:line="254" w:lineRule="auto"/>
        <w:tabs>
          <w:tab w:leader="none" w:pos="124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arbitration shall be conducted by a panel of three (3) neutral arbitrators, each of whom shall have significant legal or business experience in the pharmaceutical industry, and none of whom shall be a current or former employee or director, or a current significant shareholder, of either Party or any of their respective Affiliates or sublicensees; and within [***] after initiation of arbitration, each Party shall select one (1) person to act as arbitrator and the two (2) Party-selected arbitrators shall select a third (3rd) arbitrator within [***] of their appointment. If the arbitrators selected by the Parties are unable or fail to agree upon the third (3rd) arbitrator, then on the [***] after the initiation of arbitration, the two (2) Party-selected arbitrators shall make a written request to AAA to appoint a third (3rd) arbitrator. AAA shall appoint such third (3rd) arbitrator within [***] of being notified by the two (2) Party-selected arbitrators. The place of arbitration shall be New York, New York, and all proceedings and communications shall be in English. The award rendered by the arbitrators shall be final, binding and non-appealable, and judgment may be entered upon it in any court of competent jurisdiction.</w:t>
      </w:r>
    </w:p>
    <w:p>
      <w:pPr>
        <w:spacing w:after="0" w:line="188"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apply to the arbitrators for interim injunctive relief until the arbitration award is rendered or the controversy is otherwise resolved. Either Party has the right to file an early dispositive motion seeking a determination on the issue of whether a material breach has occurred, and the arbitrators will promptly rule on such motion. Each Party shall bear its own costs and expenses and attorneys’ fees and an equal share of the arbitrators’ fees and any administrative fees of arbitration.</w:t>
      </w:r>
    </w:p>
    <w:p>
      <w:pPr>
        <w:spacing w:after="0" w:line="179" w:lineRule="exact"/>
        <w:rPr>
          <w:rFonts w:ascii="Times New Roman" w:cs="Times New Roman" w:eastAsia="Times New Roman" w:hAnsi="Times New Roman"/>
          <w:sz w:val="18"/>
          <w:szCs w:val="18"/>
          <w:color w:val="auto"/>
        </w:rPr>
      </w:pPr>
    </w:p>
    <w:p>
      <w:pPr>
        <w:ind w:right="100" w:firstLine="987"/>
        <w:spacing w:after="0" w:line="261" w:lineRule="auto"/>
        <w:tabs>
          <w:tab w:leader="none" w:pos="121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necessary to confirm or enforce an award or as may be required by applicable Law, neither Party nor an arbitrator may disclose the existence, content or results of an arbitration without the prior written consent of the other Party. In no event shall an arbitration be initiated after the date when commencement of a legal or equitable action based on the dispute, controversy or action would be barred by the applicable statute of limitations in the state of Delaware.</w:t>
      </w:r>
    </w:p>
    <w:p>
      <w:pPr>
        <w:spacing w:after="0" w:line="176"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6.3 Specific Performance</w:t>
      </w:r>
      <w:r>
        <w:rPr>
          <w:rFonts w:ascii="Times New Roman" w:cs="Times New Roman" w:eastAsia="Times New Roman" w:hAnsi="Times New Roman"/>
          <w:sz w:val="18"/>
          <w:szCs w:val="18"/>
          <w:color w:val="auto"/>
        </w:rPr>
        <w:t>. Each Party agrees that irreparable damage for which monetary relief, even if available, would not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adequate remedy, would occur in the event that any provision of this Agreement is not performed in accordance with its specific terms or is otherwise breached. Each Party acknowledges and agrees that, notwithstanding Section 6.2 </w:t>
      </w:r>
      <w:r>
        <w:rPr>
          <w:rFonts w:ascii="Times New Roman" w:cs="Times New Roman" w:eastAsia="Times New Roman" w:hAnsi="Times New Roman"/>
          <w:sz w:val="18"/>
          <w:szCs w:val="18"/>
          <w:i w:val="1"/>
          <w:iCs w:val="1"/>
          <w:color w:val="auto"/>
        </w:rPr>
        <w:t>(Governing Law; Dispute Resolution)</w:t>
      </w:r>
      <w:r>
        <w:rPr>
          <w:rFonts w:ascii="Times New Roman" w:cs="Times New Roman" w:eastAsia="Times New Roman" w:hAnsi="Times New Roman"/>
          <w:sz w:val="18"/>
          <w:szCs w:val="18"/>
          <w:color w:val="auto"/>
        </w:rPr>
        <w:t xml:space="preserve">, and without waiving any other remedy under this Agreement, the Parties shall be entitled to an injunction or injunctions, specific performance or other equitable relief from any court of competent jurisdiction to prevent breaches of this Agreement and to enforce specifically the terms and provisions hereof. The Parties agree not to assert that a remedy of specific enforcement or other equitable relief is unenforceable, invalid, contrary to Law or inequitable for any reason, and agree not to assert that a remedy of monetary damages would provide an adequate remedy or that the Parties otherwise have an adequate remedy at Law. The Parties acknowledge and agree that any Party seeking an injunction or injunctions to prevent breaches of this Agreement and to enforce specifically the terms and provisions of this Agreement in accordance with this Section 6.3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xml:space="preserve"> shall not be required to provide any bond or other security in connection with any such injunction.</w:t>
      </w:r>
    </w:p>
    <w:p>
      <w:pPr>
        <w:spacing w:after="0" w:line="18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6.4 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9" w:right="459" w:bottom="1440" w:gutter="0" w:footer="0" w:header="0"/>
        </w:sectPr>
      </w:pPr>
    </w:p>
    <w:bookmarkStart w:id="499" w:name="page500"/>
    <w:bookmarkEnd w:id="499"/>
    <w:p>
      <w:pPr>
        <w:ind w:right="7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6.5 Titles and Subtitles</w:t>
      </w:r>
      <w:r>
        <w:rPr>
          <w:rFonts w:ascii="Times New Roman" w:cs="Times New Roman" w:eastAsia="Times New Roman" w:hAnsi="Times New Roman"/>
          <w:sz w:val="18"/>
          <w:szCs w:val="18"/>
          <w:color w:val="auto"/>
        </w:rPr>
        <w:t>. The titles and subtitles used in this Agreement are for convenience only and are not to be considered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construing or interpreting this Agreement.</w:t>
      </w:r>
    </w:p>
    <w:p>
      <w:pPr>
        <w:spacing w:after="0" w:line="15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6.6 Interpretation</w:t>
      </w:r>
      <w:r>
        <w:rPr>
          <w:rFonts w:ascii="Times New Roman" w:cs="Times New Roman" w:eastAsia="Times New Roman" w:hAnsi="Times New Roman"/>
          <w:sz w:val="18"/>
          <w:szCs w:val="18"/>
          <w:color w:val="auto"/>
        </w:rPr>
        <w:t>. Unless the context requires otherwise, (i) “include,” “includes” or “including” shall be deemed to be followed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(ii) “hereof,” “herein”, “hereby”, “hereto” and “hereunder” shall refer to this Agreement as a whole and not to any particular provision of this Agreement; (iii) “extent” in the phrase “to the extent” shall mean the degree to which a subject or other item extends and shall not simply mean “if”; (iv) the singular includes the plural and vice versa; (v) “any” shall mean “any and all”; (vi) “or” is used in the inclusive sense of “and/or”; (vii) any reference to any Contract, Law or Order is a reference to it as amended, modified and supplemented from time to time (and, in the case of a Law, to (x) any successor provision and (y) the rules and regulations promulgated thereunder); (viii) the words “date hereof” shall refer to the date of this Agreement; (ix) any provision that requires action by a Series A-2 Preferred Director shall be applicable only so long as the Board includes a Series A-2 Preferred Director; and (x) all references to “$” mean the lawful currency of the United States of America.</w:t>
      </w:r>
    </w:p>
    <w:p>
      <w:pPr>
        <w:spacing w:after="0" w:line="18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6.7 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upon the earlier of actual receipt or: (a) personal delivery to the Party to be notified; (b) when sent, if sent by electronic mail during the recipient’s normal business hours, and if not sent during normal business hours, then on the recipient’s next Business Day; (c) [***] after having been sent by registered or certified mail, return receipt requested, postage prepaid; or (d) [***] after the Business Day of deposit with a nationally recognized overnight courier, freight prepaid, specifying next-day delivery, with written verification of receipt. All communications shall be sent to the Investors at their respective addresses set forth on Schedule 1 and to the Company at the address set forth on the signature pages hereto, or at such other address as the Company or the Investors may designate by [***] advance written notice to each other Party.</w:t>
      </w:r>
    </w:p>
    <w:p>
      <w:pPr>
        <w:spacing w:after="0" w:line="183"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6.8 Amendments and Waivers</w:t>
      </w:r>
      <w:r>
        <w:rPr>
          <w:rFonts w:ascii="Times New Roman" w:cs="Times New Roman" w:eastAsia="Times New Roman" w:hAnsi="Times New Roman"/>
          <w:sz w:val="18"/>
          <w:szCs w:val="18"/>
          <w:color w:val="auto"/>
        </w:rPr>
        <w:t>. Subject to the terms of this Section 6.8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any term of this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modified or terminated and the observance of any term of this Agreement may be waived (either generally or in a particular instance, and either retroactively or prospectively) only with the written consent of the Company and the holders of at least a majority of the Registrable Securities then outstanding; provided, however, that the Company may in its sole discretion: (a) add any holder of Shares or New Securities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and include such shares and securities as Registrable Securities, and (b) waive compliance with any obligation owed to the Company under Section 2.12(c) </w:t>
      </w:r>
      <w:r>
        <w:rPr>
          <w:rFonts w:ascii="Times New Roman" w:cs="Times New Roman" w:eastAsia="Times New Roman" w:hAnsi="Times New Roman"/>
          <w:sz w:val="18"/>
          <w:szCs w:val="18"/>
          <w:i w:val="1"/>
          <w:iCs w:val="1"/>
          <w:color w:val="auto"/>
        </w:rPr>
        <w:t xml:space="preserve">(Restrictions on Transfer) </w:t>
      </w:r>
      <w:r>
        <w:rPr>
          <w:rFonts w:ascii="Times New Roman" w:cs="Times New Roman" w:eastAsia="Times New Roman" w:hAnsi="Times New Roman"/>
          <w:sz w:val="18"/>
          <w:szCs w:val="18"/>
          <w:color w:val="auto"/>
        </w:rPr>
        <w:t>(and the Company’s failure to object promptly in writing after notification of a proposed assignment allegedly in violation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2.12(c) </w:t>
      </w:r>
      <w:r>
        <w:rPr>
          <w:rFonts w:ascii="Times New Roman" w:cs="Times New Roman" w:eastAsia="Times New Roman" w:hAnsi="Times New Roman"/>
          <w:sz w:val="18"/>
          <w:szCs w:val="18"/>
          <w:i w:val="1"/>
          <w:iCs w:val="1"/>
          <w:color w:val="auto"/>
        </w:rPr>
        <w:t>(Restrictions on Transfer)</w:t>
      </w:r>
      <w:r>
        <w:rPr>
          <w:rFonts w:ascii="Times New Roman" w:cs="Times New Roman" w:eastAsia="Times New Roman" w:hAnsi="Times New Roman"/>
          <w:sz w:val="18"/>
          <w:szCs w:val="18"/>
          <w:color w:val="auto"/>
        </w:rPr>
        <w:t xml:space="preserve"> shall be deemed to be a waiver); and provided further that any provision hereof may be waived by any waiving Party on such Party’s own behalf, without the consent of any other Party. Notwithstanding the foregoing:</w:t>
      </w:r>
    </w:p>
    <w:p>
      <w:pPr>
        <w:spacing w:after="0" w:line="81" w:lineRule="exact"/>
        <w:rPr>
          <w:sz w:val="20"/>
          <w:szCs w:val="20"/>
          <w:color w:val="auto"/>
        </w:rPr>
      </w:pPr>
    </w:p>
    <w:p>
      <w:pPr>
        <w:jc w:val="both"/>
        <w:ind w:left="440" w:right="80" w:firstLine="948"/>
        <w:spacing w:after="0" w:line="312" w:lineRule="auto"/>
        <w:tabs>
          <w:tab w:leader="none" w:pos="1647" w:val="left"/>
        </w:tabs>
        <w:numPr>
          <w:ilvl w:val="0"/>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may not be amended or terminated and the observance of any term hereof may not be waived with respect to any Investor without the written consent of such Investor, unless such amendment, termination, or waiver applies to all Investors in the same fashion;</w:t>
      </w:r>
    </w:p>
    <w:p>
      <w:pPr>
        <w:spacing w:after="0" w:line="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440"/>
        <w:spacing w:after="0" w:line="290" w:lineRule="auto"/>
        <w:rPr>
          <w:sz w:val="20"/>
          <w:szCs w:val="20"/>
          <w:color w:val="auto"/>
        </w:rPr>
      </w:pPr>
      <w:r>
        <w:rPr>
          <w:rFonts w:ascii="Times New Roman" w:cs="Times New Roman" w:eastAsia="Times New Roman" w:hAnsi="Times New Roman"/>
          <w:sz w:val="17"/>
          <w:szCs w:val="17"/>
          <w:color w:val="auto"/>
        </w:rPr>
        <w:t xml:space="preserve">Any amendment, termination, or waiver effected in accordance with this Section 6.8 </w:t>
      </w:r>
      <w:r>
        <w:rPr>
          <w:rFonts w:ascii="Times New Roman" w:cs="Times New Roman" w:eastAsia="Times New Roman" w:hAnsi="Times New Roman"/>
          <w:sz w:val="17"/>
          <w:szCs w:val="17"/>
          <w:i w:val="1"/>
          <w:iCs w:val="1"/>
          <w:color w:val="auto"/>
        </w:rPr>
        <w:t>(Amendments and Waivers)</w:t>
      </w:r>
      <w:r>
        <w:rPr>
          <w:rFonts w:ascii="Times New Roman" w:cs="Times New Roman" w:eastAsia="Times New Roman" w:hAnsi="Times New Roman"/>
          <w:sz w:val="17"/>
          <w:szCs w:val="17"/>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5" w:right="459" w:bottom="1440" w:gutter="0" w:footer="0" w:header="0"/>
        </w:sectPr>
      </w:pPr>
    </w:p>
    <w:bookmarkStart w:id="500" w:name="page501"/>
    <w:bookmarkEnd w:id="500"/>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6.9 Severability</w:t>
      </w:r>
      <w:r>
        <w:rPr>
          <w:rFonts w:ascii="Times New Roman" w:cs="Times New Roman" w:eastAsia="Times New Roman" w:hAnsi="Times New Roman"/>
          <w:sz w:val="18"/>
          <w:szCs w:val="18"/>
          <w:color w:val="auto"/>
        </w:rPr>
        <w:t>. In case any one or more of the provisions contained in this Agreement is for any reason held to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applicable Law.</w:t>
      </w:r>
    </w:p>
    <w:p>
      <w:pPr>
        <w:spacing w:after="0" w:line="176"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6.10 Aggregation of Securities</w:t>
      </w:r>
      <w:r>
        <w:rPr>
          <w:rFonts w:ascii="Times New Roman" w:cs="Times New Roman" w:eastAsia="Times New Roman" w:hAnsi="Times New Roman"/>
          <w:sz w:val="18"/>
          <w:szCs w:val="18"/>
          <w:color w:val="auto"/>
        </w:rPr>
        <w:t>. All Registrable Securities held or acquired by Designated Affiliates of a Person shall be aggregated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for the purpose of determining the availability of any rights under this Agreement and such Designated Affiliates may apportion such rights as among themselves in any manner they deem appropriate.</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6.11 Entire Agreement</w:t>
      </w:r>
      <w:r>
        <w:rPr>
          <w:rFonts w:ascii="Times New Roman" w:cs="Times New Roman" w:eastAsia="Times New Roman" w:hAnsi="Times New Roman"/>
          <w:sz w:val="18"/>
          <w:szCs w:val="18"/>
          <w:color w:val="auto"/>
        </w:rPr>
        <w:t>. This Agreement (including any Schedules and Exhibits hereto), along with the Stock Purchase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Transaction Documents, constitute the full and entire understanding and agreement among the Parties with respect to the subject matter hereof, and any other written or oral agreement relating to the subject matter hereof existing between the Parties is expressly canceled.</w:t>
      </w:r>
    </w:p>
    <w:p>
      <w:pPr>
        <w:spacing w:after="0" w:line="17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6.12 WAIVER OF JURY TRIAL</w:t>
      </w:r>
      <w:r>
        <w:rPr>
          <w:rFonts w:ascii="Times New Roman" w:cs="Times New Roman" w:eastAsia="Times New Roman" w:hAnsi="Times New Roman"/>
          <w:sz w:val="18"/>
          <w:szCs w:val="18"/>
          <w:color w:val="auto"/>
        </w:rPr>
        <w:t>. EACH PARTY HEREBY WAIVES ITS RIGHTS TO A JURY TRIAL OF ANY CLAIM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6.13 Delays or Omissions</w:t>
      </w:r>
      <w:r>
        <w:rPr>
          <w:rFonts w:ascii="Times New Roman" w:cs="Times New Roman" w:eastAsia="Times New Roman" w:hAnsi="Times New Roman"/>
          <w:sz w:val="18"/>
          <w:szCs w:val="18"/>
          <w:color w:val="auto"/>
        </w:rPr>
        <w:t>. No delay or omission to exercise any right, power or remedy accruing to any Party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8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6.14 Additional Investors</w:t>
      </w:r>
      <w:r>
        <w:rPr>
          <w:rFonts w:ascii="Times New Roman" w:cs="Times New Roman" w:eastAsia="Times New Roman" w:hAnsi="Times New Roman"/>
          <w:sz w:val="18"/>
          <w:szCs w:val="18"/>
          <w:color w:val="auto"/>
        </w:rPr>
        <w:t>. Notwithstanding anything to the contrary contained herein, if the Company issues additional Equity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date hereof, then, at the Company’s election, any purchaser of such securities may become a Party to this Agreement by executing and delivering an additional counterpart signature page to this Agreement and thereafter shall be deemed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for all purposes hereunder. No action or consent by the Investors shall be required for such joinder to this Agreement by such additional Investor, so long as such additional Investor has agreed in writing to be bound by all of the obligations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hereunder.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5" w:right="459" w:bottom="1440" w:gutter="0" w:footer="0" w:header="0"/>
        </w:sectPr>
      </w:pPr>
    </w:p>
    <w:bookmarkStart w:id="501" w:name="page502"/>
    <w:bookmarkEnd w:id="501"/>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6.15 Business Day Requirements</w:t>
      </w:r>
      <w:r>
        <w:rPr>
          <w:rFonts w:ascii="Times New Roman" w:cs="Times New Roman" w:eastAsia="Times New Roman" w:hAnsi="Times New Roman"/>
          <w:sz w:val="18"/>
          <w:szCs w:val="18"/>
          <w:color w:val="auto"/>
        </w:rPr>
        <w:t>. If any notice or other action or omission is required to be taken by a Party under this Agreement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that is not a Business Day, then such notice or other action or omission shall be deemed to be required to be taken on the next occurring Business Day.</w:t>
      </w:r>
    </w:p>
    <w:p>
      <w:pPr>
        <w:spacing w:after="0" w:line="1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[Signatures Follow]</w:t>
      </w: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440" w:top="265" w:right="55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Investor Rights Agreement as of the date first set forth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PRIOVANT HOLDINGS, INC.</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Zimmer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Benjamin Zimmer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Maisak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Matt Maisak</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PFIZER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John Young</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Business Officer</w:t>
      </w:r>
    </w:p>
    <w:p>
      <w:pPr>
        <w:spacing w:after="0" w:line="20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i w:val="1"/>
          <w:iCs w:val="1"/>
          <w:color w:val="auto"/>
        </w:rPr>
        <w:t>[Signature Page to Investor Rights Agreement]</w:t>
      </w:r>
    </w:p>
    <w:p>
      <w:pPr>
        <w:sectPr>
          <w:pgSz w:w="11900" w:h="16838" w:orient="portrait"/>
          <w:cols w:equalWidth="0" w:num="1">
            <w:col w:w="9579"/>
          </w:cols>
          <w:pgMar w:left="880" w:top="269" w:right="1440" w:bottom="1440" w:gutter="0" w:footer="0" w:header="0"/>
        </w:sectPr>
      </w:pPr>
    </w:p>
    <w:bookmarkStart w:id="503" w:name="page504"/>
    <w:bookmarkEnd w:id="503"/>
    <w:p>
      <w:pPr>
        <w:ind w:left="10040"/>
        <w:spacing w:after="0"/>
        <w:rPr>
          <w:sz w:val="20"/>
          <w:szCs w:val="20"/>
          <w:color w:val="auto"/>
        </w:rPr>
      </w:pPr>
      <w:r>
        <w:rPr>
          <w:rFonts w:ascii="Times New Roman" w:cs="Times New Roman" w:eastAsia="Times New Roman" w:hAnsi="Times New Roman"/>
          <w:sz w:val="17"/>
          <w:szCs w:val="17"/>
          <w:color w:val="auto"/>
        </w:rPr>
        <w:t>Exhibit 10.37</w:t>
      </w:r>
    </w:p>
    <w:p>
      <w:pPr>
        <w:spacing w:after="0" w:line="23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699516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PFIZER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PRIOVANT,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SEPTEMBER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04" w:name="page505"/>
    <w:bookmarkEnd w:id="504"/>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540" w:type="dxa"/>
            <w:vAlign w:val="bottom"/>
            <w:gridSpan w:val="2"/>
          </w:tcPr>
          <w:p>
            <w:pPr>
              <w:jc w:val="center"/>
              <w:ind w:right="44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351"/>
        </w:trPr>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5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DEFINITIONS</w:t>
            </w:r>
          </w:p>
        </w:tc>
        <w:tc>
          <w:tcPr>
            <w:tcW w:w="6240" w:type="dxa"/>
            <w:vAlign w:val="bottom"/>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LICENSE GRANT</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License Grant to Licensee</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Sublicense Rights</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License Grant to Pfizer</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Rights</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Residuals</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Additional Rights</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CLOSING</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Deliverables</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TRANSFER ACTIVITIES</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5. DEVELOPMENT; REGULATORY; MANUFACTURING</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Alliance Management</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Diligence</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Filings</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Progress Reporting</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Permitted Contractors</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Plan</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Safety Reporting</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Ongoing Clinical Trials</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5.10</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5.11</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5.12</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COMMERCIALIZATION</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Diligence</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Territory Integrity</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w:t>
            </w:r>
          </w:p>
        </w:tc>
        <w:tc>
          <w:tcPr>
            <w:tcW w:w="6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5"/>
        </w:trPr>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240" w:type="dxa"/>
            <w:vAlign w:val="bottom"/>
          </w:tcPr>
          <w:p>
            <w:pPr>
              <w:jc w:val="right"/>
              <w:ind w:right="5091"/>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05" w:name="page506"/>
    <w:bookmarkEnd w:id="505"/>
    <w:tbl>
      <w:tblPr>
        <w:tblLayout w:type="fixed"/>
        <w:tblInd w:w="0" w:type="dxa"/>
        <w:tblCellMar>
          <w:top w:w="0" w:type="dxa"/>
          <w:left w:w="0" w:type="dxa"/>
          <w:bottom w:w="0" w:type="dxa"/>
          <w:right w:w="0" w:type="dxa"/>
        </w:tblCellMar>
      </w:tblPr>
      <w:tr>
        <w:trPr>
          <w:trHeight w:val="234"/>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 PAYMENT TERMS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Payment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Milestone Payments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Royalty Payments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Royalty Deduction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Blended Royalty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Payments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Late Payments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Currency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Method of Payment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RECORDS; AUDIT RIGHTS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Relevant Records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Audit Request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Audit Fees and Expenses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Deficiency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INTELLECTUAL PROPERTY RIGHTS.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Pre-existing IP</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Patent Prosecution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INFRINGEMENT; MISAPPROPRIATION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Notification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Infringement Action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CONFIDENTIALITY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Exceptions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Ongoing Obligation for Confidentiality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11.4</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REPRESENTATIONS, WARRANTIES AND COVENANTS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by Each Party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and Covenants by Pfizer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12.3</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Warranties and Covenants by Licensee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12.4</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Warranties and Covenants Related to Anti-Corruption Laws and Healthcare Laws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12.5</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Warranties and Covenants Related to Global Trade Control Laws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12.6</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Action Required Which Would Violate Law</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12.7</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Warranties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12.8</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Disclaimer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12.9</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Government Approvals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65"/>
        </w:trPr>
        <w:tc>
          <w:tcPr>
            <w:tcW w:w="760" w:type="dxa"/>
            <w:vAlign w:val="bottom"/>
          </w:tcPr>
          <w:p>
            <w:pPr>
              <w:spacing w:after="0"/>
              <w:rPr>
                <w:sz w:val="24"/>
                <w:szCs w:val="24"/>
                <w:color w:val="auto"/>
              </w:rPr>
            </w:pPr>
          </w:p>
        </w:tc>
        <w:tc>
          <w:tcPr>
            <w:tcW w:w="862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06" w:name="page507"/>
    <w:bookmarkEnd w:id="506"/>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INDEMNIFICATION</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by Licensee</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13.2</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by Pfizer</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13.3</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Procedure for Third Party Claims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13.4</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Procedure for Direct Claims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 LIMITATION OF LIABILITY</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Damages Waiver</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14.2</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14.3</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14.4</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14.5</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Exclusive Remedy</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14.6</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Recovery</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14.7</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Set-Off</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TERM; TERMINATION</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15.1</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15.2</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for Cause</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15.3</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15.4</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Effects of Termination</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15.5</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15.6</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365(n) Rights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 PUBLICITY; PUBLICATIONS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16.1</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Names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16.2</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Press Releases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16.3</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Publications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 INSURANCE</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17.1</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Licensee Insurance Requirements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17.2</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Licensee Policy Notification</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17.3</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Pfizer Insurance Requirements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17.4</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Pfizer Policy Notification</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 GENERAL PROVISIONS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18.1</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18.2</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18.3</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Dispute Resolution</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18.4</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Equitable Relief</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18.5</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Force Majeure</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18.6</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Waivers and Amendments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18.7</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18.8</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 and Assigns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18.9</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18.10</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18.11</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 Party Beneficiary Rights</w:t>
            </w:r>
          </w:p>
        </w:tc>
        <w:tc>
          <w:tcPr>
            <w:tcW w:w="6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65"/>
        </w:trPr>
        <w:tc>
          <w:tcPr>
            <w:tcW w:w="8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0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3</w:t>
            </w:r>
          </w:p>
        </w:tc>
      </w:tr>
    </w:tbl>
    <w:p>
      <w:pPr>
        <w:jc w:val="right"/>
        <w:ind w:right="5330"/>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07" w:name="page508"/>
    <w:bookmarkEnd w:id="507"/>
    <w:tbl>
      <w:tblPr>
        <w:tblLayout w:type="fixed"/>
        <w:tblInd w:w="0" w:type="dxa"/>
        <w:tblCellMar>
          <w:top w:w="0" w:type="dxa"/>
          <w:left w:w="0" w:type="dxa"/>
          <w:bottom w:w="0" w:type="dxa"/>
          <w:right w:w="0" w:type="dxa"/>
        </w:tblCellMar>
      </w:tblPr>
      <w:tr>
        <w:trPr>
          <w:trHeight w:val="216"/>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18.12</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 Confidentiality Agreement</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18.13</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18.14</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Remedies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18.15</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by Affiliates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18.16</w:t>
            </w: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Rule of Construction</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65"/>
        </w:trPr>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14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4</w:t>
            </w:r>
          </w:p>
        </w:tc>
      </w:tr>
    </w:tbl>
    <w:p>
      <w:pPr>
        <w:jc w:val="right"/>
        <w:ind w:right="5330"/>
        <w:spacing w:after="0"/>
        <w:rPr>
          <w:sz w:val="20"/>
          <w:szCs w:val="20"/>
          <w:color w:val="auto"/>
        </w:rPr>
        <w:sectPr>
          <w:pgSz w:w="11900" w:h="16838" w:orient="portrait"/>
          <w:cols w:equalWidth="0" w:num="1">
            <w:col w:w="10600"/>
          </w:cols>
          <w:pgMar w:left="80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08" w:name="page509"/>
    <w:bookmarkEnd w:id="50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 AND COLLABORATION AGREEMENT</w:t>
      </w:r>
    </w:p>
    <w:p>
      <w:pPr>
        <w:spacing w:after="0" w:line="22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THIS LICENSE AND COLLABORATION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the 13</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September, 2021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Pfizer Inc., a corporation organized and existing under the laws of Delaware with offices at [***] (“</w:t>
      </w:r>
      <w:r>
        <w:rPr>
          <w:rFonts w:ascii="Times New Roman" w:cs="Times New Roman" w:eastAsia="Times New Roman" w:hAnsi="Times New Roman"/>
          <w:sz w:val="18"/>
          <w:szCs w:val="18"/>
          <w:b w:val="1"/>
          <w:bCs w:val="1"/>
          <w:color w:val="auto"/>
        </w:rPr>
        <w:t>Pfizer</w:t>
      </w:r>
      <w:r>
        <w:rPr>
          <w:rFonts w:ascii="Times New Roman" w:cs="Times New Roman" w:eastAsia="Times New Roman" w:hAnsi="Times New Roman"/>
          <w:sz w:val="18"/>
          <w:szCs w:val="18"/>
          <w:color w:val="auto"/>
        </w:rPr>
        <w:t>”), Priovant, Inc., a corporation organized and existing under the laws of Delaware with offices at [***]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and solely with respect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Roivant Sciences Ltd., a corporation organized and existing under the laws of Bermuda with offices at [***] (“</w:t>
      </w:r>
      <w:r>
        <w:rPr>
          <w:rFonts w:ascii="Times New Roman" w:cs="Times New Roman" w:eastAsia="Times New Roman" w:hAnsi="Times New Roman"/>
          <w:sz w:val="18"/>
          <w:szCs w:val="18"/>
          <w:b w:val="1"/>
          <w:bCs w:val="1"/>
          <w:color w:val="auto"/>
        </w:rPr>
        <w:t>Roivant</w:t>
      </w:r>
      <w:r>
        <w:rPr>
          <w:rFonts w:ascii="Times New Roman" w:cs="Times New Roman" w:eastAsia="Times New Roman" w:hAnsi="Times New Roman"/>
          <w:sz w:val="18"/>
          <w:szCs w:val="18"/>
          <w:color w:val="auto"/>
        </w:rPr>
        <w:t xml:space="preserve">”). Licensee and Pfizer (and, solely with respect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Roivant) may, from time-to-time, be individually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Pfizer Controls the Licensed Technology (hereinafter defined); and</w:t>
      </w:r>
    </w:p>
    <w:p>
      <w:pPr>
        <w:spacing w:after="0" w:line="225"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WHEREAS, Licensee wishes to obtain, and Pfizer wishes to grant, certain licenses under the Licensed Technology on the terms and conditions set forth herein.</w:t>
      </w:r>
    </w:p>
    <w:p>
      <w:pPr>
        <w:spacing w:after="0" w:line="162"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agreements and covenants set forth herein and other good and valuable consideration, the receipt and sufficiency of which the Parties hereby acknowledge, the Parties, intending to be legally bound hereby, agree to the foregoing and as follows:</w:t>
      </w:r>
    </w:p>
    <w:p>
      <w:pPr>
        <w:spacing w:after="0" w:line="77" w:lineRule="exact"/>
        <w:rPr>
          <w:sz w:val="20"/>
          <w:szCs w:val="20"/>
          <w:color w:val="auto"/>
        </w:rPr>
      </w:pPr>
    </w:p>
    <w:p>
      <w:pPr>
        <w:ind w:left="764" w:hanging="764"/>
        <w:spacing w:after="0"/>
        <w:tabs>
          <w:tab w:leader="none" w:pos="764" w:val="left"/>
        </w:tabs>
        <w:numPr>
          <w:ilvl w:val="0"/>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18.3.3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Standard</w:t>
      </w:r>
      <w:r>
        <w:rPr>
          <w:rFonts w:ascii="Times New Roman" w:cs="Times New Roman" w:eastAsia="Times New Roman" w:hAnsi="Times New Roman"/>
          <w:sz w:val="18"/>
          <w:szCs w:val="18"/>
          <w:color w:val="auto"/>
        </w:rPr>
        <w:t>” means International Financial Reporting Standards (IFRS) or U.S. Generally Accepted Accounting Principles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as generally and consistently applied by the applicable entity in accordance with Applicable Law.</w:t>
      </w:r>
    </w:p>
    <w:p>
      <w:pPr>
        <w:spacing w:after="0" w:line="155" w:lineRule="exact"/>
        <w:rPr>
          <w:sz w:val="20"/>
          <w:szCs w:val="20"/>
          <w:color w:val="auto"/>
        </w:rPr>
      </w:pPr>
    </w:p>
    <w:p>
      <w:pPr>
        <w:ind w:left="4" w:right="4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1.5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with respect to a Party, as of the applicable point in time and for so long as the applicable relationship exists, any Person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that controls, is controlled by, or is under common control with that Party. For the purpose of this definition, the definition of Excluded Affiliate, and </w:t>
      </w:r>
      <w:r>
        <w:rPr>
          <w:rFonts w:ascii="Times New Roman" w:cs="Times New Roman" w:eastAsia="Times New Roman" w:hAnsi="Times New Roman"/>
          <w:sz w:val="17"/>
          <w:szCs w:val="17"/>
          <w:u w:val="single" w:color="auto"/>
          <w:color w:val="auto"/>
        </w:rPr>
        <w:t>Sections 12.4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12.5</w:t>
      </w:r>
      <w:r>
        <w:rPr>
          <w:rFonts w:ascii="Times New Roman" w:cs="Times New Roman" w:eastAsia="Times New Roman" w:hAnsi="Times New Roman"/>
          <w:sz w:val="17"/>
          <w:szCs w:val="17"/>
          <w:color w:val="auto"/>
        </w:rPr>
        <w:t xml:space="preserve">, “control” and, with correlative meanings, the terms “controlled by” and “under common control with” shall refer to: (a) the possession, directly or indirectly, of the power to direct or cause the direction of the management or policies of an entity, whether through the ownership of voting securities or other ownership interest, by contract or otherwise, or (b) the ownership, directly or indirectly, of fifty percent (50%) or more of the voting securities or other ownership interest of such entity (or, with respect to a limited partnership or other similar entity, its general partner or controlling entity).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foreign investor has the power to direct the management or policies of such entity. Notwithstanding the foregoing, an Excluded Affiliate will not be deemed an Affiliate of Licensee for any purpose under this Agreement.</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5" w:right="459" w:bottom="1440" w:gutter="0" w:footer="0" w:header="0"/>
        </w:sectPr>
      </w:pPr>
    </w:p>
    <w:bookmarkStart w:id="509" w:name="page510"/>
    <w:bookmarkEnd w:id="50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introduction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applicable international, national, state and local laws, statutes, rules and regulations regarding corruption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bribery, including laws that prohibit the corrupt payment, offer, promise, or authorization of the payment or transfer of anything of value (including gifts or entertainment), directly or indirectly, to any Government Official, commercial entity, or any other Person to obtain an improper business advantage, including the Foreign Corrupt Practices Act (15 U.S.C. §78-dd-1, et seq.), the UK Bribery Act of 2010, and laws implementing the Convention on Combating Bribery of Foreign Public Officials in International Business Transactions; each as may be amended or supplemented from time to time.</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any applicable United States federal, state or local law, or foreign or multinational law, statute, standard, ordinance,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rule, regulation, resolution, or promulgation, or any order, writ, judgment, injunction, decree, stipulation, ruling, determination, or award entered by or with any Governmental Authority, or any license, franchise, permit, or similar right granted under any of the foregoing, or any similar provision having the force or effect of law, including the Federal Food, Drug, and Cosmetic Act (21 U.S.C. § 301, et seq.), the Anti-Kickback Statute (42 U.S.C. § 1320a-7b), the Civil Monetary Penalty Statute (42 U.S.C. § 1320a-7a), the False Claims Act (31 U.S.C. § 3729 et seq.), comparable state statutes, the regulations promulgated under all such statutes, and the regulations issued by the FDA, and all applicable Anti-Corruption Laws, accounting and recordkeeping laws, and laws relating to interactions with Healthcare Professionals and Government Officials. For the avoidance of doubt, any specific references to any Applicable Law or any portion thereof shall be deemed to include all then-current amendments thereto or any replacement or successor law, statute, standard, ordinance, code, rule, regulation, resolution, promulgation, order, writ, judgment, injunction, decree, stipulation, ruling, or determination thereto.</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Brepo</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Brepo Compounds</w:t>
      </w:r>
      <w:r>
        <w:rPr>
          <w:rFonts w:ascii="Times New Roman" w:cs="Times New Roman" w:eastAsia="Times New Roman" w:hAnsi="Times New Roman"/>
          <w:sz w:val="18"/>
          <w:szCs w:val="18"/>
          <w:color w:val="auto"/>
        </w:rPr>
        <w:t>” means brepocitinib [***] (“</w:t>
      </w:r>
      <w:r>
        <w:rPr>
          <w:rFonts w:ascii="Times New Roman" w:cs="Times New Roman" w:eastAsia="Times New Roman" w:hAnsi="Times New Roman"/>
          <w:sz w:val="18"/>
          <w:szCs w:val="18"/>
          <w:b w:val="1"/>
          <w:bCs w:val="1"/>
          <w:color w:val="auto"/>
        </w:rPr>
        <w:t>Brepo</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Brepo Product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 day on which commercial banks located in New York, New York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London, United Kingdom are authorized or required by Applicable Law to remain closed.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5" w:right="459" w:bottom="1440" w:gutter="0" w:footer="0" w:header="0"/>
        </w:sectPr>
      </w:pPr>
    </w:p>
    <w:bookmarkStart w:id="510" w:name="page511"/>
    <w:bookmarkEnd w:id="510"/>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means the respective periods of three (3) consecutive calendar months ending on March 31, June 30, September 30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except that the first Calendar Quarter of the Term commences on the Effective Date and ends on the first to occur of March 31, June 30, September 30 and December 31 after the Effective Date, and the last Calendar Quarter of the Term ends on the last day of the Term.</w:t>
      </w:r>
    </w:p>
    <w:p>
      <w:pPr>
        <w:spacing w:after="0" w:line="171"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the period of twelve (12) consecutive calendar months ending on December 31, except that the first Calendar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the Term commences on the Effective Date and ends on December 31 of the year in which the Effective Date occurs, and the last Calendar Year of the Term commences on January 1 of the year in which the Term ends and ends on the last day of the Term.</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CDA</w:t>
      </w:r>
      <w:r>
        <w:rPr>
          <w:rFonts w:ascii="Times New Roman" w:cs="Times New Roman" w:eastAsia="Times New Roman" w:hAnsi="Times New Roman"/>
          <w:sz w:val="18"/>
          <w:szCs w:val="18"/>
          <w:color w:val="auto"/>
        </w:rPr>
        <w:t>” means that certain Confidential Disclosure Agreement, dated [***], entered into between the Parties or any of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a Party, whether effected in a single transaction or a series of related transactions, [***].</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Clinical Trial</w:t>
      </w:r>
      <w:r>
        <w:rPr>
          <w:rFonts w:ascii="Times New Roman" w:cs="Times New Roman" w:eastAsia="Times New Roman" w:hAnsi="Times New Roman"/>
          <w:sz w:val="18"/>
          <w:szCs w:val="18"/>
          <w:color w:val="auto"/>
        </w:rPr>
        <w:t>” means those studies in human subjects that are required by Applicable Law, or otherwise recommended or required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Authorities or reasonably useful, to obtain or maintain any Regulatory Approval for a Product for one (1) or more indications.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CMO</w:t>
      </w:r>
      <w:r>
        <w:rPr>
          <w:rFonts w:ascii="Times New Roman" w:cs="Times New Roman" w:eastAsia="Times New Roman" w:hAnsi="Times New Roman"/>
          <w:sz w:val="18"/>
          <w:szCs w:val="18"/>
          <w:color w:val="auto"/>
        </w:rPr>
        <w:t>” means a contract manufacturing organization.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1.28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to market, promote, distribute, offer for sale, sell, have sold, import, have imported,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export, have exported or otherwise commercialize a compound or product. When used as a noun,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any and all activities involved in Commercializing.</w:t>
      </w:r>
    </w:p>
    <w:p>
      <w:pPr>
        <w:spacing w:after="0" w:line="17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the Development or Commercialization of a Compound or Product in or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country, [***].</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 Product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1.97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5" w:right="479" w:bottom="1440" w:gutter="0" w:footer="0" w:header="0"/>
        </w:sectPr>
      </w:pPr>
    </w:p>
    <w:bookmarkStart w:id="511" w:name="page512"/>
    <w:bookmarkEnd w:id="51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Compounds</w:t>
      </w:r>
      <w:r>
        <w:rPr>
          <w:rFonts w:ascii="Times New Roman" w:cs="Times New Roman" w:eastAsia="Times New Roman" w:hAnsi="Times New Roman"/>
          <w:sz w:val="18"/>
          <w:szCs w:val="18"/>
          <w:color w:val="auto"/>
        </w:rPr>
        <w:t>” means Brepo Compounds and TYK2 Compounds.</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the existence, terms and provisions of this Agreement and all other proprietary information and data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commercial or technical nature that the disclosing Party or any of its Affiliates has supplied or otherwise made available to the other Party or its Affiliates. [***] Confidential Information shall not include information that: (a) is, at the time of disclosure or becomes, after the time of disclosure, known to the public or part of the public domain through no breach of this Agreement by the receiving Party or any Recipients to whom it disclosed such information; (b) was known to, or was otherwise in the possession of, the receiving Party prior to the time of disclosure by the disclosing Party to the receiving Party; (c) is disclosed to the receiving Party on a non-confidential basis by a Third Party who is entitled to disclose it without breaching any confidentiality obligation to the disclosing Party; or (d) is independently developed by or on behalf of the receiving Party or any of its Affiliates, as evidenced by its written records, without use of or access to the Confidential Information.</w:t>
      </w:r>
    </w:p>
    <w:p>
      <w:pPr>
        <w:spacing w:after="0" w:line="185"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means, with respect to any Intellectual Property Rights or other rights to provide data or other information,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authority or right (whether by ownership, license or otherwise, other than any license granted pursuant to this Agreement) of a Party to grant a license or a sublicense of or under such Intellectual Property Rights to the other Party or provide such data or other information to such other Party without breaching the terms of any agreement with a Third Party.</w:t>
      </w:r>
    </w:p>
    <w:p>
      <w:pPr>
        <w:spacing w:after="0" w:line="176"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means, with respect to a given Compound or Product and a given Valid Claim of a Licensed Patent Right, that the Exploitation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Compound or Product would, but for the licenses granted by Pfizer to Licensee under this Agreement, infringe such Valid Claim.</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CRO</w:t>
      </w:r>
      <w:r>
        <w:rPr>
          <w:rFonts w:ascii="Times New Roman" w:cs="Times New Roman" w:eastAsia="Times New Roman" w:hAnsi="Times New Roman"/>
          <w:sz w:val="18"/>
          <w:szCs w:val="18"/>
          <w:color w:val="auto"/>
        </w:rPr>
        <w:t>” means a contract research organization.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CSO</w:t>
      </w:r>
      <w:r>
        <w:rPr>
          <w:rFonts w:ascii="Times New Roman" w:cs="Times New Roman" w:eastAsia="Times New Roman" w:hAnsi="Times New Roman"/>
          <w:sz w:val="18"/>
          <w:szCs w:val="18"/>
          <w:color w:val="auto"/>
        </w:rPr>
        <w:t>” means a contract sales organization.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1.38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1.39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Developing</w:t>
      </w:r>
      <w:r>
        <w:rPr>
          <w:rFonts w:ascii="Times New Roman" w:cs="Times New Roman" w:eastAsia="Times New Roman" w:hAnsi="Times New Roman"/>
          <w:sz w:val="18"/>
          <w:szCs w:val="18"/>
          <w:color w:val="auto"/>
        </w:rPr>
        <w:t>” means to discover, research or otherwise develop a process, compound or product, including conducting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non-clinical and clinical research and development activities directed to, necessary, reasonably useful or otherwise requested or required by a Regulatory Authority as a condition or in support of obtaining or maintaining a Regulatory Approval, including fulfilling post-approval regulatory obligations. When used as a noun,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any and all activities involved in Developing.</w:t>
      </w:r>
    </w:p>
    <w:p>
      <w:pPr>
        <w:spacing w:after="0" w:line="176"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Developed IP</w:t>
      </w:r>
      <w:r>
        <w:rPr>
          <w:rFonts w:ascii="Times New Roman" w:cs="Times New Roman" w:eastAsia="Times New Roman" w:hAnsi="Times New Roman"/>
          <w:sz w:val="18"/>
          <w:szCs w:val="18"/>
          <w:color w:val="auto"/>
        </w:rPr>
        <w:t>” means any Intellectual Property Rights that are: (a) both (i) related to the Compounds or Products, and (ii) conceived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reduced to practice by Licensee, its Affiliates or sublicensees alone or together with one or more Third Parties during the Term in connection with the Development, Manufacture or use of any Compound or Product under this Agreement or (b) both (i) related to the Compounds or Products, and (ii) Controlled by Licensee pursuant to a Licensee Third Party License.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5" w:right="459" w:bottom="1440" w:gutter="0" w:footer="0" w:header="0"/>
        </w:sectPr>
      </w:pPr>
    </w:p>
    <w:bookmarkStart w:id="512" w:name="page513"/>
    <w:bookmarkEnd w:id="51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defined in the introduction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means the European Medicines Agency or any successor agency thereto.</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means any of the 27 countries comprising the European Union as of the Effective Date, and any additional member countries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and the United Kingdom.</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Action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18.3.7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Affiliate</w:t>
      </w:r>
      <w:r>
        <w:rPr>
          <w:rFonts w:ascii="Times New Roman" w:cs="Times New Roman" w:eastAsia="Times New Roman" w:hAnsi="Times New Roman"/>
          <w:sz w:val="18"/>
          <w:szCs w:val="18"/>
          <w:color w:val="auto"/>
        </w:rPr>
        <w:t>” means [***]. For clarity, a Person may cease to be or may become an Excluded Affiliate from time to time if its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such that it ceases to satisfy or satisfies the requirements of an Excluded Affiliate 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Pfizer Affiliates</w:t>
      </w:r>
      <w:r>
        <w:rPr>
          <w:rFonts w:ascii="Times New Roman" w:cs="Times New Roman" w:eastAsia="Times New Roman" w:hAnsi="Times New Roman"/>
          <w:sz w:val="18"/>
          <w:szCs w:val="18"/>
          <w:color w:val="auto"/>
        </w:rPr>
        <w:t>” means the Affiliates of Pfizer existing as of the Effective Date.</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means to Develop, Manufacture or Commercialize, or to otherwise make, use, offer to sell, sell or import,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 or product. When used as a noun, “</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means any and all activities involved in Exploiting.</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FD&amp;C Act</w:t>
      </w:r>
      <w:r>
        <w:rPr>
          <w:rFonts w:ascii="Times New Roman" w:cs="Times New Roman" w:eastAsia="Times New Roman" w:hAnsi="Times New Roman"/>
          <w:sz w:val="18"/>
          <w:szCs w:val="18"/>
          <w:color w:val="auto"/>
        </w:rPr>
        <w:t>” means the United States Federal Food, Drug, and Cosmetic Act (21 U.S.C. §§ 301 et seq.), as amended, and the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promulgated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or any successor federal agency thereto.</w:t>
      </w:r>
    </w:p>
    <w:p>
      <w:pPr>
        <w:spacing w:after="0" w:line="22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means (a) in the case of Pfizer, collectively, the Inventory Payment and any and all U.S. Sales Milestone Payment and Licensee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Royalties, and (b) in the case of Licensee, collectively, ROW Sales Milestone Payment and Pfizer Royalties.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the treatment, prevention, diagnosis, control and maintenance of all indications in humans and animals.</w:t>
      </w:r>
    </w:p>
    <w:p>
      <w:pPr>
        <w:spacing w:after="0" w:line="225" w:lineRule="exact"/>
        <w:rPr>
          <w:sz w:val="20"/>
          <w:szCs w:val="20"/>
          <w:color w:val="auto"/>
        </w:rPr>
      </w:pPr>
    </w:p>
    <w:p>
      <w:pPr>
        <w:ind w:right="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1.55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First Commercial Sale</w:t>
      </w:r>
      <w:r>
        <w:rPr>
          <w:rFonts w:ascii="Times New Roman" w:cs="Times New Roman" w:eastAsia="Times New Roman" w:hAnsi="Times New Roman"/>
          <w:sz w:val="17"/>
          <w:szCs w:val="17"/>
          <w:color w:val="auto"/>
        </w:rPr>
        <w:t>” means the first sale of a Product by Licensee or Licensee’s Affiliate or sublicensee to a Third Party in a country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Territory following receipt of Regulatory Approval for such Product in such country. Dispositions of Product, or use of Product in, clinical trials or other scientific testing, as free samples, or under expanded access programs or for charitable purposes shall not be considered a First Commercial Sale.</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Reporting Window</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5.5.1.</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means, with respect to any Person, a deliberately fraudulent misrepresentation with respect to the making of the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warranties specifically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as applicable, with the actual knowledge by such Person that such representations and warranties made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(each as qualified by the Disclosure Schedules), as applicable, were untrue when made, with the specific intention that a Party to this Agreement rely thereon to its detriment and such Party did in fact rely thereon to such Party’s detriment;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knowledge of any Person be imputed to any other Person.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65" w:right="499" w:bottom="1440" w:gutter="0" w:footer="0" w:header="0"/>
        </w:sectPr>
      </w:pPr>
    </w:p>
    <w:bookmarkStart w:id="513" w:name="page514"/>
    <w:bookmarkEnd w:id="513"/>
    <w:p>
      <w:pPr>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w:t>
      </w:r>
      <w:r>
        <w:rPr>
          <w:rFonts w:ascii="Times New Roman" w:cs="Times New Roman" w:eastAsia="Times New Roman" w:hAnsi="Times New Roman"/>
          <w:sz w:val="18"/>
          <w:szCs w:val="18"/>
          <w:color w:val="auto"/>
        </w:rPr>
        <w:t>” means the efforts of one or more employees of Pfizer (or its Affiliate) equivalent to the efforts of one full-time employee for one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case of less than a full-time dedicated person, a full-time equivalent person-year based upon a total of eighteen hundred (1800) hours per year of work.</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Generic Competition</w:t>
      </w:r>
      <w:r>
        <w:rPr>
          <w:rFonts w:ascii="Times New Roman" w:cs="Times New Roman" w:eastAsia="Times New Roman" w:hAnsi="Times New Roman"/>
          <w:sz w:val="18"/>
          <w:szCs w:val="18"/>
          <w:color w:val="auto"/>
        </w:rPr>
        <w:t>” means, with respect to a Product (the “</w:t>
      </w:r>
      <w:r>
        <w:rPr>
          <w:rFonts w:ascii="Times New Roman" w:cs="Times New Roman" w:eastAsia="Times New Roman" w:hAnsi="Times New Roman"/>
          <w:sz w:val="18"/>
          <w:szCs w:val="18"/>
          <w:b w:val="1"/>
          <w:bCs w:val="1"/>
          <w:color w:val="auto"/>
        </w:rPr>
        <w:t>Reference Product</w:t>
      </w:r>
      <w:r>
        <w:rPr>
          <w:rFonts w:ascii="Times New Roman" w:cs="Times New Roman" w:eastAsia="Times New Roman" w:hAnsi="Times New Roman"/>
          <w:sz w:val="18"/>
          <w:szCs w:val="18"/>
          <w:color w:val="auto"/>
        </w:rPr>
        <w:t>”) in a particular country in the Territory, [***].</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Generic Product</w:t>
      </w:r>
      <w:r>
        <w:rPr>
          <w:rFonts w:ascii="Times New Roman" w:cs="Times New Roman" w:eastAsia="Times New Roman" w:hAnsi="Times New Roman"/>
          <w:sz w:val="18"/>
          <w:szCs w:val="18"/>
          <w:color w:val="auto"/>
        </w:rPr>
        <w:t>” means, with respect to the Reference Product in a particular country in the Territory, any pharmaceutical product that</w:t>
      </w:r>
    </w:p>
    <w:p>
      <w:pPr>
        <w:spacing w:after="0" w:line="31" w:lineRule="exact"/>
        <w:rPr>
          <w:sz w:val="20"/>
          <w:szCs w:val="20"/>
          <w:color w:val="auto"/>
        </w:rPr>
      </w:pPr>
    </w:p>
    <w:p>
      <w:pPr>
        <w:ind w:left="4" w:right="20" w:hanging="4"/>
        <w:spacing w:after="0" w:line="252" w:lineRule="auto"/>
        <w:tabs>
          <w:tab w:leader="none" w:pos="249"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marketed for sale by a Third Party not authorized by Licensee, (b) receives Regulatory Approval (with or without Pricing and Reimbursement Approval) in such country in full or partial reliance on the Regulatory Approval (but not necessarily Pricing and Reimbursement Approval) of the Reference Product, and (c) is determined by a Regulatory Authority to be therapeutically equivalent (as defined in FDA regulations at 21 CFR 314.3(b)) to and substitutable with the Reference Product, it being acknowledged that the foregoing standard is intended to be consistent with the standard set forth in the introduction to the “Orange Book,” as amended from time to time, or any analogous or comparable standard in any country outside of the United States. For the avoidance of doubt, in the United States, a “Generic Product” as defined herein includes one approved under Section 505(j) of the FD&amp;C Act, as supplemented or amended.</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Regulatory Filings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Trade Control Laws</w:t>
      </w:r>
      <w:r>
        <w:rPr>
          <w:rFonts w:ascii="Times New Roman" w:cs="Times New Roman" w:eastAsia="Times New Roman" w:hAnsi="Times New Roman"/>
          <w:sz w:val="18"/>
          <w:szCs w:val="18"/>
          <w:color w:val="auto"/>
        </w:rPr>
        <w:t>” means the U.S. Export Administration Regulations; the U.S. International Traffic in Arms Regulations;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economic sanctions rules and regulations implemented under statutory authority or the President’s Executive Orders and administered by the U.S. Department of the Treasury Office of Foreign Assets Control; E.U. Council Regulations on export controls, including Nos. 428/2009, 267/2012; other E.U. Council sanctions regulations, as implemented in E.U. Member States; United Nations sanctions policies; all relevant regulations and legislative instruments made under any of the above; other applicable economic sanctions, export and import control laws, and other applicable laws, regulations, legislation, Orders and requirements imposed by a relevant Governmental Authority.</w:t>
      </w:r>
    </w:p>
    <w:p>
      <w:pPr>
        <w:spacing w:after="0" w:line="182"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means all applicable requirements, standards, practices, and procedures for current good manufacturing practices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promulgated by FDA, including those included in the FD&amp;C Act and 21 C.F.R. Parts 210, 211 and 820, as the same may be amended from time to time, and such standards of good manufacturing practice as are required by the Regulatory Authorities of the E.U. and other organizations and Governmental Authorities in countries in which the applicable Product is intended to be manufactured or sold, to the extent such standards are not less stringent than United States GMP.</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5" w:right="479" w:bottom="1440" w:gutter="0" w:footer="0" w:header="0"/>
        </w:sectPr>
      </w:pPr>
    </w:p>
    <w:bookmarkStart w:id="514" w:name="page515"/>
    <w:bookmarkEnd w:id="514"/>
    <w:p>
      <w:pPr>
        <w:ind w:right="1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Clinical Practices</w:t>
      </w:r>
      <w:r>
        <w:rPr>
          <w:rFonts w:ascii="Times New Roman" w:cs="Times New Roman" w:eastAsia="Times New Roman" w:hAnsi="Times New Roman"/>
          <w:sz w:val="17"/>
          <w:szCs w:val="17"/>
          <w:color w:val="auto"/>
        </w:rPr>
        <w:t>” means the FDA’s standards for the design, conduct, performance, monitoring, auditing, recording, analysis,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reporting of clinical trials contained in 21 C.F.R. Parts 50, 54, 56, 58 and 312, or those equivalent standards applicable in the relevant jurisdiction.</w:t>
      </w:r>
    </w:p>
    <w:p>
      <w:pPr>
        <w:spacing w:after="0" w:line="13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is broadly interpreted and includes: (a) any national, federal, state, local, regional, or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or level, branch, or subdivision thereof; (b) any multinational or public international organization or authority; (c) any ministry, department, bureau, division, authority, agency, commission, or body entitled to exercise any administrative, executive, judicial, legislative, police, regulatory, or taxing authority or power; (d) any court, tribunal, or governmental arbitrator or arbitral body; (e) any government-owned or -controlled institution or entity; (f) any enterprise or instrumentality performing a governmental function; and (g) any political party.</w:t>
      </w:r>
    </w:p>
    <w:p>
      <w:pPr>
        <w:spacing w:after="0" w:line="179"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is broadly interpreted and includes: (a) any elected or appointed Government official (e.g., a legislator or a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ministry of health); (b) any employee or person acting for or on behalf of a Government, a Government department or agency, an institution or entity owned or controlled by a Government (e.g., a Healthcare Professional employed by a Government-owned or -controlled hospital, or a person serving on a healthcare committee that advises a Government), or an enterprise or instrumentality performing a governmental function; (c) any candidate for public office, or officer, employee, or person acting for or on behalf of a political party or candidate for public office; (d) an employee or person acting for or on behalf of a public international organization (e.g., the United Nations, the Red Cross, or the World Bank); (e) any member of a military or a royal or ruling family; and (f) any person otherwise categorized as a Government official under Applicable Law.</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HCP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Healthcare Professional</w:t>
      </w:r>
      <w:r>
        <w:rPr>
          <w:rFonts w:ascii="Times New Roman" w:cs="Times New Roman" w:eastAsia="Times New Roman" w:hAnsi="Times New Roman"/>
          <w:sz w:val="18"/>
          <w:szCs w:val="18"/>
          <w:color w:val="auto"/>
        </w:rPr>
        <w:t>” includes any physician, nurse, pharmacist, or other person who may administer, prescribe, purchase,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 pharmaceutical products or other healthcare products.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the federal Anti-kickback Statute (42 U.S.C. § 1320a-7b(b)), the Anti-Inducement Law (42 U.S.C. §</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1320a-7a(a)(5)), the Civil Monetary Penalty Statute (42 U.S.C. § 1320a-7a), the civil False Claims Act (31 U.S.C. §§ 3729 et seq.), the administrative False Claims Law (42 U.S.C. § 1320a-7b(a)), the Health Insurance Portability and Accountability Act of 1996 (42 U.S.C. § 1320d et seq.), the exclusion laws (42 U.S.C. § 1320a-7), the FD&amp;C Act, the Controlled Substances Act (21 U.S.C. §§ 801 et seq.), Section 1128G of the Social Security Act (the Physician Payment Sunshine Law), The Foreign Corrupt Practices Act (15 U.S.C. § 78dd-1, et seq.), the Medicare Program (Title XVIII of the Social Security Act), the Medicaid Program (Title XIX of the Social Security Act), the regulations promulgated pursuant to such laws, requirements of the Medicaid Drug Rebate Program (42 U.S.C. § 1396r-8) and any state supplemental rebate program, requirements of Medicare average sales price reporting (42 U.S.C. § 1395w-3a), the Public Health Service Act (42 U.S.C. § 256b), the VA Federal Supply Schedule (38 U.S.C. § 8126), state pharmaceutical assistance programs and regulations under such laws, and Good Clinical Practices, Good Laboratory Practices (GLP) (21 C.F.R. Part 58), and Good Manufacturing Practices (GMP) (21 C.F.R. Parts 210-211 and 820).</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1.69 </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5" w:right="459" w:bottom="1440" w:gutter="0" w:footer="0" w:header="0"/>
        </w:sectPr>
      </w:pPr>
    </w:p>
    <w:bookmarkStart w:id="515" w:name="page516"/>
    <w:bookmarkEnd w:id="51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1.70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 an investigational new drug application filed with the FDA for authorization for the investigation of a Compound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pursuant to 21 C.F.R. Part 312, and (b) any of its foreign equivalents as filed with the applicable Regulatory Authorities in other countries or regulatory jurisdictions in the Territory, as applicable.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all trade secrets, copyrights, Patent Rights, Trademarks, moral rights, Know-How and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intellectual property or proprietary rights now known or hereafter recognized in any jurisdiction.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1.76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 Payment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1.78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1.79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any proprietary invention, discovery, development, data, information, process, method, technique or other know-how,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or not patentable.</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actual knowledge of the individuals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 not meant to require or imply that any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inquiry or investigation has been undertaken, including obtaining any type of search (independent of that performed by the actual Governmental Authority during the normal course of patent prosecution, as applicable, in a jurisdiction) or opinion of counsel.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means Know-How Controlled by Pfizer or any of the Existing Pfizer Affiliates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means all Patent Rights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Technology</w:t>
      </w:r>
      <w:r>
        <w:rPr>
          <w:rFonts w:ascii="Times New Roman" w:cs="Times New Roman" w:eastAsia="Times New Roman" w:hAnsi="Times New Roman"/>
          <w:sz w:val="18"/>
          <w:szCs w:val="18"/>
          <w:color w:val="auto"/>
        </w:rPr>
        <w:t>” means, collectively, the Licensed Patent Rights and Licensed Know-How.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is defined in the introduction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Licensee Indemnitees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Licensee Marginal Royalty Rates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7.3.1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40"/>
          </w:cols>
          <w:pgMar w:left="440" w:top="265" w:right="619" w:bottom="1440" w:gutter="0" w:footer="0" w:header="0"/>
        </w:sectPr>
      </w:pPr>
    </w:p>
    <w:bookmarkStart w:id="516" w:name="page517"/>
    <w:bookmarkEnd w:id="516"/>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Licensee Product Trademarks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Licensee Quarter</w:t>
      </w:r>
      <w:r>
        <w:rPr>
          <w:rFonts w:ascii="Times New Roman" w:cs="Times New Roman" w:eastAsia="Times New Roman" w:hAnsi="Times New Roman"/>
          <w:sz w:val="18"/>
          <w:szCs w:val="18"/>
          <w:color w:val="auto"/>
        </w:rPr>
        <w:t>” means each of the four (4) thirteen (13) week periods commencing on April 1 of any Licensee Year, consistently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Licensee Royalties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Licensee Third Party License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7.4.2(a)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Licensee Year</w:t>
      </w:r>
      <w:r>
        <w:rPr>
          <w:rFonts w:ascii="Times New Roman" w:cs="Times New Roman" w:eastAsia="Times New Roman" w:hAnsi="Times New Roman"/>
          <w:sz w:val="18"/>
          <w:szCs w:val="18"/>
          <w:color w:val="auto"/>
        </w:rPr>
        <w:t>” means the twelve-month fiscal periods observed by Licensee commencing on April 1 and ending March 31, consistently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applied.</w:t>
      </w:r>
    </w:p>
    <w:p>
      <w:pPr>
        <w:spacing w:after="0" w:line="155"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means,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losses, damages, liabilities, payments, fines, fees, penalties, charges, judgments,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and costs and expenses including interest penalties and reasonable attorneys’ fees and expenses.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European Market Country</w:t>
      </w:r>
      <w:r>
        <w:rPr>
          <w:rFonts w:ascii="Times New Roman" w:cs="Times New Roman" w:eastAsia="Times New Roman" w:hAnsi="Times New Roman"/>
          <w:sz w:val="18"/>
          <w:szCs w:val="18"/>
          <w:color w:val="auto"/>
        </w:rPr>
        <w:t>” means [***]. The “</w:t>
      </w:r>
      <w:r>
        <w:rPr>
          <w:rFonts w:ascii="Times New Roman" w:cs="Times New Roman" w:eastAsia="Times New Roman" w:hAnsi="Times New Roman"/>
          <w:sz w:val="18"/>
          <w:szCs w:val="18"/>
          <w:b w:val="1"/>
          <w:bCs w:val="1"/>
          <w:color w:val="auto"/>
        </w:rPr>
        <w:t>Major European Market Countries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to make, have made, produce, manufacture, process, fill, finish, package, label, perform quality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assurance testing, release, ship or store a compound or product or any component thereof. When used as a noun,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any and all activities involved in Manufacturing a compound or product or any component thereof.</w:t>
      </w:r>
    </w:p>
    <w:p>
      <w:pPr>
        <w:spacing w:after="0" w:line="17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with respect to a pharmaceutical product, a New Drug Application submitted to the FDA in accordance with the FD&amp;C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analogous application or submission with any Regulatory Authority outside of the United States for the purpose of obtaining Regulatory Approval to market and sell the product, including, an application with the EMA for the purpose of obtaining Regulatory Approval to market and sell the product, using the EMA’s centralized procedure.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Dispute(s) for Executive Resolution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18.3.2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Occurrence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12.4.6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Ongoing Clinical Trial Costs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Ongoing Clinical Trials</w:t>
      </w:r>
      <w:r>
        <w:rPr>
          <w:rFonts w:ascii="Times New Roman" w:cs="Times New Roman" w:eastAsia="Times New Roman" w:hAnsi="Times New Roman"/>
          <w:sz w:val="18"/>
          <w:szCs w:val="18"/>
          <w:color w:val="auto"/>
        </w:rPr>
        <w:t>” mean those Clinical Trials of the Products that are ongoing as of the Effective Date and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1.102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1.103 </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65" w:right="519" w:bottom="1440" w:gutter="0" w:footer="0" w:header="0"/>
        </w:sectPr>
      </w:pPr>
    </w:p>
    <w:bookmarkStart w:id="517" w:name="page518"/>
    <w:bookmarkEnd w:id="517"/>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writ, judgment, order, decree, injunction, decision, verdict, award or ruling or other binding obligation of,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similar agreement with, any Governmental Authority.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Active Ingredient(s)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1.97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Product</w:t>
      </w:r>
      <w:r>
        <w:rPr>
          <w:rFonts w:ascii="Times New Roman" w:cs="Times New Roman" w:eastAsia="Times New Roman" w:hAnsi="Times New Roman"/>
          <w:sz w:val="18"/>
          <w:szCs w:val="18"/>
          <w:color w:val="auto"/>
        </w:rPr>
        <w:t>” means any Product other than a Brepo Product.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is defined in the introduction to this Agreement.</w:t>
      </w:r>
    </w:p>
    <w:p>
      <w:pPr>
        <w:spacing w:after="0" w:line="225"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1.108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 means any and all (a) issued patents, (b) pending patent applications, including all provisional applications, divisions,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continuations, substitutions, continuations-in-part and renewals, and all patents granted thereon, (c) patents-of-addition, re-examinations, reissues and extensions or restorations by existing or future extension or restoration mechanisms, including patent term adjustments, pediatric exclusivity, Patent Term Extensions or the equivalent thereof, (d) inventor’s certificates, (e) other forms of government-issued rights substantially similar to any of the foregoing and (f) United States and foreign counterparts of any of the foregoing.</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Term Extension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Contractor</w:t>
      </w:r>
      <w:r>
        <w:rPr>
          <w:rFonts w:ascii="Times New Roman" w:cs="Times New Roman" w:eastAsia="Times New Roman" w:hAnsi="Times New Roman"/>
          <w:sz w:val="18"/>
          <w:szCs w:val="18"/>
          <w:color w:val="auto"/>
        </w:rPr>
        <w:t>” means a CMO, CRO, CSO, distributor or wholesaler, in each case, that is providing services on behalf of Licensee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 fee-for-service basis in connection with the Development, Commercialization or Manufacture of the Compounds or Products.</w:t>
      </w:r>
    </w:p>
    <w:p>
      <w:pPr>
        <w:spacing w:after="0" w:line="155"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stock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venture, pool, syndicate, sole proprietorship, unincorporated organization, Governmental Authority or any other form of entity not specifically listed herein.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Pfizer</w:t>
      </w:r>
      <w:r>
        <w:rPr>
          <w:rFonts w:ascii="Times New Roman" w:cs="Times New Roman" w:eastAsia="Times New Roman" w:hAnsi="Times New Roman"/>
          <w:sz w:val="18"/>
          <w:szCs w:val="18"/>
          <w:color w:val="auto"/>
        </w:rPr>
        <w:t>” is defined in the introduction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Pfizer Indemnitees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Pfizer Marginal Royalty Rate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1.115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Pfizer Product Trademarks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Pfizer Quarter</w:t>
      </w:r>
      <w:r>
        <w:rPr>
          <w:rFonts w:ascii="Times New Roman" w:cs="Times New Roman" w:eastAsia="Times New Roman" w:hAnsi="Times New Roman"/>
          <w:sz w:val="18"/>
          <w:szCs w:val="18"/>
          <w:color w:val="auto"/>
        </w:rPr>
        <w:t>” means each of the four (4) thirteen (13) week periods commencing on December 1 of any Pfizer Year, consistently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Pfizer Royalties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Pfizer Third Party License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7.4.2(b)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5" w:right="459" w:bottom="1440" w:gutter="0" w:footer="0" w:header="0"/>
        </w:sectPr>
      </w:pPr>
    </w:p>
    <w:bookmarkStart w:id="518" w:name="page519"/>
    <w:bookmarkEnd w:id="518"/>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Pfizer Year</w:t>
      </w:r>
      <w:r>
        <w:rPr>
          <w:rFonts w:ascii="Times New Roman" w:cs="Times New Roman" w:eastAsia="Times New Roman" w:hAnsi="Times New Roman"/>
          <w:sz w:val="18"/>
          <w:szCs w:val="18"/>
          <w:color w:val="auto"/>
        </w:rPr>
        <w:t>” means the twelve-month fiscal periods observed by Pfizer commencing on December 1 with respect to any country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ROW and Japan, consistently applied.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Pharmacovigilance Agreement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1.122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and Reimbursement Approval</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Priority Review Voucher</w:t>
      </w:r>
      <w:r>
        <w:rPr>
          <w:rFonts w:ascii="Times New Roman" w:cs="Times New Roman" w:eastAsia="Times New Roman" w:hAnsi="Times New Roman"/>
          <w:sz w:val="18"/>
          <w:szCs w:val="18"/>
          <w:color w:val="auto"/>
        </w:rPr>
        <w:t>” means a “Section 529” US priority review voucher issued by the United States Department of Health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Human Services that entitles the holder of such voucher to Priority Review of a single human drug application submitted under Section 505(b)(1) of the Act or Section 351(a) of the United States Public Health Service Act, as further defined in Section 529(a)(2) of the Act (21 U.S.C. § 360ff(a)(2)).</w:t>
      </w:r>
    </w:p>
    <w:p>
      <w:pPr>
        <w:spacing w:after="0" w:line="17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each (a) Brepo Product, (b) TYK2 Product and (c) each other product, dosage, substance or formulation, for use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Field, that is Covered by a Valid Claim under the Licensed Patent Rights, in each case of clauses (a), (b) and (c), other than [***].</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the Stock Purchase Agreement entered into by Priovant Holdings, Inc., Roivant and Pfizer and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Product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with respect to a Product in any country or jurisdiction, any approval, registration, license or authorization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required by the applicable Regulatory Authority to market and sell such Product in such country or jurisdiction, including any Pricing and Reimbursement Approvals.</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with respect to a particular country or jurisdiction, any Governmental Authority responsible for granting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Approvals for a Product in such country or jurisdiction in the Territory.</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Exclusivity</w:t>
      </w:r>
      <w:r>
        <w:rPr>
          <w:rFonts w:ascii="Times New Roman" w:cs="Times New Roman" w:eastAsia="Times New Roman" w:hAnsi="Times New Roman"/>
          <w:sz w:val="18"/>
          <w:szCs w:val="18"/>
          <w:color w:val="auto"/>
        </w:rPr>
        <w:t>” means exclusive marketing rights conferred by any Regulatory Authority with respect to a Product that prevents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Regulatory Authority from accepting or approving an application pursuant to [***].</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means, with respect to a Product, any submission to a Regulatory Authority of any appropriate regulatory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IND, NDA, exclusivity requests, any submission to a regulatory advisory board, any marketing authorization application, any documentation for customs authorities, and any supplement or amendment thereto.</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Transfer Activities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5" w:right="459" w:bottom="1440" w:gutter="0" w:footer="0" w:header="0"/>
        </w:sectPr>
      </w:pPr>
    </w:p>
    <w:bookmarkStart w:id="519" w:name="page520"/>
    <w:bookmarkEnd w:id="51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Records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1.135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Category</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Residuals</w:t>
      </w:r>
      <w:r>
        <w:rPr>
          <w:rFonts w:ascii="Times New Roman" w:cs="Times New Roman" w:eastAsia="Times New Roman" w:hAnsi="Times New Roman"/>
          <w:sz w:val="18"/>
          <w:szCs w:val="18"/>
          <w:color w:val="auto"/>
        </w:rPr>
        <w:t>” means information in non-tangible form that is retained in the unaided memory of persons who have had access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Compounds, Products or Licensed Technology prior to the Effective Date, including ideas, concepts, know-how or techniques contained therein, but not including any ideas, concepts, know-how, or techniques to the extent Covered by a Valid Claim in any Licensed Patent Right. A person’s memory will be considered to be unaided if the person has not intentionally memorized the information for the purpose of retaining and subsequently using or disclosing it.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Market</w:t>
      </w:r>
      <w:r>
        <w:rPr>
          <w:rFonts w:ascii="Times New Roman" w:cs="Times New Roman" w:eastAsia="Times New Roman" w:hAnsi="Times New Roman"/>
          <w:sz w:val="18"/>
          <w:szCs w:val="18"/>
          <w:color w:val="auto"/>
        </w:rPr>
        <w:t>” means, as applicable under Global Trade Control Laws, the Crimean Peninsula, Cuba, Iran, North Korea, and Syria.</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Party</w:t>
      </w:r>
      <w:r>
        <w:rPr>
          <w:rFonts w:ascii="Times New Roman" w:cs="Times New Roman" w:eastAsia="Times New Roman" w:hAnsi="Times New Roman"/>
          <w:sz w:val="18"/>
          <w:szCs w:val="18"/>
          <w:color w:val="auto"/>
        </w:rPr>
        <w:t>” means any individual or entity on any of the following “</w:t>
      </w:r>
      <w:r>
        <w:rPr>
          <w:rFonts w:ascii="Times New Roman" w:cs="Times New Roman" w:eastAsia="Times New Roman" w:hAnsi="Times New Roman"/>
          <w:sz w:val="18"/>
          <w:szCs w:val="18"/>
          <w:b w:val="1"/>
          <w:bCs w:val="1"/>
          <w:color w:val="auto"/>
        </w:rPr>
        <w:t>Restricted Party Lists</w:t>
      </w:r>
      <w:r>
        <w:rPr>
          <w:rFonts w:ascii="Times New Roman" w:cs="Times New Roman" w:eastAsia="Times New Roman" w:hAnsi="Times New Roman"/>
          <w:sz w:val="18"/>
          <w:szCs w:val="18"/>
          <w:color w:val="auto"/>
        </w:rPr>
        <w:t>”: the list of sanctioned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by the United Nations; the Specially Designated Nationals List and the Sectoral Sanctions Identifications List, as administered by the U.S. Department of the Treasury Office of Foreign Assets Control; the U.S. Denied Persons List, the U.S. Entity List, and the U.S. Unverified List, all administered by the U.S. Department of Commerce; the entities subject to restrictive measures and the Consolidated List of Persons, Groups and Entities Subject to E.U. Financial Sanctions, as implemented by the E.U. Common Foreign &amp; Security Policy; the List of Excluded Individuals / Entities, as published by the U.S. Health and Human Services – Office of Inspector General; any lists of prohibited or debarred parties established under the FD&amp;C Act; the list of persons and entities suspended or debarred from contracting with the U.S. government; and similar lists of restricted parties maintained by the Governmental Authorities of the countries that have jurisdiction over the activities conducted under this Agreement.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1.142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Roivant</w:t>
      </w:r>
      <w:r>
        <w:rPr>
          <w:rFonts w:ascii="Times New Roman" w:cs="Times New Roman" w:eastAsia="Times New Roman" w:hAnsi="Times New Roman"/>
          <w:sz w:val="18"/>
          <w:szCs w:val="18"/>
          <w:color w:val="auto"/>
        </w:rPr>
        <w:t>” is defined in the introduction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ROW</w:t>
      </w:r>
      <w:r>
        <w:rPr>
          <w:rFonts w:ascii="Times New Roman" w:cs="Times New Roman" w:eastAsia="Times New Roman" w:hAnsi="Times New Roman"/>
          <w:sz w:val="18"/>
          <w:szCs w:val="18"/>
          <w:color w:val="auto"/>
        </w:rPr>
        <w:t>” means the Territory, excluding the United States and Japan.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ROW Sales Milestone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ROW Sales Milestone Payment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means, with respect to each Product in each country in the Territory or ROW, as applicable, the period commencing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Commercial Sale of such Product in such country and expiring upon the later of: (a) [***] years following the date of First Commercial Sale of such Product in such country, (b) the expiration of all Regulatory Exclusivity provided by an applicable Governmental Authority for such Product in such country and (c) the date upon which the use, sale, offer for sale or importation of such Product in such country would no longer infringe, but for the license granted herein, a Valid Claim of a Licensed Patent Right. Notwithstanding anything herein to the contrary, the term “Royalty Term” will not apply to any Valid Claim that constitutes a [***].</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5" w:right="459" w:bottom="1440" w:gutter="0" w:footer="0" w:header="0"/>
        </w:sectPr>
      </w:pPr>
    </w:p>
    <w:bookmarkStart w:id="520" w:name="page521"/>
    <w:bookmarkEnd w:id="52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SDNY</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18.3.8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1.150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1.151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Violation</w:t>
      </w:r>
      <w:r>
        <w:rPr>
          <w:rFonts w:ascii="Times New Roman" w:cs="Times New Roman" w:eastAsia="Times New Roman" w:hAnsi="Times New Roman"/>
          <w:sz w:val="18"/>
          <w:szCs w:val="18"/>
          <w:color w:val="auto"/>
        </w:rPr>
        <w:t>” means conduct that a reasonable person would consider a probable violation of applicable policies or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to ensure compliance with Applicable Laws, which may result in significant or substantial liability if a Governmental Authority determined such conduct to be a violation of Applicable Law.</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1.153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1.154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1.155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1.156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1.157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1.158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Compound</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other Person with respect to which such first Person (a) possesses,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the power to direct or cause the direction of the management and policies of such Person, whether through the beneficial ownership of voting securities, by contract or otherwise or (b) beneficially owns at least fifty percent (50%) of the aggregate ordinary voting power of such Person.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Action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440" w:top="265" w:right="519" w:bottom="1440" w:gutter="0" w:footer="0" w:header="0"/>
        </w:sectPr>
      </w:pPr>
    </w:p>
    <w:bookmarkStart w:id="521" w:name="page522"/>
    <w:bookmarkEnd w:id="521"/>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Terminated Products</w:t>
      </w:r>
      <w:r>
        <w:rPr>
          <w:rFonts w:ascii="Times New Roman" w:cs="Times New Roman" w:eastAsia="Times New Roman" w:hAnsi="Times New Roman"/>
          <w:sz w:val="18"/>
          <w:szCs w:val="18"/>
          <w:color w:val="auto"/>
        </w:rPr>
        <w:t>” means all [***], as applicable, with respect to which this Agreement is terminated by either Party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Terminated Territory</w:t>
      </w:r>
      <w:r>
        <w:rPr>
          <w:rFonts w:ascii="Times New Roman" w:cs="Times New Roman" w:eastAsia="Times New Roman" w:hAnsi="Times New Roman"/>
          <w:sz w:val="18"/>
          <w:szCs w:val="18"/>
          <w:color w:val="auto"/>
        </w:rPr>
        <w:t>” means each country with respect to which this Agreement is terminated by either Party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worldwide, other than any Terminated Territory.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a Party or an Affiliate of a Party.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Infringement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1.170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1.171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1.172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1.173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1.174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means trademarks, service marks, certification marks, trade dress, internet domain names, trade names, identifying symbols,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designs, product names, company names, slogans, logos or insignia, whether registered or unregistered, and all common law rights, applications and registrations therefor, and all goodwill associated therewith.</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means (a) this Agreement, [***] and (e) each other agreement or certificate to be delivered by any Party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Closing contemplated hereby.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Tax</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1.178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1.179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TYK2</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TYK2 Compounds</w:t>
      </w:r>
      <w:r>
        <w:rPr>
          <w:rFonts w:ascii="Times New Roman" w:cs="Times New Roman" w:eastAsia="Times New Roman" w:hAnsi="Times New Roman"/>
          <w:sz w:val="18"/>
          <w:szCs w:val="18"/>
          <w:color w:val="auto"/>
        </w:rPr>
        <w:t>” means [***] (“</w:t>
      </w:r>
      <w:r>
        <w:rPr>
          <w:rFonts w:ascii="Times New Roman" w:cs="Times New Roman" w:eastAsia="Times New Roman" w:hAnsi="Times New Roman"/>
          <w:sz w:val="18"/>
          <w:szCs w:val="18"/>
          <w:b w:val="1"/>
          <w:bCs w:val="1"/>
          <w:color w:val="auto"/>
        </w:rPr>
        <w:t>TYK2</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TYK2 Product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Sales Milestone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Sales Milestone Payment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 and its territories and possessions.</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65" w:right="499" w:bottom="1440" w:gutter="0" w:footer="0" w:header="0"/>
        </w:sectPr>
      </w:pPr>
    </w:p>
    <w:bookmarkStart w:id="522" w:name="page523"/>
    <w:bookmarkEnd w:id="522"/>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with respect to a particular country, a claim of a Patent Right within the Licensed Patent Rights that [***] (i)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held permanently revoked, unenforceable or invalid by a decision of a court or other Governmental Authority of competent jurisdiction, which decision is unappealed or unappealable within the time allowed for appeal and (ii) has not expired or been cancelled, withdrawn, abandoned, disclaimed or admitted to be invalid or unenforceable through reissue, disclaimer or otherwise and [***].</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1.187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1.188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Group</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6.4.6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1.189 Interpretation</w:t>
      </w:r>
      <w:r>
        <w:rPr>
          <w:rFonts w:ascii="Times New Roman" w:cs="Times New Roman" w:eastAsia="Times New Roman" w:hAnsi="Times New Roman"/>
          <w:sz w:val="17"/>
          <w:szCs w:val="17"/>
          <w:color w:val="auto"/>
        </w:rPr>
        <w:t>. Except where the context expressly requires otherwise, (a) the use of any gender herein shall be deemed to encompass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references to all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all references herein to Sections, Exhibits or Schedules shall be construed to refer to Sections, Exhibits or Schedules of this Agreement, and references to this Agreement include all Exhibits and Schedules hereto, (h) the word “notice” means notice in writing (whether or not specifically stated) and shall include notices, consents, approvals and other written communications contemplated under this Agreement,</w:t>
      </w:r>
    </w:p>
    <w:p>
      <w:pPr>
        <w:spacing w:after="0" w:line="8" w:lineRule="exact"/>
        <w:rPr>
          <w:sz w:val="20"/>
          <w:szCs w:val="20"/>
          <w:color w:val="auto"/>
        </w:rPr>
      </w:pPr>
    </w:p>
    <w:p>
      <w:pPr>
        <w:ind w:left="4" w:right="100" w:hanging="4"/>
        <w:spacing w:after="0" w:line="253" w:lineRule="auto"/>
        <w:tabs>
          <w:tab w:leader="none" w:pos="21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that require that a Party, the Parties or any committee hereunder “agree,” “consent” or “approve” or the like shall require that such agreement, consent or approval be specific and in writing, whether by written agreement, letter, approved minutes or otherwise (but excluding instant 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“and/or.”</w:t>
      </w:r>
    </w:p>
    <w:p>
      <w:pPr>
        <w:spacing w:after="0" w:line="210" w:lineRule="exact"/>
        <w:rPr>
          <w:sz w:val="20"/>
          <w:szCs w:val="20"/>
          <w:color w:val="auto"/>
        </w:rPr>
      </w:pPr>
    </w:p>
    <w:p>
      <w:pPr>
        <w:ind w:left="764" w:hanging="764"/>
        <w:spacing w:after="0"/>
        <w:tabs>
          <w:tab w:leader="none" w:pos="764"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GRANT.</w:t>
      </w:r>
    </w:p>
    <w:p>
      <w:pPr>
        <w:spacing w:after="0" w:line="130" w:lineRule="exact"/>
        <w:rPr>
          <w:rFonts w:ascii="Times New Roman" w:cs="Times New Roman" w:eastAsia="Times New Roman" w:hAnsi="Times New Roman"/>
          <w:sz w:val="18"/>
          <w:szCs w:val="18"/>
          <w:b w:val="1"/>
          <w:bCs w:val="1"/>
          <w:color w:val="auto"/>
        </w:rPr>
      </w:pPr>
    </w:p>
    <w:p>
      <w:pPr>
        <w:ind w:left="76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License Grant to Licensee.</w:t>
      </w:r>
    </w:p>
    <w:p>
      <w:pPr>
        <w:spacing w:after="0" w:line="131" w:lineRule="exact"/>
        <w:rPr>
          <w:sz w:val="20"/>
          <w:szCs w:val="20"/>
          <w:color w:val="auto"/>
        </w:rPr>
      </w:pPr>
    </w:p>
    <w:p>
      <w:pPr>
        <w:ind w:left="2204" w:right="20" w:hanging="768"/>
        <w:spacing w:after="0" w:line="270"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Licensed Patent Rights</w:t>
      </w:r>
      <w:r>
        <w:rPr>
          <w:rFonts w:ascii="Times New Roman" w:cs="Times New Roman" w:eastAsia="Times New Roman" w:hAnsi="Times New Roman"/>
          <w:sz w:val="17"/>
          <w:szCs w:val="17"/>
          <w:color w:val="auto"/>
        </w:rPr>
        <w:t>. Subject to the terms and conditions of this Agreement, including Pfizer’s retained rights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forth in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Pfizer hereby grants to Licensee an exclusive (even as to Pfizer and its Affiliates, except as otherwise provided in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sublicensable, through multiple tiers (subject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milestone- and royalty-bearing right and license under the Licensed Patent Rights to use, have used, Develop, have Developed, Manufacture, have Manufactured, Commercialize, and have Commercialized Compounds and Products in the Field within the Territory. The</w:t>
      </w:r>
    </w:p>
    <w:p>
      <w:pPr>
        <w:spacing w:after="0" w:line="3" w:lineRule="exact"/>
        <w:rPr>
          <w:sz w:val="20"/>
          <w:szCs w:val="20"/>
          <w:color w:val="auto"/>
        </w:rPr>
      </w:pPr>
    </w:p>
    <w:p>
      <w:pPr>
        <w:ind w:left="2204" w:right="100" w:hanging="4"/>
        <w:spacing w:after="0" w:line="260" w:lineRule="auto"/>
        <w:tabs>
          <w:tab w:leader="none" w:pos="2639"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be deemed to be included in the Licensed Patent Rights for the purpose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only, but only on a fully paid-up, non-royalty bearing basis.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5" w:right="459" w:bottom="1440" w:gutter="0" w:footer="0" w:header="0"/>
        </w:sectPr>
      </w:pPr>
    </w:p>
    <w:bookmarkStart w:id="523" w:name="page524"/>
    <w:bookmarkEnd w:id="523"/>
    <w:p>
      <w:pPr>
        <w:ind w:left="1200" w:right="220" w:hanging="768"/>
        <w:spacing w:after="0" w:line="259"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w:t>
      </w:r>
      <w:r>
        <w:rPr>
          <w:sz w:val="20"/>
          <w:szCs w:val="20"/>
          <w:color w:val="auto"/>
        </w:rPr>
        <w:tab/>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Subject to the terms and conditions of this Agreement, Pfizer hereby grants to Licensee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non-exclusive, sublicensable, through multiple tiers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milestone- and royalty-bearing right and license to use the Licensed Know-How to use, have used, Develop, have Developed, Manufacture, have Manufactured, Commercialize, and have Commercialized and otherwise Exploit Compounds and Products in the Field within the Territory.</w:t>
      </w:r>
    </w:p>
    <w:p>
      <w:pPr>
        <w:spacing w:after="0" w:line="85" w:lineRule="exact"/>
        <w:rPr>
          <w:sz w:val="20"/>
          <w:szCs w:val="20"/>
          <w:color w:val="auto"/>
        </w:rPr>
      </w:pPr>
    </w:p>
    <w:p>
      <w:pPr>
        <w:ind w:left="1200" w:right="20" w:hanging="768"/>
        <w:spacing w:after="0" w:line="262"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To the extent any of the Licensed Technology is Controlled by an Existing Pfizer Affiliate, then promptly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following the Effective Date, Pfizer shall cause such Existing Pfizer Affiliate to take all necessary actions to give effect to the licenses granted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carry out the other obligations of Pfizer hereunder (including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 xml:space="preserve">Wrong Pockets. </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420" w:right="60" w:hanging="647"/>
        <w:spacing w:after="0" w:line="286"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 xml:space="preserve">Sublicense Rights. </w:t>
      </w:r>
      <w:r>
        <w:rPr>
          <w:rFonts w:ascii="Times New Roman" w:cs="Times New Roman" w:eastAsia="Times New Roman" w:hAnsi="Times New Roman"/>
          <w:sz w:val="18"/>
          <w:szCs w:val="18"/>
          <w:color w:val="auto"/>
        </w:rPr>
        <w:t>[***] Licensee may sublicense the rights granted to it by Pfizer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through multiple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tiers, without Pfizer’s approval. Any and all sublicenses shall be subject to the following requirements:</w:t>
      </w:r>
    </w:p>
    <w:p>
      <w:pPr>
        <w:spacing w:after="0" w:line="60"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8"/>
          <w:szCs w:val="18"/>
          <w:color w:val="auto"/>
        </w:rPr>
        <w:t>All sublicenses shall be subject to and consistent with the terms and conditions of this Agreement and shall (a) [***] and</w:t>
      </w:r>
    </w:p>
    <w:p>
      <w:pPr>
        <w:spacing w:after="0" w:line="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(b) preclude the granting of further sublicenses in contravention with the terms and conditions of this Agreement.</w:t>
      </w:r>
    </w:p>
    <w:p>
      <w:pPr>
        <w:spacing w:after="0" w:line="108"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8"/>
          <w:szCs w:val="18"/>
          <w:color w:val="auto"/>
        </w:rPr>
        <w:t>In no event shall any sublicense relieve Licensee of any of its obligations under this Agreement.</w:t>
      </w:r>
    </w:p>
    <w:p>
      <w:pPr>
        <w:spacing w:after="0" w:line="131" w:lineRule="exact"/>
        <w:rPr>
          <w:sz w:val="20"/>
          <w:szCs w:val="20"/>
          <w:color w:val="auto"/>
        </w:rPr>
      </w:pPr>
    </w:p>
    <w:p>
      <w:pPr>
        <w:ind w:left="1200" w:right="60" w:hanging="768"/>
        <w:spacing w:after="0" w:line="26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8"/>
          <w:szCs w:val="18"/>
          <w:color w:val="auto"/>
        </w:rPr>
        <w:t xml:space="preserve">Except with respect to a non-exclusive sublicense by Licensee to an Affiliate or Permitted Contractor of less than all or substantially all of the rights granted to Licensee by Pfizer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and which does not specifically reference this Agreement or the Licensed Technology, Licensee shall [***].</w:t>
      </w:r>
    </w:p>
    <w:p>
      <w:pPr>
        <w:spacing w:after="0" w:line="72" w:lineRule="exact"/>
        <w:rPr>
          <w:sz w:val="20"/>
          <w:szCs w:val="20"/>
          <w:color w:val="auto"/>
        </w:rPr>
      </w:pPr>
    </w:p>
    <w:p>
      <w:pPr>
        <w:ind w:left="420" w:right="460"/>
        <w:spacing w:after="0" w:line="282" w:lineRule="auto"/>
        <w:rPr>
          <w:sz w:val="20"/>
          <w:szCs w:val="20"/>
          <w:color w:val="auto"/>
        </w:rPr>
      </w:pPr>
      <w:r>
        <w:rPr>
          <w:rFonts w:ascii="Times New Roman" w:cs="Times New Roman" w:eastAsia="Times New Roman" w:hAnsi="Times New Roman"/>
          <w:sz w:val="18"/>
          <w:szCs w:val="18"/>
          <w:color w:val="auto"/>
        </w:rPr>
        <w:t xml:space="preserve">In addition, </w:t>
      </w:r>
      <w:r>
        <w:rPr>
          <w:rFonts w:ascii="Times New Roman" w:cs="Times New Roman" w:eastAsia="Times New Roman" w:hAnsi="Times New Roman"/>
          <w:sz w:val="18"/>
          <w:szCs w:val="18"/>
          <w:u w:val="single" w:color="auto"/>
          <w:color w:val="auto"/>
        </w:rPr>
        <w:t>Sections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shall apply to sublicenses granted by Pfizer under the rights granted by Licensee to Pfizer hereunder,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20" w:right="120" w:hanging="647"/>
        <w:spacing w:after="0" w:line="274"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 xml:space="preserve">License Grant to Pfizer. </w:t>
      </w:r>
      <w:r>
        <w:rPr>
          <w:rFonts w:ascii="Times New Roman" w:cs="Times New Roman" w:eastAsia="Times New Roman" w:hAnsi="Times New Roman"/>
          <w:sz w:val="17"/>
          <w:szCs w:val="17"/>
          <w:color w:val="auto"/>
        </w:rPr>
        <w:t>Subject to the terms and conditions of this Agreement, Licensee hereby grants to Pfizer (a) an exclusive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(even as to Licensee and its Affiliates), sublicensable, through multiple tiers, milestone- and royalty-bearing right and license under the Licensed Patent Rights to Commercialize and have Commercialized (i) Compounds and Products in the Field in the ROW and</w:t>
      </w:r>
    </w:p>
    <w:p>
      <w:pPr>
        <w:spacing w:after="0" w:line="1" w:lineRule="exact"/>
        <w:rPr>
          <w:sz w:val="20"/>
          <w:szCs w:val="20"/>
          <w:color w:val="auto"/>
        </w:rPr>
      </w:pPr>
    </w:p>
    <w:p>
      <w:pPr>
        <w:ind w:left="420" w:hanging="7"/>
        <w:spacing w:after="0" w:line="253" w:lineRule="auto"/>
        <w:tabs>
          <w:tab w:leader="none" w:pos="682"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TYK2 Compounds and Other Products in the Field in Japan, and (b) a non-exclusive, sublicensable, through multiple tiers, milestone- and royalty-bearing right and license under the Developed IP to Commercialize and have Commercialized (i) Compounds and Products in the Field in the ROW and (ii) TYK2 Compounds and Other Products in the Field in Japan. Licensee shall use reasonable best efforts to promptly disclose to Pfizer all Developed IP during the Term.</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00"/>
          </w:cols>
          <w:pgMar w:left="1440" w:top="265" w:right="459" w:bottom="1440" w:gutter="0" w:footer="0" w:header="0"/>
        </w:sectPr>
      </w:pPr>
    </w:p>
    <w:bookmarkStart w:id="524" w:name="page525"/>
    <w:bookmarkEnd w:id="524"/>
    <w:p>
      <w:pPr>
        <w:ind w:left="76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7"/>
          <w:szCs w:val="17"/>
          <w:b w:val="1"/>
          <w:bCs w:val="1"/>
          <w:color w:val="auto"/>
        </w:rPr>
        <w:t>Retained Rights. [***]</w:t>
      </w:r>
    </w:p>
    <w:p>
      <w:pPr>
        <w:spacing w:after="0" w:line="131" w:lineRule="exact"/>
        <w:rPr>
          <w:sz w:val="20"/>
          <w:szCs w:val="20"/>
          <w:color w:val="auto"/>
        </w:rPr>
      </w:pPr>
    </w:p>
    <w:p>
      <w:pPr>
        <w:ind w:left="1424" w:right="140" w:hanging="647"/>
        <w:spacing w:after="0" w:line="259"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 xml:space="preserve">Residuals. </w:t>
      </w:r>
      <w:r>
        <w:rPr>
          <w:rFonts w:ascii="Times New Roman" w:cs="Times New Roman" w:eastAsia="Times New Roman" w:hAnsi="Times New Roman"/>
          <w:sz w:val="18"/>
          <w:szCs w:val="18"/>
          <w:color w:val="auto"/>
        </w:rPr>
        <w:t>Pfizer may use for any purpose the Residuals resulting from access to or work with the Compounds, Products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Licensed Technology;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not constitute a grant back of the license and rights granted to Licensee under the Licensed Patent Rights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a license or other rights under any Patent Right Controlled by Licensee. Any use made by the Pfizer of any such Residuals is on an “as is, where is” basis, with all faults and all representations and warranties disclaimed and at Pfizer’s sole risk.</w:t>
      </w:r>
    </w:p>
    <w:p>
      <w:pPr>
        <w:spacing w:after="0" w:line="85" w:lineRule="exact"/>
        <w:rPr>
          <w:sz w:val="20"/>
          <w:szCs w:val="20"/>
          <w:color w:val="auto"/>
        </w:rPr>
      </w:pPr>
    </w:p>
    <w:p>
      <w:pPr>
        <w:ind w:left="1424" w:right="20" w:hanging="647"/>
        <w:spacing w:after="0" w:line="262"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 xml:space="preserve">No Additional Rights. </w:t>
      </w:r>
      <w:r>
        <w:rPr>
          <w:rFonts w:ascii="Times New Roman" w:cs="Times New Roman" w:eastAsia="Times New Roman" w:hAnsi="Times New Roman"/>
          <w:sz w:val="18"/>
          <w:szCs w:val="18"/>
          <w:color w:val="auto"/>
        </w:rPr>
        <w:t>Nothing in this Agreement shall be construed to confer any rights upon Licensee by implication, estoppel,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as to any technology or Intellectual Property Rights of Pfizer or its Affiliates other than the rights in Licensed Technology expressly granted herein, regardless of whether such technology or Intellectual Property Rights shall be dominant or subordinate to any Licensed Technology.</w:t>
      </w:r>
    </w:p>
    <w:p>
      <w:pPr>
        <w:spacing w:after="0" w:line="82" w:lineRule="exact"/>
        <w:rPr>
          <w:sz w:val="20"/>
          <w:szCs w:val="20"/>
          <w:color w:val="auto"/>
        </w:rPr>
      </w:pPr>
    </w:p>
    <w:p>
      <w:pPr>
        <w:ind w:left="764" w:hanging="764"/>
        <w:spacing w:after="0"/>
        <w:tabs>
          <w:tab w:leader="none" w:pos="764"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w:t>
      </w:r>
    </w:p>
    <w:p>
      <w:pPr>
        <w:spacing w:after="0" w:line="130" w:lineRule="exact"/>
        <w:rPr>
          <w:rFonts w:ascii="Times New Roman" w:cs="Times New Roman" w:eastAsia="Times New Roman" w:hAnsi="Times New Roman"/>
          <w:sz w:val="18"/>
          <w:szCs w:val="18"/>
          <w:b w:val="1"/>
          <w:bCs w:val="1"/>
          <w:color w:val="auto"/>
        </w:rPr>
      </w:pPr>
    </w:p>
    <w:p>
      <w:pPr>
        <w:ind w:left="1424" w:right="4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3.1Closing. </w:t>
      </w:r>
      <w:r>
        <w:rPr>
          <w:rFonts w:ascii="Times New Roman" w:cs="Times New Roman" w:eastAsia="Times New Roman" w:hAnsi="Times New Roman"/>
          <w:sz w:val="18"/>
          <w:szCs w:val="18"/>
          <w:color w:val="auto"/>
        </w:rPr>
        <w:t>The closing of the transactions contemplated by this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remotely via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documents and signature pages on the date hereof.</w:t>
      </w:r>
    </w:p>
    <w:p>
      <w:pPr>
        <w:spacing w:after="0" w:line="60" w:lineRule="exact"/>
        <w:rPr>
          <w:rFonts w:ascii="Times New Roman" w:cs="Times New Roman" w:eastAsia="Times New Roman" w:hAnsi="Times New Roman"/>
          <w:sz w:val="18"/>
          <w:szCs w:val="18"/>
          <w:b w:val="1"/>
          <w:bCs w:val="1"/>
          <w:color w:val="auto"/>
        </w:rPr>
      </w:pPr>
    </w:p>
    <w:p>
      <w:pPr>
        <w:ind w:left="76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7"/>
          <w:szCs w:val="17"/>
          <w:b w:val="1"/>
          <w:bCs w:val="1"/>
          <w:color w:val="auto"/>
        </w:rPr>
        <w:t>Closing Deliverables.</w:t>
      </w:r>
    </w:p>
    <w:p>
      <w:pPr>
        <w:spacing w:after="0" w:line="131" w:lineRule="exact"/>
        <w:rPr>
          <w:sz w:val="20"/>
          <w:szCs w:val="20"/>
          <w:color w:val="auto"/>
        </w:rPr>
      </w:pPr>
    </w:p>
    <w:p>
      <w:pPr>
        <w:ind w:left="2204" w:right="220" w:hanging="768"/>
        <w:spacing w:after="0" w:line="317"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3.2.1</w:t>
      </w:r>
      <w:r>
        <w:rPr>
          <w:sz w:val="20"/>
          <w:szCs w:val="20"/>
          <w:color w:val="auto"/>
        </w:rPr>
        <w:tab/>
      </w:r>
      <w:r>
        <w:rPr>
          <w:rFonts w:ascii="Times New Roman" w:cs="Times New Roman" w:eastAsia="Times New Roman" w:hAnsi="Times New Roman"/>
          <w:sz w:val="17"/>
          <w:szCs w:val="17"/>
          <w:b w:val="1"/>
          <w:bCs w:val="1"/>
          <w:color w:val="auto"/>
        </w:rPr>
        <w:t>Closing Deliverables and Actions by Pfizer</w:t>
      </w:r>
      <w:r>
        <w:rPr>
          <w:rFonts w:ascii="Times New Roman" w:cs="Times New Roman" w:eastAsia="Times New Roman" w:hAnsi="Times New Roman"/>
          <w:sz w:val="17"/>
          <w:szCs w:val="17"/>
          <w:color w:val="auto"/>
        </w:rPr>
        <w:t>. At the Closing, Pfizer shall deliver, or cause to be delivered, to Licensee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of the Transaction Agreements duly executed by Pfizer or the applicable Pfizer Affiliate that is a party thereto.</w:t>
      </w:r>
    </w:p>
    <w:p>
      <w:pPr>
        <w:spacing w:after="0" w:line="37" w:lineRule="exact"/>
        <w:rPr>
          <w:sz w:val="20"/>
          <w:szCs w:val="20"/>
          <w:color w:val="auto"/>
        </w:rPr>
      </w:pPr>
    </w:p>
    <w:p>
      <w:pPr>
        <w:ind w:left="2204" w:right="20" w:hanging="768"/>
        <w:spacing w:after="0" w:line="286"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3.2.2</w:t>
      </w:r>
      <w:r>
        <w:rPr>
          <w:sz w:val="20"/>
          <w:szCs w:val="20"/>
          <w:color w:val="auto"/>
        </w:rPr>
        <w:tab/>
      </w:r>
      <w:r>
        <w:rPr>
          <w:rFonts w:ascii="Times New Roman" w:cs="Times New Roman" w:eastAsia="Times New Roman" w:hAnsi="Times New Roman"/>
          <w:sz w:val="18"/>
          <w:szCs w:val="18"/>
          <w:b w:val="1"/>
          <w:bCs w:val="1"/>
          <w:color w:val="auto"/>
        </w:rPr>
        <w:t>Closing Deliverables and Actions by Licensee</w:t>
      </w:r>
      <w:r>
        <w:rPr>
          <w:rFonts w:ascii="Times New Roman" w:cs="Times New Roman" w:eastAsia="Times New Roman" w:hAnsi="Times New Roman"/>
          <w:sz w:val="18"/>
          <w:szCs w:val="18"/>
          <w:color w:val="auto"/>
        </w:rPr>
        <w:t>. At the Closing, Licensee shall deliver, or cause to be delivered, to Pfizer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w:t>
      </w:r>
    </w:p>
    <w:p>
      <w:pPr>
        <w:spacing w:after="0" w:line="64" w:lineRule="exact"/>
        <w:rPr>
          <w:sz w:val="20"/>
          <w:szCs w:val="20"/>
          <w:color w:val="auto"/>
        </w:rPr>
      </w:pPr>
    </w:p>
    <w:p>
      <w:pPr>
        <w:ind w:left="2844" w:hanging="644"/>
        <w:spacing w:after="0" w:line="255" w:lineRule="auto"/>
        <w:tabs>
          <w:tab w:leader="none" w:pos="2844"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certificate by the Secretary of Licensee certifying as to: (i) the full force and effect of the articles of incorporation and bylaws (or equivalent governing documents) of Licensee attached to such certificate as an exhibit, (ii) the accuracy and full force and effect of resolutions adopted by the board of directors of Licensee approving the transactions contemplated by the Transaction Agreements, attached to such certificate as an exhibit, and (iii) the good standing of the Licensee in its jurisdiction of formation, with a certificate of good standing from such jurisdiction dated no more than [***] prior to the Effective Date, attached to such certificate as an exhibit;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65" w:right="479" w:bottom="1440" w:gutter="0" w:footer="0" w:header="0"/>
        </w:sectPr>
      </w:pPr>
    </w:p>
    <w:bookmarkStart w:id="525" w:name="page526"/>
    <w:bookmarkEnd w:id="525"/>
    <w:p>
      <w:pPr>
        <w:ind w:left="2844" w:hanging="644"/>
        <w:spacing w:after="0" w:line="282" w:lineRule="auto"/>
        <w:tabs>
          <w:tab w:leader="none" w:pos="2844"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Transaction Agreements duly executed by Licensee or the applicable Licensee Affiliate that is a party thereto; and</w:t>
      </w:r>
    </w:p>
    <w:p>
      <w:pPr>
        <w:spacing w:after="0" w:line="67" w:lineRule="exact"/>
        <w:rPr>
          <w:rFonts w:ascii="Times New Roman" w:cs="Times New Roman" w:eastAsia="Times New Roman" w:hAnsi="Times New Roman"/>
          <w:sz w:val="18"/>
          <w:szCs w:val="18"/>
          <w:color w:val="auto"/>
        </w:rPr>
      </w:pPr>
    </w:p>
    <w:p>
      <w:pPr>
        <w:ind w:left="2844" w:hanging="644"/>
        <w:spacing w:after="0"/>
        <w:tabs>
          <w:tab w:leader="none" w:pos="2844"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Inventory Payment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764" w:right="20" w:hanging="764"/>
        <w:spacing w:after="0" w:line="268" w:lineRule="auto"/>
        <w:tabs>
          <w:tab w:leader="none" w:pos="764"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ACTIVITIES.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the documentation, materials and Licensed Know-How that Pfizer will transfer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Licensee or its designee and related activities and services to be performed by the Parties. If there is an inconsistency between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and this Agreement, the terms of this Agreement shall prevail.</w:t>
      </w:r>
    </w:p>
    <w:p>
      <w:pPr>
        <w:spacing w:after="0" w:line="76" w:lineRule="exact"/>
        <w:rPr>
          <w:rFonts w:ascii="Times New Roman" w:cs="Times New Roman" w:eastAsia="Times New Roman" w:hAnsi="Times New Roman"/>
          <w:sz w:val="18"/>
          <w:szCs w:val="18"/>
          <w:b w:val="1"/>
          <w:bCs w:val="1"/>
          <w:color w:val="auto"/>
        </w:rPr>
      </w:pPr>
    </w:p>
    <w:p>
      <w:pPr>
        <w:ind w:left="764" w:hanging="764"/>
        <w:spacing w:after="0"/>
        <w:tabs>
          <w:tab w:leader="none" w:pos="764"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REGULATORY; MANUFACTURING.</w:t>
      </w:r>
    </w:p>
    <w:p>
      <w:pPr>
        <w:spacing w:after="0" w:line="131" w:lineRule="exact"/>
        <w:rPr>
          <w:sz w:val="20"/>
          <w:szCs w:val="20"/>
          <w:color w:val="auto"/>
        </w:rPr>
      </w:pPr>
    </w:p>
    <w:p>
      <w:pPr>
        <w:jc w:val="both"/>
        <w:ind w:left="1424" w:right="320" w:hanging="647"/>
        <w:spacing w:after="0" w:line="268"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otherwise expressly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as between the Parties, Licensee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sole responsibility for [***] and the sole authority over and control of, the Development, Manufacture and Regulatory Approval of Compounds and Products in the Field in the Territory.</w:t>
      </w:r>
    </w:p>
    <w:p>
      <w:pPr>
        <w:spacing w:after="0" w:line="76"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Alliance Management.</w:t>
      </w:r>
    </w:p>
    <w:p>
      <w:pPr>
        <w:spacing w:after="0" w:line="131" w:lineRule="exact"/>
        <w:rPr>
          <w:sz w:val="20"/>
          <w:szCs w:val="20"/>
          <w:color w:val="auto"/>
        </w:rPr>
      </w:pPr>
    </w:p>
    <w:p>
      <w:pPr>
        <w:ind w:left="2204" w:right="100" w:hanging="768"/>
        <w:spacing w:after="0" w:line="262"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5.2.1</w:t>
      </w:r>
      <w:r>
        <w:rPr>
          <w:sz w:val="20"/>
          <w:szCs w:val="20"/>
          <w:color w:val="auto"/>
        </w:rPr>
        <w:tab/>
      </w:r>
      <w:r>
        <w:rPr>
          <w:rFonts w:ascii="Times New Roman" w:cs="Times New Roman" w:eastAsia="Times New Roman" w:hAnsi="Times New Roman"/>
          <w:sz w:val="18"/>
          <w:szCs w:val="18"/>
          <w:b w:val="1"/>
          <w:bCs w:val="1"/>
          <w:color w:val="auto"/>
        </w:rPr>
        <w:t>Alliance Managers</w:t>
      </w:r>
      <w:r>
        <w:rPr>
          <w:rFonts w:ascii="Times New Roman" w:cs="Times New Roman" w:eastAsia="Times New Roman" w:hAnsi="Times New Roman"/>
          <w:sz w:val="18"/>
          <w:szCs w:val="18"/>
          <w:color w:val="auto"/>
        </w:rPr>
        <w:t>. Within [***] following the Effective Date, each Party will designate (by written notice to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a single individual to act as its alliance manager under this Agreement to conduct the activities described below in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Each Party may change the person designated as its Alliance Manager upon written notice (including via email notification) to the other Party.</w:t>
      </w:r>
    </w:p>
    <w:p>
      <w:pPr>
        <w:spacing w:after="0" w:line="82" w:lineRule="exact"/>
        <w:rPr>
          <w:sz w:val="20"/>
          <w:szCs w:val="20"/>
          <w:color w:val="auto"/>
        </w:rPr>
      </w:pPr>
    </w:p>
    <w:p>
      <w:pPr>
        <w:ind w:left="2204" w:right="60" w:hanging="768"/>
        <w:spacing w:after="0" w:line="268"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5.2.2</w:t>
      </w:r>
      <w:r>
        <w:rPr>
          <w:sz w:val="20"/>
          <w:szCs w:val="20"/>
          <w:color w:val="auto"/>
        </w:rPr>
        <w:tab/>
      </w:r>
      <w:r>
        <w:rPr>
          <w:rFonts w:ascii="Times New Roman" w:cs="Times New Roman" w:eastAsia="Times New Roman" w:hAnsi="Times New Roman"/>
          <w:sz w:val="18"/>
          <w:szCs w:val="18"/>
          <w:b w:val="1"/>
          <w:bCs w:val="1"/>
          <w:color w:val="auto"/>
        </w:rPr>
        <w:t>Roles and Responsibilities</w:t>
      </w:r>
      <w:r>
        <w:rPr>
          <w:rFonts w:ascii="Times New Roman" w:cs="Times New Roman" w:eastAsia="Times New Roman" w:hAnsi="Times New Roman"/>
          <w:sz w:val="18"/>
          <w:szCs w:val="18"/>
          <w:color w:val="auto"/>
        </w:rPr>
        <w:t>. The Alliance Managers will serve as the primary contact point between the Parties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under this Agreement for the purpose of providing each Party with information on the progress of Development and Commercialization of the Products and shall have the following responsibilities:</w:t>
      </w:r>
    </w:p>
    <w:p>
      <w:pPr>
        <w:spacing w:after="0" w:line="80" w:lineRule="exact"/>
        <w:rPr>
          <w:sz w:val="20"/>
          <w:szCs w:val="20"/>
          <w:color w:val="auto"/>
        </w:rPr>
      </w:pPr>
    </w:p>
    <w:p>
      <w:pPr>
        <w:ind w:left="2844" w:hanging="644"/>
        <w:spacing w:after="0"/>
        <w:tabs>
          <w:tab w:leader="none" w:pos="2844"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844" w:hanging="644"/>
        <w:spacing w:after="0"/>
        <w:tabs>
          <w:tab w:leader="none" w:pos="2844"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functions as agreed by the Parties.</w:t>
      </w:r>
    </w:p>
    <w:p>
      <w:pPr>
        <w:spacing w:after="0" w:line="127" w:lineRule="exact"/>
        <w:rPr>
          <w:sz w:val="20"/>
          <w:szCs w:val="20"/>
          <w:color w:val="auto"/>
        </w:rPr>
      </w:pPr>
    </w:p>
    <w:p>
      <w:pPr>
        <w:ind w:left="1424" w:right="20" w:hanging="647"/>
        <w:spacing w:after="0" w:line="286"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 xml:space="preserve">Diligence. </w:t>
      </w:r>
      <w:r>
        <w:rPr>
          <w:rFonts w:ascii="Times New Roman" w:cs="Times New Roman" w:eastAsia="Times New Roman" w:hAnsi="Times New Roman"/>
          <w:sz w:val="18"/>
          <w:szCs w:val="18"/>
          <w:color w:val="auto"/>
        </w:rPr>
        <w:t>Licensee shall itself, or through its Affiliates or sublicensees, use Commercially Reasonable Efforts to [***]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Development Commitments</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9" w:right="459" w:bottom="1440" w:gutter="0" w:footer="0" w:header="0"/>
        </w:sectPr>
      </w:pPr>
    </w:p>
    <w:bookmarkStart w:id="526" w:name="page527"/>
    <w:bookmarkEnd w:id="52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5.4</w:t>
      </w:r>
      <w:r>
        <w:rPr>
          <w:sz w:val="20"/>
          <w:szCs w:val="20"/>
          <w:color w:val="auto"/>
        </w:rPr>
        <w:tab/>
      </w:r>
      <w:r>
        <w:rPr>
          <w:rFonts w:ascii="Times New Roman" w:cs="Times New Roman" w:eastAsia="Times New Roman" w:hAnsi="Times New Roman"/>
          <w:sz w:val="17"/>
          <w:szCs w:val="17"/>
          <w:b w:val="1"/>
          <w:bCs w:val="1"/>
          <w:color w:val="auto"/>
        </w:rPr>
        <w:t>Regulatory Filings.</w:t>
      </w:r>
    </w:p>
    <w:p>
      <w:pPr>
        <w:spacing w:after="0" w:line="131" w:lineRule="exact"/>
        <w:rPr>
          <w:sz w:val="20"/>
          <w:szCs w:val="20"/>
          <w:color w:val="auto"/>
        </w:rPr>
      </w:pPr>
    </w:p>
    <w:p>
      <w:pPr>
        <w:ind w:left="1440" w:right="20" w:hanging="768"/>
        <w:spacing w:after="0" w:line="26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5.4.1</w:t>
      </w:r>
      <w:r>
        <w:rPr>
          <w:sz w:val="20"/>
          <w:szCs w:val="20"/>
          <w:color w:val="auto"/>
        </w:rPr>
        <w:tab/>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In connection with its efforts to Develop the Products, as between the Parties, Licensee shall bear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responsibility [***] for submitting Regulatory Filings and obtaining and, subject to </w:t>
      </w:r>
      <w:r>
        <w:rPr>
          <w:rFonts w:ascii="Times New Roman" w:cs="Times New Roman" w:eastAsia="Times New Roman" w:hAnsi="Times New Roman"/>
          <w:sz w:val="18"/>
          <w:szCs w:val="18"/>
          <w:u w:val="single" w:color="auto"/>
          <w:color w:val="auto"/>
        </w:rPr>
        <w:t>Section 5.4.6</w:t>
      </w:r>
      <w:r>
        <w:rPr>
          <w:rFonts w:ascii="Times New Roman" w:cs="Times New Roman" w:eastAsia="Times New Roman" w:hAnsi="Times New Roman"/>
          <w:sz w:val="18"/>
          <w:szCs w:val="18"/>
          <w:color w:val="auto"/>
        </w:rPr>
        <w:t xml:space="preserve">, maintaining Regulatory Approval for the Products in the Territory, subject to such Regulatory Transfer Activities to be performed by Pfizer as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1440" w:right="100" w:hanging="768"/>
        <w:spacing w:after="0" w:line="259"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5.4.2</w:t>
      </w:r>
      <w:r>
        <w:rPr>
          <w:sz w:val="20"/>
          <w:szCs w:val="20"/>
          <w:color w:val="auto"/>
        </w:rPr>
        <w:tab/>
      </w:r>
      <w:r>
        <w:rPr>
          <w:rFonts w:ascii="Times New Roman" w:cs="Times New Roman" w:eastAsia="Times New Roman" w:hAnsi="Times New Roman"/>
          <w:sz w:val="18"/>
          <w:szCs w:val="18"/>
          <w:b w:val="1"/>
          <w:bCs w:val="1"/>
          <w:color w:val="auto"/>
        </w:rPr>
        <w:t>U.S. Review Rights</w:t>
      </w:r>
      <w:r>
        <w:rPr>
          <w:rFonts w:ascii="Times New Roman" w:cs="Times New Roman" w:eastAsia="Times New Roman" w:hAnsi="Times New Roman"/>
          <w:sz w:val="18"/>
          <w:szCs w:val="18"/>
          <w:color w:val="auto"/>
        </w:rPr>
        <w:t>. Licensee will own all Regulatory Filings, Regulatory Approvals, and related regulatory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Products for the U.S. and Brepo Products in Japan. Licensee shall provide Pfizer with a reasonable opportunity to review and comment on all material Regulatory Filings relating to all Products submitted to the FDA, as well as all Global Regulatory Filings, by or on behalf of Licensee during the Term. Licensee shall promptly provide Pfizer with access to key correspondence with the FDA relating to Products. For clarity, [***].</w:t>
      </w:r>
    </w:p>
    <w:p>
      <w:pPr>
        <w:spacing w:after="0" w:line="85" w:lineRule="exact"/>
        <w:rPr>
          <w:sz w:val="20"/>
          <w:szCs w:val="20"/>
          <w:color w:val="auto"/>
        </w:rPr>
      </w:pPr>
    </w:p>
    <w:p>
      <w:pPr>
        <w:ind w:left="1440" w:hanging="768"/>
        <w:spacing w:after="0" w:line="254"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5.4.3</w:t>
      </w:r>
      <w:r>
        <w:rPr>
          <w:sz w:val="20"/>
          <w:szCs w:val="20"/>
          <w:color w:val="auto"/>
        </w:rPr>
        <w:tab/>
      </w:r>
      <w:r>
        <w:rPr>
          <w:rFonts w:ascii="Times New Roman" w:cs="Times New Roman" w:eastAsia="Times New Roman" w:hAnsi="Times New Roman"/>
          <w:sz w:val="18"/>
          <w:szCs w:val="18"/>
          <w:b w:val="1"/>
          <w:bCs w:val="1"/>
          <w:color w:val="auto"/>
        </w:rPr>
        <w:t>ROW Review Rights</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5.4.1</w:t>
      </w:r>
      <w:r>
        <w:rPr>
          <w:rFonts w:ascii="Times New Roman" w:cs="Times New Roman" w:eastAsia="Times New Roman" w:hAnsi="Times New Roman"/>
          <w:sz w:val="18"/>
          <w:szCs w:val="18"/>
          <w:color w:val="auto"/>
        </w:rPr>
        <w:t>, and except with respect to Global Regulatory Filings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by </w:t>
      </w:r>
      <w:r>
        <w:rPr>
          <w:rFonts w:ascii="Times New Roman" w:cs="Times New Roman" w:eastAsia="Times New Roman" w:hAnsi="Times New Roman"/>
          <w:sz w:val="18"/>
          <w:szCs w:val="18"/>
          <w:u w:val="single" w:color="auto"/>
          <w:color w:val="auto"/>
        </w:rPr>
        <w:t>Section 5.4.2</w:t>
      </w:r>
      <w:r>
        <w:rPr>
          <w:rFonts w:ascii="Times New Roman" w:cs="Times New Roman" w:eastAsia="Times New Roman" w:hAnsi="Times New Roman"/>
          <w:sz w:val="18"/>
          <w:szCs w:val="18"/>
          <w:color w:val="auto"/>
        </w:rPr>
        <w:t>, Licensee shall provide Pfizer with an opportunity to review and comment on all material Regulatory Filings (i) in the ROW and (ii) other than with respect to Brepo Compounds or Brepo Products, in Japan, prior to submission to the applicable Regulatory Authority. Licensee shall provide access to interim drafts of such material Regulatory Filings to Pfizer, and Pfizer shall provide its comments on the near final drafts of such material Regulatory Filings or of proposed material actions within [***], or such other longer period of time mutually agreed to by the Parties. In the event that a Regulatory Authority establishes a response deadline for any such material Regulatory Filing or material action shorter than such [***] period, the Parties shall work cooperatively to ensure that Pfizer has a reasonable opportunity for review and comment within such deadlines. Licensee shall, [***].</w:t>
      </w:r>
    </w:p>
    <w:p>
      <w:pPr>
        <w:spacing w:after="0" w:line="94" w:lineRule="exact"/>
        <w:rPr>
          <w:sz w:val="20"/>
          <w:szCs w:val="20"/>
          <w:color w:val="auto"/>
        </w:rPr>
      </w:pPr>
    </w:p>
    <w:p>
      <w:pPr>
        <w:ind w:left="1440" w:right="40" w:hanging="768"/>
        <w:spacing w:after="0" w:line="255"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5.4.4</w:t>
      </w:r>
      <w:r>
        <w:rPr>
          <w:sz w:val="20"/>
          <w:szCs w:val="20"/>
          <w:color w:val="auto"/>
        </w:rPr>
        <w:tab/>
      </w:r>
      <w:r>
        <w:rPr>
          <w:rFonts w:ascii="Times New Roman" w:cs="Times New Roman" w:eastAsia="Times New Roman" w:hAnsi="Times New Roman"/>
          <w:sz w:val="18"/>
          <w:szCs w:val="18"/>
          <w:b w:val="1"/>
          <w:bCs w:val="1"/>
          <w:color w:val="auto"/>
        </w:rPr>
        <w:t>ROW Information Rights</w:t>
      </w:r>
      <w:r>
        <w:rPr>
          <w:rFonts w:ascii="Times New Roman" w:cs="Times New Roman" w:eastAsia="Times New Roman" w:hAnsi="Times New Roman"/>
          <w:sz w:val="18"/>
          <w:szCs w:val="18"/>
          <w:color w:val="auto"/>
        </w:rPr>
        <w:t>. Subject to the immediately following sentence, Licensee shall provide Pfizer with (a)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or copies of all material written or electronic correspondence (other than Regulatory Filings) relating to the Development or Commercialization of (i) Compounds or Products received by Licensee or its Affiliates or sublicensees from, or forwarded by Licensee or its Affiliates or sublicensees to, the Regulatory Authorities in the ROW and (ii) TYK2 Compounds or Other Products received by Licensee or its Affiliates or sublicensees from, or forwarded by Licensee or its Affiliates or sublicensees to, the Regulatory Authorities in Japan, and (b) copies of all meeting minutes and summaries of all meetings, conferences, and discussions held by Licensee or its Affiliates or sublicensees with the Regulatory Authorities (i) in the ROW and (ii) solely with respect to</w:t>
      </w:r>
    </w:p>
    <w:p>
      <w:pPr>
        <w:spacing w:after="0" w:line="1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240"/>
          </w:cols>
          <w:pgMar w:left="1200" w:top="265" w:right="459" w:bottom="1440" w:gutter="0" w:footer="0" w:header="0"/>
        </w:sectPr>
      </w:pPr>
    </w:p>
    <w:bookmarkStart w:id="527" w:name="page528"/>
    <w:bookmarkEnd w:id="527"/>
    <w:p>
      <w:pPr>
        <w:ind w:left="120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TYK2 Compounds or Other Products, in Japan, including copies of all contact reports produced by Licensee or its Affiliates or sublicensees, in each case ((a) and (b)) within [***] following the end of each Calendar Quarter (which Licensee may provide to Pfizer through upload to a mutually acceptable data room). If such written or electronic correspondence received from any such Regulatory Authority relates to the withdrawal, suspension, or revocation of any Regulatory Approval for a Product, the prohibition or suspension of the supply of a Compound or Product, or the initiation of any investigation, review, or inquiry by such Regulatory Authority concerning the safety of a Compound or Product, Licensee shall notify Pfizer and provide Pfizer with copies of such written or electronic correspondence as soon as practicable, but not later than [***] after receipt of such correspondence.</w:t>
      </w:r>
    </w:p>
    <w:p>
      <w:pPr>
        <w:spacing w:after="0" w:line="93" w:lineRule="exact"/>
        <w:rPr>
          <w:sz w:val="20"/>
          <w:szCs w:val="20"/>
          <w:color w:val="auto"/>
        </w:rPr>
      </w:pPr>
    </w:p>
    <w:p>
      <w:pPr>
        <w:ind w:left="1200" w:hanging="768"/>
        <w:spacing w:after="0" w:line="259"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5.4.5</w:t>
      </w:r>
      <w:r>
        <w:rPr>
          <w:sz w:val="20"/>
          <w:szCs w:val="20"/>
          <w:color w:val="auto"/>
        </w:rPr>
        <w:tab/>
      </w:r>
      <w:r>
        <w:rPr>
          <w:rFonts w:ascii="Times New Roman" w:cs="Times New Roman" w:eastAsia="Times New Roman" w:hAnsi="Times New Roman"/>
          <w:sz w:val="18"/>
          <w:szCs w:val="18"/>
          <w:b w:val="1"/>
          <w:bCs w:val="1"/>
          <w:color w:val="auto"/>
        </w:rPr>
        <w:t>ROW Meeting Rights</w:t>
      </w:r>
      <w:r>
        <w:rPr>
          <w:rFonts w:ascii="Times New Roman" w:cs="Times New Roman" w:eastAsia="Times New Roman" w:hAnsi="Times New Roman"/>
          <w:sz w:val="18"/>
          <w:szCs w:val="18"/>
          <w:color w:val="auto"/>
        </w:rPr>
        <w:t>. Licensee shall provide Pfizer with prior written notice of any scheduled meeting, conference,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discussion (including any advisory committee meeting) with a Regulatory Authority (i) in the ROW relating to a Product and (ii) in Japan relating to a Other Product, within [***] after Licensee or its Affiliate or sublicensee first receives notice of the scheduling of such meeting, conference, or discussion (or within such shorter period as may be necessary in order to give Pfizer a reasonable opportunity to attend such meeting, conference, or discussion). [***]</w:t>
      </w:r>
    </w:p>
    <w:p>
      <w:pPr>
        <w:spacing w:after="0" w:line="85" w:lineRule="exact"/>
        <w:rPr>
          <w:sz w:val="20"/>
          <w:szCs w:val="20"/>
          <w:color w:val="auto"/>
        </w:rPr>
      </w:pPr>
    </w:p>
    <w:p>
      <w:pPr>
        <w:ind w:left="1200" w:hanging="768"/>
        <w:spacing w:after="0" w:line="252"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5.4.6</w:t>
      </w:r>
      <w:r>
        <w:rPr>
          <w:sz w:val="20"/>
          <w:szCs w:val="20"/>
          <w:color w:val="auto"/>
        </w:rPr>
        <w:tab/>
      </w:r>
      <w:r>
        <w:rPr>
          <w:rFonts w:ascii="Times New Roman" w:cs="Times New Roman" w:eastAsia="Times New Roman" w:hAnsi="Times New Roman"/>
          <w:sz w:val="18"/>
          <w:szCs w:val="18"/>
          <w:b w:val="1"/>
          <w:bCs w:val="1"/>
          <w:color w:val="auto"/>
        </w:rPr>
        <w:t>Transfer of Regulatory Approvals in the ROW and Japan</w:t>
      </w:r>
      <w:r>
        <w:rPr>
          <w:rFonts w:ascii="Times New Roman" w:cs="Times New Roman" w:eastAsia="Times New Roman" w:hAnsi="Times New Roman"/>
          <w:sz w:val="18"/>
          <w:szCs w:val="18"/>
          <w:color w:val="auto"/>
        </w:rPr>
        <w:t>. As soon as practicable and in any event within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following receipt of Regulatory Approval for (a) a Product in a country in the ROW or (b) a Other Product in Japan, Licensee shall execute and provide to Pfizer all documents (in a form reasonably acceptable to Pfizer) required to transfer such Regulatory Approval to Pfizer,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provision of any such documents is delayed by a Regulatory Authority for reasons outside of Licensee’s reasonable control, then such period will be extended for the period of delay by such Regulatory Authority. Licensee shall provide Pfizer with the status of the progress of each such Regulatory Approval transfer [***]. Licensee shall also provide a copy of each certificate of registration of the transfer of each such Regulatory Approval to Pfizer promptly after receiving such certificate from the respective Regulatory Authority. Licensee shall use Commercially Reasonable Efforts to keep the transition of Regulatory Approvals for Products in the ROW and Other Products in Japan as short as possible. Pfizer shall use Commercially Reasonable Efforts to assist, or to cause its Affiliates to assist, Licensee and its Affiliates in the transfer of Regulatory Approvals for Products in the ROW and Other Products in Japan to Pfizer, including by providing Licensee and its Affiliates with any information reasonably requested by Licensee and necessary for the transfer of such Regulatory Approvals or requested by any Regulatory Authority and, in each case, reasonably available to Pfizer or its Affiliates. Following the transfer of a Regulatory Approval for a Product in a country in the ROW to Pfizer or a Other Product in Japan to Pfizer, Pfizer shall bear all responsibility and expense for maintaining such Regulatory Approval.</w:t>
      </w:r>
    </w:p>
    <w:p>
      <w:pPr>
        <w:spacing w:after="0" w:line="1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960"/>
          </w:cols>
          <w:pgMar w:left="1440" w:top="269" w:right="499" w:bottom="1440" w:gutter="0" w:footer="0" w:header="0"/>
        </w:sectPr>
      </w:pPr>
    </w:p>
    <w:bookmarkStart w:id="528" w:name="page529"/>
    <w:bookmarkEnd w:id="528"/>
    <w:p>
      <w:pPr>
        <w:ind w:left="1440" w:right="660" w:hanging="768"/>
        <w:spacing w:after="0" w:line="286"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5.4.7</w:t>
      </w:r>
      <w:r>
        <w:rPr>
          <w:sz w:val="20"/>
          <w:szCs w:val="20"/>
          <w:color w:val="auto"/>
        </w:rPr>
        <w:tab/>
      </w:r>
      <w:r>
        <w:rPr>
          <w:rFonts w:ascii="Times New Roman" w:cs="Times New Roman" w:eastAsia="Times New Roman" w:hAnsi="Times New Roman"/>
          <w:sz w:val="18"/>
          <w:szCs w:val="18"/>
          <w:b w:val="1"/>
          <w:bCs w:val="1"/>
          <w:color w:val="auto"/>
        </w:rPr>
        <w:t xml:space="preserve">Priority Review Voucher. </w:t>
      </w:r>
      <w:r>
        <w:rPr>
          <w:rFonts w:ascii="Times New Roman" w:cs="Times New Roman" w:eastAsia="Times New Roman" w:hAnsi="Times New Roman"/>
          <w:sz w:val="18"/>
          <w:szCs w:val="18"/>
          <w:color w:val="auto"/>
        </w:rPr>
        <w:t>If Licensee elects to transfer to a Third Party or otherwise monetize a Priority Review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Voucher, all proceeds thereof shall be allocated to Licensee.</w:t>
      </w:r>
    </w:p>
    <w:p>
      <w:pPr>
        <w:spacing w:after="0" w:line="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Progress Reporting.</w:t>
      </w:r>
    </w:p>
    <w:p>
      <w:pPr>
        <w:spacing w:after="0" w:line="131"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5.5.1</w:t>
      </w:r>
      <w:r>
        <w:rPr>
          <w:sz w:val="20"/>
          <w:szCs w:val="20"/>
          <w:color w:val="auto"/>
        </w:rPr>
        <w:tab/>
      </w:r>
      <w:r>
        <w:rPr>
          <w:rFonts w:ascii="Times New Roman" w:cs="Times New Roman" w:eastAsia="Times New Roman" w:hAnsi="Times New Roman"/>
          <w:sz w:val="17"/>
          <w:szCs w:val="17"/>
          <w:b w:val="1"/>
          <w:bCs w:val="1"/>
          <w:color w:val="auto"/>
        </w:rPr>
        <w:t>Semi-Annual Reports</w:t>
      </w:r>
      <w:r>
        <w:rPr>
          <w:rFonts w:ascii="Times New Roman" w:cs="Times New Roman" w:eastAsia="Times New Roman" w:hAnsi="Times New Roman"/>
          <w:sz w:val="17"/>
          <w:szCs w:val="17"/>
          <w:color w:val="auto"/>
        </w:rPr>
        <w:t>. During the First Reporting Window, [***].</w:t>
      </w:r>
    </w:p>
    <w:p>
      <w:pPr>
        <w:spacing w:after="0" w:line="131" w:lineRule="exact"/>
        <w:rPr>
          <w:sz w:val="20"/>
          <w:szCs w:val="20"/>
          <w:color w:val="auto"/>
        </w:rPr>
      </w:pPr>
    </w:p>
    <w:p>
      <w:pPr>
        <w:ind w:left="1440" w:right="540" w:hanging="768"/>
        <w:spacing w:after="0" w:line="286"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5.5.2</w:t>
      </w:r>
      <w:r>
        <w:rPr>
          <w:sz w:val="20"/>
          <w:szCs w:val="20"/>
          <w:color w:val="auto"/>
        </w:rPr>
        <w:tab/>
      </w:r>
      <w:r>
        <w:rPr>
          <w:rFonts w:ascii="Times New Roman" w:cs="Times New Roman" w:eastAsia="Times New Roman" w:hAnsi="Times New Roman"/>
          <w:sz w:val="18"/>
          <w:szCs w:val="18"/>
          <w:b w:val="1"/>
          <w:bCs w:val="1"/>
          <w:color w:val="auto"/>
        </w:rPr>
        <w:t>Annual Reports</w:t>
      </w:r>
      <w:r>
        <w:rPr>
          <w:rFonts w:ascii="Times New Roman" w:cs="Times New Roman" w:eastAsia="Times New Roman" w:hAnsi="Times New Roman"/>
          <w:sz w:val="18"/>
          <w:szCs w:val="18"/>
          <w:color w:val="auto"/>
        </w:rPr>
        <w:t>. For each Reporting Category, after the end of the applicable First Reporting Window, Licensee’s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obligations will be limited as follows: [***].</w:t>
      </w:r>
    </w:p>
    <w:p>
      <w:pPr>
        <w:spacing w:after="0" w:line="60"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5.5.3</w:t>
      </w:r>
      <w:r>
        <w:rPr>
          <w:sz w:val="20"/>
          <w:szCs w:val="20"/>
          <w:color w:val="auto"/>
        </w:rPr>
        <w:tab/>
      </w:r>
      <w:r>
        <w:rPr>
          <w:rFonts w:ascii="Times New Roman" w:cs="Times New Roman" w:eastAsia="Times New Roman" w:hAnsi="Times New Roman"/>
          <w:sz w:val="17"/>
          <w:szCs w:val="17"/>
          <w:b w:val="1"/>
          <w:bCs w:val="1"/>
          <w:color w:val="auto"/>
        </w:rPr>
        <w:t>Conclusion of Reports</w:t>
      </w:r>
      <w:r>
        <w:rPr>
          <w:rFonts w:ascii="Times New Roman" w:cs="Times New Roman" w:eastAsia="Times New Roman" w:hAnsi="Times New Roman"/>
          <w:sz w:val="17"/>
          <w:szCs w:val="17"/>
          <w:color w:val="auto"/>
        </w:rPr>
        <w:t>. Notwithstanding the foregoing, Licensee’s reporting obligations to Pfizer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5.5.1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auto"/>
        </w:rPr>
        <w:t>5.5.2</w:t>
      </w:r>
      <w:r>
        <w:rPr>
          <w:rFonts w:ascii="Times New Roman" w:cs="Times New Roman" w:eastAsia="Times New Roman" w:hAnsi="Times New Roman"/>
          <w:sz w:val="18"/>
          <w:szCs w:val="18"/>
          <w:color w:val="auto"/>
        </w:rPr>
        <w:t xml:space="preserve"> with respect to any and all Products described therein shall end on [***].</w:t>
      </w:r>
    </w:p>
    <w:p>
      <w:pPr>
        <w:spacing w:after="0" w:line="108" w:lineRule="exact"/>
        <w:rPr>
          <w:sz w:val="20"/>
          <w:szCs w:val="20"/>
          <w:color w:val="auto"/>
        </w:rPr>
      </w:pPr>
    </w:p>
    <w:p>
      <w:pPr>
        <w:ind w:left="1440" w:right="60" w:hanging="768"/>
        <w:spacing w:after="0" w:line="291"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5.5.4</w:t>
      </w:r>
      <w:r>
        <w:rPr>
          <w:sz w:val="20"/>
          <w:szCs w:val="20"/>
          <w:color w:val="auto"/>
        </w:rPr>
        <w:tab/>
      </w:r>
      <w:r>
        <w:rPr>
          <w:rFonts w:ascii="Times New Roman" w:cs="Times New Roman" w:eastAsia="Times New Roman" w:hAnsi="Times New Roman"/>
          <w:sz w:val="17"/>
          <w:szCs w:val="17"/>
          <w:b w:val="1"/>
          <w:bCs w:val="1"/>
          <w:color w:val="auto"/>
        </w:rPr>
        <w:t>Cooperation</w:t>
      </w:r>
      <w:r>
        <w:rPr>
          <w:rFonts w:ascii="Times New Roman" w:cs="Times New Roman" w:eastAsia="Times New Roman" w:hAnsi="Times New Roman"/>
          <w:sz w:val="17"/>
          <w:szCs w:val="17"/>
          <w:color w:val="auto"/>
        </w:rPr>
        <w:t>. Licensee shall promptly respond to Pfizer’s reasonable inquiries regarding the Development activities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to the Compounds and Products, and regarding clinical recruitment progress, occurred adverse events, and the status of any applications for Regulatory Approvals related to the Compounds and Products in Development by Licensee.</w:t>
      </w:r>
    </w:p>
    <w:p>
      <w:pPr>
        <w:spacing w:after="0" w:line="58" w:lineRule="exact"/>
        <w:rPr>
          <w:sz w:val="20"/>
          <w:szCs w:val="20"/>
          <w:color w:val="auto"/>
        </w:rPr>
      </w:pPr>
    </w:p>
    <w:p>
      <w:pPr>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b w:val="1"/>
          <w:bCs w:val="1"/>
          <w:color w:val="auto"/>
        </w:rPr>
        <w:t>Permitted Contractors</w:t>
      </w:r>
      <w:r>
        <w:rPr>
          <w:rFonts w:ascii="Times New Roman" w:cs="Times New Roman" w:eastAsia="Times New Roman" w:hAnsi="Times New Roman"/>
          <w:sz w:val="18"/>
          <w:szCs w:val="18"/>
          <w:color w:val="auto"/>
        </w:rPr>
        <w:t>. Licensee may subcontract with Permitted Contractors to handle certain clinical Development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activities in the Territory and Commercialization activities in the U.S. and Japan, in Licensee’s reasonable discretion, consistent with the then-current Development Plan. As between the Parties, all costs of Permitted Contractors will be borne solely by Licensee.</w:t>
      </w:r>
    </w:p>
    <w:p>
      <w:pPr>
        <w:spacing w:after="0" w:line="82" w:lineRule="exact"/>
        <w:rPr>
          <w:sz w:val="20"/>
          <w:szCs w:val="20"/>
          <w:color w:val="auto"/>
        </w:rPr>
      </w:pPr>
    </w:p>
    <w:p>
      <w:pPr>
        <w:ind w:left="660" w:right="10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Licensee’s plan for conducting Development activities with respect to the Compounds and Products is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development plan set forth in </w:t>
      </w:r>
      <w:r>
        <w:rPr>
          <w:rFonts w:ascii="Times New Roman" w:cs="Times New Roman" w:eastAsia="Times New Roman" w:hAnsi="Times New Roman"/>
          <w:sz w:val="18"/>
          <w:szCs w:val="18"/>
          <w:u w:val="single" w:color="auto"/>
          <w:color w:val="auto"/>
        </w:rPr>
        <w:t>Schedule 5.7</w:t>
      </w:r>
      <w:r>
        <w:rPr>
          <w:rFonts w:ascii="Times New Roman" w:cs="Times New Roman" w:eastAsia="Times New Roman" w:hAnsi="Times New Roman"/>
          <w:sz w:val="18"/>
          <w:szCs w:val="18"/>
          <w:color w:val="auto"/>
        </w:rPr>
        <w:t xml:space="preserve">, as amended by Licensee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xml:space="preserve">”). For clarity, the Development Plan shall not cover the Ongoing Clinical Trials, and the Development Plan is provided for informational purposes only and is not intended to expand or diminish the scope of Licensee’s diligence obligations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w:t>
      </w:r>
    </w:p>
    <w:p>
      <w:pPr>
        <w:spacing w:after="0" w:line="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7"/>
          <w:szCs w:val="17"/>
          <w:b w:val="1"/>
          <w:bCs w:val="1"/>
          <w:color w:val="auto"/>
        </w:rPr>
        <w:t>Safety Reporting</w:t>
      </w:r>
      <w:r>
        <w:rPr>
          <w:rFonts w:ascii="Times New Roman" w:cs="Times New Roman" w:eastAsia="Times New Roman" w:hAnsi="Times New Roman"/>
          <w:sz w:val="17"/>
          <w:szCs w:val="17"/>
          <w:color w:val="auto"/>
        </w:rPr>
        <w:t>. The safety units from each of the Parties shall agree upon a pharmacovigilance agreement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Pharmacovigilance Agreement</w:t>
      </w:r>
      <w:r>
        <w:rPr>
          <w:rFonts w:ascii="Times New Roman" w:cs="Times New Roman" w:eastAsia="Times New Roman" w:hAnsi="Times New Roman"/>
          <w:sz w:val="18"/>
          <w:szCs w:val="18"/>
          <w:color w:val="auto"/>
        </w:rPr>
        <w:t>”) for exchanging adverse event and other safety information relating to Compounds and Products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both Parties’ initiation of any clinical or marketing activity implicating pharmacovigilance obligations for the Compounds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Products in the Territory. Such Pharmacovigilance Agreement shall ensure that adverse event and other safety information 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exchanged according to a schedule that will permit each Party to comply with Applicable Laws, including any local regulatory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requirements as a Regulatory Approval holder.</w:t>
      </w:r>
    </w:p>
    <w:p>
      <w:pPr>
        <w:spacing w:after="0" w:line="1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240"/>
          </w:cols>
          <w:pgMar w:left="1200" w:top="265" w:right="459" w:bottom="1440" w:gutter="0" w:footer="0" w:header="0"/>
        </w:sectPr>
      </w:pPr>
    </w:p>
    <w:bookmarkStart w:id="529" w:name="page530"/>
    <w:bookmarkEnd w:id="52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5.9</w:t>
      </w:r>
      <w:r>
        <w:rPr>
          <w:sz w:val="20"/>
          <w:szCs w:val="20"/>
          <w:color w:val="auto"/>
        </w:rPr>
        <w:tab/>
      </w:r>
      <w:r>
        <w:rPr>
          <w:rFonts w:ascii="Times New Roman" w:cs="Times New Roman" w:eastAsia="Times New Roman" w:hAnsi="Times New Roman"/>
          <w:sz w:val="17"/>
          <w:szCs w:val="17"/>
          <w:b w:val="1"/>
          <w:bCs w:val="1"/>
          <w:color w:val="auto"/>
        </w:rPr>
        <w:t>Ongoing Clinical Trials.</w:t>
      </w:r>
    </w:p>
    <w:p>
      <w:pPr>
        <w:spacing w:after="0" w:line="131" w:lineRule="exact"/>
        <w:rPr>
          <w:sz w:val="20"/>
          <w:szCs w:val="20"/>
          <w:color w:val="auto"/>
        </w:rPr>
      </w:pPr>
    </w:p>
    <w:p>
      <w:pPr>
        <w:ind w:left="1440" w:right="220" w:hanging="768"/>
        <w:spacing w:after="0" w:line="317"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5.9.1</w:t>
      </w:r>
      <w:r>
        <w:rPr>
          <w:sz w:val="20"/>
          <w:szCs w:val="20"/>
          <w:color w:val="auto"/>
        </w:rPr>
        <w:tab/>
      </w:r>
      <w:r>
        <w:rPr>
          <w:rFonts w:ascii="Times New Roman" w:cs="Times New Roman" w:eastAsia="Times New Roman" w:hAnsi="Times New Roman"/>
          <w:sz w:val="17"/>
          <w:szCs w:val="17"/>
          <w:b w:val="1"/>
          <w:bCs w:val="1"/>
          <w:color w:val="auto"/>
        </w:rPr>
        <w:t>General</w:t>
      </w:r>
      <w:r>
        <w:rPr>
          <w:rFonts w:ascii="Times New Roman" w:cs="Times New Roman" w:eastAsia="Times New Roman" w:hAnsi="Times New Roman"/>
          <w:sz w:val="17"/>
          <w:szCs w:val="17"/>
          <w:color w:val="auto"/>
        </w:rPr>
        <w:t>. From and after the Effective Date, Pfizer shall remain as sponsor of, and have sole decision making authority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responsibility for directing the activities and conduct of, the Ongoing Clinical Trials;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t>
      </w:r>
    </w:p>
    <w:p>
      <w:pPr>
        <w:spacing w:after="0" w:line="37" w:lineRule="exact"/>
        <w:rPr>
          <w:sz w:val="20"/>
          <w:szCs w:val="20"/>
          <w:color w:val="auto"/>
        </w:rPr>
      </w:pPr>
    </w:p>
    <w:p>
      <w:pPr>
        <w:ind w:left="1440" w:right="40" w:hanging="768"/>
        <w:spacing w:after="0" w:line="268"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5.9.2</w:t>
      </w:r>
      <w:r>
        <w:rPr>
          <w:sz w:val="20"/>
          <w:szCs w:val="20"/>
          <w:color w:val="auto"/>
        </w:rPr>
        <w:tab/>
      </w:r>
      <w:r>
        <w:rPr>
          <w:rFonts w:ascii="Times New Roman" w:cs="Times New Roman" w:eastAsia="Times New Roman" w:hAnsi="Times New Roman"/>
          <w:sz w:val="18"/>
          <w:szCs w:val="18"/>
          <w:b w:val="1"/>
          <w:bCs w:val="1"/>
          <w:color w:val="auto"/>
        </w:rPr>
        <w:t>Ongoing Clinical Trial Costs</w:t>
      </w:r>
      <w:r>
        <w:rPr>
          <w:rFonts w:ascii="Times New Roman" w:cs="Times New Roman" w:eastAsia="Times New Roman" w:hAnsi="Times New Roman"/>
          <w:sz w:val="18"/>
          <w:szCs w:val="18"/>
          <w:color w:val="auto"/>
        </w:rPr>
        <w:t>. Pfizer shall bear [***] of all costs (external and internal) invoiced to or incurred by Pfizer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Effective Date in connection with the performance of the Ongoing Clinical Trials (“</w:t>
      </w:r>
      <w:r>
        <w:rPr>
          <w:rFonts w:ascii="Times New Roman" w:cs="Times New Roman" w:eastAsia="Times New Roman" w:hAnsi="Times New Roman"/>
          <w:sz w:val="18"/>
          <w:szCs w:val="18"/>
          <w:b w:val="1"/>
          <w:bCs w:val="1"/>
          <w:color w:val="auto"/>
        </w:rPr>
        <w:t>Ongoing Clinical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Costs</w:t>
      </w:r>
      <w:r>
        <w:rPr>
          <w:rFonts w:ascii="Times New Roman" w:cs="Times New Roman" w:eastAsia="Times New Roman" w:hAnsi="Times New Roman"/>
          <w:sz w:val="18"/>
          <w:szCs w:val="18"/>
          <w:color w:val="auto"/>
        </w:rPr>
        <w:t>”), except [***].</w:t>
      </w:r>
    </w:p>
    <w:p>
      <w:pPr>
        <w:spacing w:after="0" w:line="80" w:lineRule="exact"/>
        <w:rPr>
          <w:sz w:val="20"/>
          <w:szCs w:val="20"/>
          <w:color w:val="auto"/>
        </w:rPr>
      </w:pPr>
    </w:p>
    <w:p>
      <w:pPr>
        <w:ind w:left="2080" w:hanging="644"/>
        <w:spacing w:after="0" w:line="253" w:lineRule="auto"/>
        <w:tabs>
          <w:tab w:leader="none" w:pos="20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 after the end of each Calendar Quarter, Pfizer shall deliver to Licensee an invoice setting forth the Ongoing Clinical Trial Costs reimbursable by Licensee pursuant to this </w:t>
      </w:r>
      <w:r>
        <w:rPr>
          <w:rFonts w:ascii="Times New Roman" w:cs="Times New Roman" w:eastAsia="Times New Roman" w:hAnsi="Times New Roman"/>
          <w:sz w:val="18"/>
          <w:szCs w:val="18"/>
          <w:u w:val="single" w:color="auto"/>
          <w:color w:val="auto"/>
        </w:rPr>
        <w:t>Section 5.9.2</w:t>
      </w:r>
      <w:r>
        <w:rPr>
          <w:rFonts w:ascii="Times New Roman" w:cs="Times New Roman" w:eastAsia="Times New Roman" w:hAnsi="Times New Roman"/>
          <w:sz w:val="18"/>
          <w:szCs w:val="18"/>
          <w:color w:val="auto"/>
        </w:rPr>
        <w:t xml:space="preserve">, together with reasonable supporting documentation. Licensee shall pay to Pfizer its allocation of such Ongoing Clinical Trial Costs within [***] of Pfizer’s delivery of the applicable undisputed invoice. In addition, (a) within [***] days after the end of each month, Pfizer shall deliver to Licensee a good faith estimate of the amount for which it anticipates invoicing Licensee for reimbursable Ongoing Clinical Trial Costs pursuant to this </w:t>
      </w:r>
      <w:r>
        <w:rPr>
          <w:rFonts w:ascii="Times New Roman" w:cs="Times New Roman" w:eastAsia="Times New Roman" w:hAnsi="Times New Roman"/>
          <w:sz w:val="18"/>
          <w:szCs w:val="18"/>
          <w:u w:val="single" w:color="auto"/>
          <w:color w:val="auto"/>
        </w:rPr>
        <w:t>Section 5.9.2</w:t>
      </w:r>
      <w:r>
        <w:rPr>
          <w:rFonts w:ascii="Times New Roman" w:cs="Times New Roman" w:eastAsia="Times New Roman" w:hAnsi="Times New Roman"/>
          <w:sz w:val="18"/>
          <w:szCs w:val="18"/>
          <w:color w:val="auto"/>
        </w:rPr>
        <w:t xml:space="preserve"> in the preceding month [***], (b) between [***] of each year, Pfizer shall deliver to Licensee a quarterly forecast of the amount for which Pfizer anticipates that it will invoice Licensee through the conclusion of the Ongoing Clinical Trials, together with reasonable supporting documentation for such amount, and (c) if, at any time, Pfizer forecasts an aggregate increase or decrease of more than [***] for any Ongoing Clinical Trial during any remaining [***] period compared to last forecast provided, Pfizer shall promptly provide Licensee updated an quarterly forecast through until completion of the applicable Ongoing Clinical Trial within [***] of determining such increase or decrease.</w:t>
      </w:r>
    </w:p>
    <w:p>
      <w:pPr>
        <w:spacing w:after="0" w:line="92" w:lineRule="exact"/>
        <w:rPr>
          <w:rFonts w:ascii="Times New Roman" w:cs="Times New Roman" w:eastAsia="Times New Roman" w:hAnsi="Times New Roman"/>
          <w:sz w:val="18"/>
          <w:szCs w:val="18"/>
          <w:color w:val="auto"/>
        </w:rPr>
      </w:pPr>
    </w:p>
    <w:p>
      <w:pPr>
        <w:ind w:left="2080" w:hanging="644"/>
        <w:spacing w:after="0"/>
        <w:tabs>
          <w:tab w:leader="none" w:pos="20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p>
      <w:pPr>
        <w:ind w:left="660" w:right="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Licensee shall, and shall cause its Affiliates, to comply with all Applicable Laws with respect to the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of the Products.</w:t>
      </w:r>
    </w:p>
    <w:p>
      <w:pPr>
        <w:spacing w:after="0" w:line="9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220"/>
          </w:cols>
          <w:pgMar w:left="1200" w:top="265" w:right="479" w:bottom="1440" w:gutter="0" w:footer="0" w:header="0"/>
        </w:sectPr>
      </w:pPr>
    </w:p>
    <w:bookmarkStart w:id="530" w:name="page531"/>
    <w:bookmarkEnd w:id="530"/>
    <w:p>
      <w:pPr>
        <w:ind w:left="764" w:hanging="764"/>
        <w:spacing w:after="0"/>
        <w:tabs>
          <w:tab w:leader="none" w:pos="764"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COMMERCIALIZATION.</w:t>
      </w:r>
    </w:p>
    <w:p>
      <w:pPr>
        <w:spacing w:after="0" w:line="130" w:lineRule="exact"/>
        <w:rPr>
          <w:rFonts w:ascii="Times New Roman" w:cs="Times New Roman" w:eastAsia="Times New Roman" w:hAnsi="Times New Roman"/>
          <w:sz w:val="18"/>
          <w:szCs w:val="18"/>
          <w:b w:val="1"/>
          <w:bCs w:val="1"/>
          <w:color w:val="auto"/>
        </w:rPr>
      </w:pPr>
    </w:p>
    <w:p>
      <w:pPr>
        <w:ind w:left="76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7"/>
          <w:szCs w:val="17"/>
          <w:b w:val="1"/>
          <w:bCs w:val="1"/>
          <w:color w:val="auto"/>
        </w:rPr>
        <w:t>General.</w:t>
      </w:r>
    </w:p>
    <w:p>
      <w:pPr>
        <w:spacing w:after="0" w:line="131" w:lineRule="exact"/>
        <w:rPr>
          <w:sz w:val="20"/>
          <w:szCs w:val="20"/>
          <w:color w:val="auto"/>
        </w:rPr>
      </w:pPr>
    </w:p>
    <w:p>
      <w:pPr>
        <w:ind w:left="2204" w:right="60" w:hanging="768"/>
        <w:spacing w:after="0" w:line="256"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6.1.1</w:t>
      </w:r>
      <w:r>
        <w:rPr>
          <w:sz w:val="20"/>
          <w:szCs w:val="20"/>
          <w:color w:val="auto"/>
        </w:rPr>
        <w:tab/>
      </w:r>
      <w:r>
        <w:rPr>
          <w:rFonts w:ascii="Times New Roman" w:cs="Times New Roman" w:eastAsia="Times New Roman" w:hAnsi="Times New Roman"/>
          <w:sz w:val="18"/>
          <w:szCs w:val="18"/>
          <w:b w:val="1"/>
          <w:bCs w:val="1"/>
          <w:color w:val="auto"/>
        </w:rPr>
        <w:t xml:space="preserve">U.S. and Japan. </w:t>
      </w:r>
      <w:r>
        <w:rPr>
          <w:rFonts w:ascii="Times New Roman" w:cs="Times New Roman" w:eastAsia="Times New Roman" w:hAnsi="Times New Roman"/>
          <w:sz w:val="18"/>
          <w:szCs w:val="18"/>
          <w:color w:val="auto"/>
        </w:rPr>
        <w:t>Subject to [***], Licensee shall have sole responsibility for [***], and the sole authority over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of, the Commercialization of Compounds and Products in the Field in the U.S. and Brepo Compounds and Brepo Products in the Field in Japan. Licensee shall have the sole right to invoice and book sales, establish all terms of sale (including pricing and discounts) and warehousing, and distribute the Products in the U.S. and the Brepo Products in Japan and to perform or cause to be performed all related services. Licensee shall handle all returns, recalls, or withdrawals, order processing, invoicing, collection, distribution, and inventory management with respect to the Products in the U.S. and Brepo Products in Japan.</w:t>
      </w:r>
    </w:p>
    <w:p>
      <w:pPr>
        <w:spacing w:after="0" w:line="88" w:lineRule="exact"/>
        <w:rPr>
          <w:sz w:val="20"/>
          <w:szCs w:val="20"/>
          <w:color w:val="auto"/>
        </w:rPr>
      </w:pPr>
    </w:p>
    <w:p>
      <w:pPr>
        <w:ind w:left="2204" w:right="140" w:hanging="768"/>
        <w:spacing w:after="0" w:line="256"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6.1.2</w:t>
      </w:r>
      <w:r>
        <w:rPr>
          <w:sz w:val="20"/>
          <w:szCs w:val="20"/>
          <w:color w:val="auto"/>
        </w:rPr>
        <w:tab/>
      </w:r>
      <w:r>
        <w:rPr>
          <w:rFonts w:ascii="Times New Roman" w:cs="Times New Roman" w:eastAsia="Times New Roman" w:hAnsi="Times New Roman"/>
          <w:sz w:val="18"/>
          <w:szCs w:val="18"/>
          <w:b w:val="1"/>
          <w:bCs w:val="1"/>
          <w:color w:val="auto"/>
        </w:rPr>
        <w:t>ROW</w:t>
      </w:r>
      <w:r>
        <w:rPr>
          <w:rFonts w:ascii="Times New Roman" w:cs="Times New Roman" w:eastAsia="Times New Roman" w:hAnsi="Times New Roman"/>
          <w:sz w:val="18"/>
          <w:szCs w:val="18"/>
          <w:color w:val="auto"/>
        </w:rPr>
        <w:t>. As between the Parties, Pfizer shall have sole responsibility for [***], and the sole authority over and control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Commercialization of Compounds and Products in the Field in the ROW and TYK2 Compounds and Other Products in the Field in Japan. Pfizer shall have the sole right to invoice and book sales, establish all terms of sale (including pricing and discounts) and warehousing, and distribute the Products in the ROW and the Other Products in Japan and to perform or cause to be performed all related services. Pfizer shall handle all returns, recalls, or withdrawals, order processing, invoicing, collection, distribution, and inventory management with respect to the Products in the ROW and the Other Products in Japan.</w:t>
      </w:r>
    </w:p>
    <w:p>
      <w:pPr>
        <w:spacing w:after="0" w:line="88"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Diligence.</w:t>
      </w:r>
    </w:p>
    <w:p>
      <w:pPr>
        <w:spacing w:after="0" w:line="131" w:lineRule="exact"/>
        <w:rPr>
          <w:sz w:val="20"/>
          <w:szCs w:val="20"/>
          <w:color w:val="auto"/>
        </w:rPr>
      </w:pPr>
    </w:p>
    <w:p>
      <w:pPr>
        <w:ind w:left="2204" w:right="700" w:hanging="768"/>
        <w:spacing w:after="0" w:line="286"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6.2.1</w:t>
      </w:r>
      <w:r>
        <w:rPr>
          <w:sz w:val="20"/>
          <w:szCs w:val="20"/>
          <w:color w:val="auto"/>
        </w:rPr>
        <w:tab/>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Licensee shall itself, or through its Affiliates or sublicensees, use Commercially Reasonable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w:t>
      </w:r>
    </w:p>
    <w:p>
      <w:pPr>
        <w:spacing w:after="0" w:line="60" w:lineRule="exact"/>
        <w:rPr>
          <w:sz w:val="20"/>
          <w:szCs w:val="20"/>
          <w:color w:val="auto"/>
        </w:rPr>
      </w:pPr>
    </w:p>
    <w:p>
      <w:pPr>
        <w:ind w:left="2204" w:right="1120" w:hanging="768"/>
        <w:spacing w:after="0" w:line="286"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6.2.2</w:t>
      </w:r>
      <w:r>
        <w:rPr>
          <w:sz w:val="20"/>
          <w:szCs w:val="20"/>
          <w:color w:val="auto"/>
        </w:rPr>
        <w:tab/>
      </w:r>
      <w:r>
        <w:rPr>
          <w:rFonts w:ascii="Times New Roman" w:cs="Times New Roman" w:eastAsia="Times New Roman" w:hAnsi="Times New Roman"/>
          <w:sz w:val="18"/>
          <w:szCs w:val="18"/>
          <w:b w:val="1"/>
          <w:bCs w:val="1"/>
          <w:color w:val="auto"/>
        </w:rPr>
        <w:t>Pfizer</w:t>
      </w:r>
      <w:r>
        <w:rPr>
          <w:rFonts w:ascii="Times New Roman" w:cs="Times New Roman" w:eastAsia="Times New Roman" w:hAnsi="Times New Roman"/>
          <w:sz w:val="18"/>
          <w:szCs w:val="18"/>
          <w:color w:val="auto"/>
        </w:rPr>
        <w:t>. Pfizer shall itself, or through its Affiliates or sublicensees, use Commercially Reasonable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w:t>
      </w:r>
    </w:p>
    <w:p>
      <w:pPr>
        <w:spacing w:after="0" w:line="60"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7"/>
          <w:szCs w:val="17"/>
          <w:b w:val="1"/>
          <w:bCs w:val="1"/>
          <w:color w:val="auto"/>
        </w:rPr>
        <w:t>Territory Integrity.</w:t>
      </w:r>
    </w:p>
    <w:p>
      <w:pPr>
        <w:spacing w:after="0" w:line="131" w:lineRule="exact"/>
        <w:rPr>
          <w:sz w:val="20"/>
          <w:szCs w:val="20"/>
          <w:color w:val="auto"/>
        </w:rPr>
      </w:pPr>
    </w:p>
    <w:p>
      <w:pPr>
        <w:ind w:left="2204" w:hanging="768"/>
        <w:spacing w:after="0" w:line="261"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6.5.1</w:t>
      </w:r>
      <w:r>
        <w:rPr>
          <w:sz w:val="20"/>
          <w:szCs w:val="20"/>
          <w:color w:val="auto"/>
        </w:rPr>
        <w:tab/>
      </w:r>
      <w:r>
        <w:rPr>
          <w:rFonts w:ascii="Times New Roman" w:cs="Times New Roman" w:eastAsia="Times New Roman" w:hAnsi="Times New Roman"/>
          <w:sz w:val="18"/>
          <w:szCs w:val="18"/>
          <w:color w:val="auto"/>
        </w:rPr>
        <w:t xml:space="preserve">Subject to its rights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Pfizer hereby covenants and agrees that during the Term it shall not (and shall cause its Affiliates not to), either itself or through a Third Party, Commercialize any (i) Products for use in the Field in the United States or (ii) Brepo Products for use in the Field in Japan. Without limiting the generality of the foregoing, Pfizer shall not (a) engage in any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65" w:right="459" w:bottom="1440" w:gutter="0" w:footer="0" w:header="0"/>
        </w:sectPr>
      </w:pPr>
    </w:p>
    <w:bookmarkStart w:id="531" w:name="page532"/>
    <w:bookmarkEnd w:id="531"/>
    <w:p>
      <w:pPr>
        <w:ind w:left="12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advertising activities relating to (i) Products for use in the Field directed primarily to customers located in the United States or (ii) Brepo Products for use in the Field directed primarily to customers located in Japan or (b) actively or intentionally solicit orders from any prospective purchaser of a (i) Product for use in the Field located in the United States or (ii) Brepo Product for use in the Field located in Japan. To the extent permitted by Applicable Law, if Pfizer receives any order from a prospective purchaser for a (i) Product in the Field located in the United States or (ii) Brepo Product in the Field located in Japan, Pfizer shall promptly refer that order to Licensee and shall not accept any such order or deliver or tender (or cause to be delivered or tendered) the Product under such order. If Pfizer should reasonably know that its customer or distributor is actively engaged itself or through a Third Party in the sale or distribution of any Product inside the United States in the Field, then Pfizer shall (i) within [***] of becoming aware of such activities, notify Licensee regarding such activities and provide all information reasonably available to Pfizer that Licensee may reasonably request concerning such activities and (ii) use Commercially Reasonable Efforts (including cessation of sales to such customer) necessary to limit such sale or distribution inside the United States in the Field, unless otherwise agreed in writing by the Parties.</w:t>
      </w:r>
    </w:p>
    <w:p>
      <w:pPr>
        <w:spacing w:after="0" w:line="89" w:lineRule="exact"/>
        <w:rPr>
          <w:sz w:val="20"/>
          <w:szCs w:val="20"/>
          <w:color w:val="auto"/>
        </w:rPr>
      </w:pPr>
    </w:p>
    <w:p>
      <w:pPr>
        <w:ind w:left="1200" w:right="40" w:hanging="768"/>
        <w:spacing w:after="0" w:line="267"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6.5.2</w:t>
      </w:r>
      <w:r>
        <w:rPr>
          <w:sz w:val="20"/>
          <w:szCs w:val="20"/>
          <w:color w:val="auto"/>
        </w:rPr>
        <w:tab/>
      </w:r>
      <w:r>
        <w:rPr>
          <w:rFonts w:ascii="Times New Roman" w:cs="Times New Roman" w:eastAsia="Times New Roman" w:hAnsi="Times New Roman"/>
          <w:sz w:val="17"/>
          <w:szCs w:val="17"/>
          <w:color w:val="auto"/>
        </w:rPr>
        <w:t>Licensee hereby covenants and agrees that during the Term it shall not (and shall cause its Affiliates not to), either itself or through a Third Party, Commercialize any (i) Products for use in the Field in the ROW or (ii) Other Products for use in the Field in Japan. Without limiting the generality of the foregoing, with respect to countries within the ROW and Japan, Licensee shall not (a) engage in any advertising activities relating to (i) Products for use in the Field directed primarily to customers located in such countries within the ROW or (ii) Other Products for use in the Field directed primarily to customers located in Japan or (b) actively or intentionally solicit orders from any prospective purchaser of a (i) Product for use in the Field located in such countries within the ROW or (ii) Other Product for use in the Field located in Japan. To the extent permitted by Applicable Laws, if Licensee receives any order from a prospective purchaser for a (i) Product in the Field located in a country inside of the ROW or (ii) Other Product in the Field located in Japan, Licensee shall promptly refer that order to Pfizer and shall not accept any such order or deliver or tender (or cause to be delivered or tendered) the Product under such order. If Licensee should reasonably know that its customer or distributor is actively engaged itself or through a Third Party in the sale or distribution of any (i) Product inside the ROW in the Field or</w:t>
      </w:r>
    </w:p>
    <w:p>
      <w:pPr>
        <w:spacing w:after="0" w:line="5" w:lineRule="exact"/>
        <w:rPr>
          <w:sz w:val="20"/>
          <w:szCs w:val="20"/>
          <w:color w:val="auto"/>
        </w:rPr>
      </w:pPr>
    </w:p>
    <w:p>
      <w:pPr>
        <w:ind w:left="1200" w:right="100" w:hanging="4"/>
        <w:spacing w:after="0" w:line="253" w:lineRule="auto"/>
        <w:tabs>
          <w:tab w:leader="none" w:pos="146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 inside Japan in the Field, then Licensee shall (i) within [***] of becoming aware of such activities, notify Pfizer regarding such activities and provide all information reasonably available to Licensee that Pfizer may reasonably request concerning such activities and (ii) use Commercially Reasonable Efforts (including cessation of sales to such customer) necessary to limit such sale or distribution inside the ROW in the Field, unless otherwise agreed in writing by the Parties.</w:t>
      </w:r>
    </w:p>
    <w:p>
      <w:pPr>
        <w:spacing w:after="0" w:line="1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980"/>
          </w:cols>
          <w:pgMar w:left="1440" w:top="269" w:right="479" w:bottom="1440" w:gutter="0" w:footer="0" w:header="0"/>
        </w:sectPr>
      </w:pPr>
    </w:p>
    <w:bookmarkStart w:id="532" w:name="page533"/>
    <w:bookmarkEnd w:id="532"/>
    <w:p>
      <w:pPr>
        <w:ind w:left="76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6.6</w:t>
      </w:r>
      <w:r>
        <w:rPr>
          <w:sz w:val="20"/>
          <w:szCs w:val="20"/>
          <w:color w:val="auto"/>
        </w:rPr>
        <w:tab/>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p>
      <w:pPr>
        <w:ind w:left="1424" w:right="600" w:hanging="647"/>
        <w:spacing w:after="0" w:line="286"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Each Party shall, and shall cause its Affiliates, to comply with all Applicable Laws, Anti-Corruption Laws,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Laws with respect to the Commercialization of the Products.</w:t>
      </w:r>
    </w:p>
    <w:p>
      <w:pPr>
        <w:spacing w:after="0" w:line="60" w:lineRule="exact"/>
        <w:rPr>
          <w:sz w:val="20"/>
          <w:szCs w:val="20"/>
          <w:color w:val="auto"/>
        </w:rPr>
      </w:pPr>
    </w:p>
    <w:p>
      <w:pPr>
        <w:ind w:left="764" w:hanging="764"/>
        <w:spacing w:after="0"/>
        <w:tabs>
          <w:tab w:leader="none" w:pos="764" w:val="left"/>
        </w:tabs>
        <w:numPr>
          <w:ilvl w:val="0"/>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TERMS.</w:t>
      </w:r>
    </w:p>
    <w:p>
      <w:pPr>
        <w:spacing w:after="0" w:line="130" w:lineRule="exact"/>
        <w:rPr>
          <w:rFonts w:ascii="Times New Roman" w:cs="Times New Roman" w:eastAsia="Times New Roman" w:hAnsi="Times New Roman"/>
          <w:sz w:val="18"/>
          <w:szCs w:val="18"/>
          <w:b w:val="1"/>
          <w:bCs w:val="1"/>
          <w:color w:val="auto"/>
        </w:rPr>
      </w:pPr>
    </w:p>
    <w:p>
      <w:pPr>
        <w:ind w:left="1424" w:right="120" w:hanging="648"/>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7.1Inventory Payment</w:t>
      </w:r>
      <w:r>
        <w:rPr>
          <w:rFonts w:ascii="Times New Roman" w:cs="Times New Roman" w:eastAsia="Times New Roman" w:hAnsi="Times New Roman"/>
          <w:sz w:val="18"/>
          <w:szCs w:val="18"/>
          <w:color w:val="auto"/>
        </w:rPr>
        <w:t>. In consideration of the inventory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Licensee shall pay to Pfizer a one-time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non-refundable and non-creditable payment of $10,000,000 (the “</w:t>
      </w:r>
      <w:r>
        <w:rPr>
          <w:rFonts w:ascii="Times New Roman" w:cs="Times New Roman" w:eastAsia="Times New Roman" w:hAnsi="Times New Roman"/>
          <w:sz w:val="18"/>
          <w:szCs w:val="18"/>
          <w:b w:val="1"/>
          <w:bCs w:val="1"/>
          <w:color w:val="auto"/>
        </w:rPr>
        <w:t>Inventory Payment</w:t>
      </w:r>
      <w:r>
        <w:rPr>
          <w:rFonts w:ascii="Times New Roman" w:cs="Times New Roman" w:eastAsia="Times New Roman" w:hAnsi="Times New Roman"/>
          <w:sz w:val="18"/>
          <w:szCs w:val="18"/>
          <w:color w:val="auto"/>
        </w:rPr>
        <w:t xml:space="preserve">”) within [***] of the Effective Date. The inventory set forth on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shall be transferred to Licensee as soon as reasonably practicable, and in any event within [***] from the Effective Date, and the Parties shall negotiate in good faith and execute a quality agreement with respect to such inventory prior to such transfer, and in any event within [***] from the Effective Date.</w:t>
      </w:r>
    </w:p>
    <w:p>
      <w:pPr>
        <w:spacing w:after="0" w:line="84" w:lineRule="exact"/>
        <w:rPr>
          <w:rFonts w:ascii="Times New Roman" w:cs="Times New Roman" w:eastAsia="Times New Roman" w:hAnsi="Times New Roman"/>
          <w:sz w:val="18"/>
          <w:szCs w:val="18"/>
          <w:b w:val="1"/>
          <w:bCs w:val="1"/>
          <w:color w:val="auto"/>
        </w:rPr>
      </w:pPr>
    </w:p>
    <w:p>
      <w:pPr>
        <w:ind w:left="76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7"/>
          <w:szCs w:val="17"/>
          <w:b w:val="1"/>
          <w:bCs w:val="1"/>
          <w:color w:val="auto"/>
        </w:rPr>
        <w:t>Sales Milestone Payments.</w:t>
      </w:r>
    </w:p>
    <w:p>
      <w:pPr>
        <w:spacing w:after="0" w:line="131" w:lineRule="exact"/>
        <w:rPr>
          <w:sz w:val="20"/>
          <w:szCs w:val="20"/>
          <w:color w:val="auto"/>
        </w:rPr>
      </w:pPr>
    </w:p>
    <w:p>
      <w:pPr>
        <w:ind w:left="2204" w:right="400" w:hanging="768"/>
        <w:spacing w:after="0" w:line="268"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7.2.1</w:t>
      </w:r>
      <w:r>
        <w:rPr>
          <w:sz w:val="20"/>
          <w:szCs w:val="20"/>
          <w:color w:val="auto"/>
        </w:rPr>
        <w:tab/>
      </w:r>
      <w:r>
        <w:rPr>
          <w:rFonts w:ascii="Times New Roman" w:cs="Times New Roman" w:eastAsia="Times New Roman" w:hAnsi="Times New Roman"/>
          <w:sz w:val="18"/>
          <w:szCs w:val="18"/>
          <w:b w:val="1"/>
          <w:bCs w:val="1"/>
          <w:color w:val="auto"/>
        </w:rPr>
        <w:t xml:space="preserve">U.S. </w:t>
      </w:r>
      <w:r>
        <w:rPr>
          <w:rFonts w:ascii="Times New Roman" w:cs="Times New Roman" w:eastAsia="Times New Roman" w:hAnsi="Times New Roman"/>
          <w:sz w:val="18"/>
          <w:szCs w:val="18"/>
          <w:color w:val="auto"/>
        </w:rPr>
        <w:t>Licensee shall pay to Pfizer the following one-time non-creditable, non-refundable payment when the milestone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indicated below is achieved (such event, the “</w:t>
      </w:r>
      <w:r>
        <w:rPr>
          <w:rFonts w:ascii="Times New Roman" w:cs="Times New Roman" w:eastAsia="Times New Roman" w:hAnsi="Times New Roman"/>
          <w:sz w:val="18"/>
          <w:szCs w:val="18"/>
          <w:b w:val="1"/>
          <w:bCs w:val="1"/>
          <w:color w:val="auto"/>
        </w:rPr>
        <w:t>U.S. Sales Milestone</w:t>
      </w:r>
      <w:r>
        <w:rPr>
          <w:rFonts w:ascii="Times New Roman" w:cs="Times New Roman" w:eastAsia="Times New Roman" w:hAnsi="Times New Roman"/>
          <w:sz w:val="18"/>
          <w:szCs w:val="18"/>
          <w:color w:val="auto"/>
        </w:rPr>
        <w:t>” and such payment, the “</w:t>
      </w:r>
      <w:r>
        <w:rPr>
          <w:rFonts w:ascii="Times New Roman" w:cs="Times New Roman" w:eastAsia="Times New Roman" w:hAnsi="Times New Roman"/>
          <w:sz w:val="18"/>
          <w:szCs w:val="18"/>
          <w:b w:val="1"/>
          <w:bCs w:val="1"/>
          <w:color w:val="auto"/>
        </w:rPr>
        <w:t>U.S. Sales Milestone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w:t>
      </w:r>
    </w:p>
    <w:p>
      <w:pPr>
        <w:spacing w:after="0" w:line="195"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U.S. SALES MILESTONE</w:t>
            </w: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 SALES MILESTONE PAYMENT</w:t>
            </w:r>
          </w:p>
        </w:tc>
      </w:tr>
      <w:tr>
        <w:trPr>
          <w:trHeight w:val="221"/>
        </w:trPr>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Pr>
          <w:p>
            <w:pPr>
              <w:spacing w:after="0"/>
              <w:rPr>
                <w:sz w:val="19"/>
                <w:szCs w:val="19"/>
                <w:color w:val="auto"/>
              </w:rPr>
            </w:pPr>
          </w:p>
        </w:tc>
        <w:tc>
          <w:tcPr>
            <w:tcW w:w="5280" w:type="dxa"/>
            <w:vAlign w:val="bottom"/>
            <w:tcBorders>
              <w:top w:val="single" w:sz="8" w:color="auto"/>
            </w:tcBorders>
          </w:tcPr>
          <w:p>
            <w:pPr>
              <w:jc w:val="right"/>
              <w:ind w:right="2379"/>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5740" w:type="dxa"/>
            <w:vAlign w:val="bottom"/>
            <w:gridSpan w:val="2"/>
          </w:tcPr>
          <w:p>
            <w:pPr>
              <w:jc w:val="right"/>
              <w:ind w:right="392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4"/>
                <w:szCs w:val="24"/>
                <w:color w:val="auto"/>
              </w:rPr>
            </w:pPr>
          </w:p>
        </w:tc>
      </w:tr>
    </w:tbl>
    <w:p>
      <w:pPr>
        <w:spacing w:after="0" w:line="90" w:lineRule="exact"/>
        <w:rPr>
          <w:sz w:val="20"/>
          <w:szCs w:val="20"/>
          <w:color w:val="auto"/>
        </w:rPr>
      </w:pPr>
    </w:p>
    <w:p>
      <w:pPr>
        <w:ind w:left="1424" w:right="80"/>
        <w:spacing w:after="0" w:line="254" w:lineRule="auto"/>
        <w:rPr>
          <w:sz w:val="20"/>
          <w:szCs w:val="20"/>
          <w:color w:val="auto"/>
        </w:rPr>
      </w:pPr>
      <w:r>
        <w:rPr>
          <w:rFonts w:ascii="Times New Roman" w:cs="Times New Roman" w:eastAsia="Times New Roman" w:hAnsi="Times New Roman"/>
          <w:sz w:val="18"/>
          <w:szCs w:val="18"/>
          <w:color w:val="auto"/>
        </w:rPr>
        <w:t xml:space="preserve">Licensee shall notify Pfizer, via email notification to the Alliance Manger, [***] and to a finance contact provided by Pfizer, of the achievement of the U.S. Sales Milestone Payment within [***] after the end of the applicable Licensee Quarter in which the U.S. Sales Milestone is achieved, following which Pfizer shall provide a written acknowledgement (which may be via email notification) of Licensee’s notice and changes to Pfizer’s bank account information, if any. Licensee shall pay to Pfizer the U.S. Sales Milestone Payment within [***] following receipt of Pfizer’s written acknowledgement. For the avoidance of doubt: (i) the U.S. Sales Milestone Payment shall be payable only once upon first achievement of the U.S. Sales Milestone; and (ii) satisfaction of the U.S. Sales Milestone by a sublicensee or assignee of, or Third Party retained by, Licensee or its Affiliates shall be deemed to have been satisfied by Licensee for purposes of this </w:t>
      </w:r>
      <w:r>
        <w:rPr>
          <w:rFonts w:ascii="Times New Roman" w:cs="Times New Roman" w:eastAsia="Times New Roman" w:hAnsi="Times New Roman"/>
          <w:sz w:val="18"/>
          <w:szCs w:val="18"/>
          <w:u w:val="single" w:color="auto"/>
          <w:color w:val="auto"/>
        </w:rPr>
        <w:t>Section 7.2.1</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65" w:right="439" w:bottom="1440" w:gutter="0" w:footer="0" w:header="0"/>
        </w:sectPr>
      </w:pPr>
    </w:p>
    <w:bookmarkStart w:id="533" w:name="page534"/>
    <w:bookmarkEnd w:id="533"/>
    <w:tbl>
      <w:tblPr>
        <w:tblLayout w:type="fixed"/>
        <w:tblInd w:w="0" w:type="dxa"/>
        <w:tblCellMar>
          <w:top w:w="0" w:type="dxa"/>
          <w:left w:w="0" w:type="dxa"/>
          <w:bottom w:w="0" w:type="dxa"/>
          <w:right w:w="0" w:type="dxa"/>
        </w:tblCellMar>
      </w:tblPr>
      <w:tr>
        <w:trPr>
          <w:trHeight w:val="216"/>
        </w:trPr>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7.2.2</w:t>
            </w:r>
          </w:p>
        </w:tc>
        <w:tc>
          <w:tcPr>
            <w:tcW w:w="9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ROW</w:t>
            </w:r>
            <w:r>
              <w:rPr>
                <w:rFonts w:ascii="Times New Roman" w:cs="Times New Roman" w:eastAsia="Times New Roman" w:hAnsi="Times New Roman"/>
                <w:sz w:val="18"/>
                <w:szCs w:val="18"/>
                <w:color w:val="auto"/>
              </w:rPr>
              <w:t>. Pfizer shall pay to Licensee the following one-time non-creditable, non-refundable payment when the milestone</w:t>
            </w:r>
          </w:p>
        </w:tc>
      </w:tr>
      <w:tr>
        <w:trPr>
          <w:trHeight w:val="216"/>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indicated below is achieved (such event, the “</w:t>
            </w:r>
            <w:r>
              <w:rPr>
                <w:rFonts w:ascii="Times New Roman" w:cs="Times New Roman" w:eastAsia="Times New Roman" w:hAnsi="Times New Roman"/>
                <w:sz w:val="18"/>
                <w:szCs w:val="18"/>
                <w:b w:val="1"/>
                <w:bCs w:val="1"/>
                <w:color w:val="auto"/>
              </w:rPr>
              <w:t>ROW Sales Milestone</w:t>
            </w:r>
            <w:r>
              <w:rPr>
                <w:rFonts w:ascii="Times New Roman" w:cs="Times New Roman" w:eastAsia="Times New Roman" w:hAnsi="Times New Roman"/>
                <w:sz w:val="18"/>
                <w:szCs w:val="18"/>
                <w:color w:val="auto"/>
              </w:rPr>
              <w:t>” and such payment, the “</w:t>
            </w:r>
            <w:r>
              <w:rPr>
                <w:rFonts w:ascii="Times New Roman" w:cs="Times New Roman" w:eastAsia="Times New Roman" w:hAnsi="Times New Roman"/>
                <w:sz w:val="18"/>
                <w:szCs w:val="18"/>
                <w:b w:val="1"/>
                <w:bCs w:val="1"/>
                <w:color w:val="auto"/>
              </w:rPr>
              <w:t>ROW Sales Milestone</w:t>
            </w:r>
          </w:p>
        </w:tc>
      </w:tr>
      <w:tr>
        <w:trPr>
          <w:trHeight w:val="238"/>
        </w:trPr>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w:t>
            </w:r>
          </w:p>
        </w:tc>
      </w:tr>
      <w:tr>
        <w:trPr>
          <w:trHeight w:val="41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ROW SALES MILESTONE</w:t>
            </w:r>
          </w:p>
        </w:tc>
        <w:tc>
          <w:tcPr>
            <w:tcW w:w="37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ROW SALES MILESTONE PAYMENT</w:t>
            </w:r>
          </w:p>
        </w:tc>
      </w:tr>
      <w:tr>
        <w:trPr>
          <w:trHeight w:val="221"/>
        </w:trPr>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280" w:type="dxa"/>
            <w:vAlign w:val="bottom"/>
            <w:tcBorders>
              <w:top w:val="single" w:sz="8" w:color="auto"/>
            </w:tcBorders>
          </w:tcPr>
          <w:p>
            <w:pPr>
              <w:jc w:val="right"/>
              <w:ind w:right="2379"/>
              <w:spacing w:after="0"/>
              <w:rPr>
                <w:sz w:val="20"/>
                <w:szCs w:val="20"/>
                <w:color w:val="auto"/>
              </w:rPr>
            </w:pPr>
            <w:r>
              <w:rPr>
                <w:rFonts w:ascii="Times New Roman" w:cs="Times New Roman" w:eastAsia="Times New Roman" w:hAnsi="Times New Roman"/>
                <w:sz w:val="18"/>
                <w:szCs w:val="18"/>
                <w:color w:val="auto"/>
              </w:rPr>
              <w:t>[***]</w:t>
            </w:r>
          </w:p>
        </w:tc>
      </w:tr>
    </w:tbl>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420" w:right="20"/>
        <w:spacing w:after="0" w:line="255" w:lineRule="auto"/>
        <w:rPr>
          <w:sz w:val="20"/>
          <w:szCs w:val="20"/>
          <w:color w:val="auto"/>
        </w:rPr>
      </w:pPr>
      <w:r>
        <w:rPr>
          <w:rFonts w:ascii="Times New Roman" w:cs="Times New Roman" w:eastAsia="Times New Roman" w:hAnsi="Times New Roman"/>
          <w:sz w:val="18"/>
          <w:szCs w:val="18"/>
          <w:color w:val="auto"/>
        </w:rPr>
        <w:t>Pfizer shall pay to Licensee the ROW Sales Milestone Payment within [***] after the end of the applicable Pfizer Quarter in which the ROW Sales Milestone is achieved. For the avoidance of doubt: (i) the ROW Sales Milestone Payment shall be payable only once upon first achievement of the ROW Sales Milestone; and (ii) satisfaction of the ROW Sales Milestone by a sublicensee or assignee of, or Third Party retained by, Pfizer or its Affiliates shall be deemed to have been satisfied by Pfizer for purposes of this</w:t>
      </w:r>
    </w:p>
    <w:p>
      <w:pPr>
        <w:spacing w:after="0" w:line="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Royalty Payments.</w:t>
      </w:r>
    </w:p>
    <w:p>
      <w:pPr>
        <w:spacing w:after="0" w:line="131" w:lineRule="exact"/>
        <w:rPr>
          <w:sz w:val="20"/>
          <w:szCs w:val="20"/>
          <w:color w:val="auto"/>
        </w:rPr>
      </w:pPr>
    </w:p>
    <w:p>
      <w:pPr>
        <w:ind w:left="2200" w:right="40" w:hanging="768"/>
        <w:spacing w:after="0" w:line="263" w:lineRule="auto"/>
        <w:tabs>
          <w:tab w:leader="none" w:pos="2180" w:val="left"/>
        </w:tabs>
        <w:rPr>
          <w:sz w:val="20"/>
          <w:szCs w:val="20"/>
          <w:color w:val="auto"/>
        </w:rPr>
      </w:pPr>
      <w:r>
        <w:rPr>
          <w:rFonts w:ascii="Times New Roman" w:cs="Times New Roman" w:eastAsia="Times New Roman" w:hAnsi="Times New Roman"/>
          <w:sz w:val="18"/>
          <w:szCs w:val="18"/>
          <w:b w:val="1"/>
          <w:bCs w:val="1"/>
          <w:color w:val="auto"/>
        </w:rPr>
        <w:t>7.3.1</w:t>
      </w:r>
      <w:r>
        <w:rPr>
          <w:sz w:val="20"/>
          <w:szCs w:val="20"/>
          <w:color w:val="auto"/>
        </w:rPr>
        <w:tab/>
      </w:r>
      <w:r>
        <w:rPr>
          <w:rFonts w:ascii="Times New Roman" w:cs="Times New Roman" w:eastAsia="Times New Roman" w:hAnsi="Times New Roman"/>
          <w:sz w:val="18"/>
          <w:szCs w:val="18"/>
          <w:b w:val="1"/>
          <w:bCs w:val="1"/>
          <w:color w:val="auto"/>
        </w:rPr>
        <w:t xml:space="preserve">Licensee. </w:t>
      </w:r>
      <w:r>
        <w:rPr>
          <w:rFonts w:ascii="Times New Roman" w:cs="Times New Roman" w:eastAsia="Times New Roman" w:hAnsi="Times New Roman"/>
          <w:sz w:val="18"/>
          <w:szCs w:val="18"/>
          <w:color w:val="auto"/>
        </w:rPr>
        <w:t>Licensee shall pay to Pfizer non-refundable, non-creditable royalties in the amount of the marginal royalty 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below) (“</w:t>
      </w:r>
      <w:r>
        <w:rPr>
          <w:rFonts w:ascii="Times New Roman" w:cs="Times New Roman" w:eastAsia="Times New Roman" w:hAnsi="Times New Roman"/>
          <w:sz w:val="18"/>
          <w:szCs w:val="18"/>
          <w:b w:val="1"/>
          <w:bCs w:val="1"/>
          <w:color w:val="auto"/>
        </w:rPr>
        <w:t>Licensee Marginal Royalty Rates</w:t>
      </w:r>
      <w:r>
        <w:rPr>
          <w:rFonts w:ascii="Times New Roman" w:cs="Times New Roman" w:eastAsia="Times New Roman" w:hAnsi="Times New Roman"/>
          <w:sz w:val="18"/>
          <w:szCs w:val="18"/>
          <w:color w:val="auto"/>
        </w:rPr>
        <w:t>”) on the aggregate Net Sales resulting from the sale of</w:t>
      </w:r>
    </w:p>
    <w:p>
      <w:pPr>
        <w:spacing w:after="0" w:line="1" w:lineRule="exact"/>
        <w:rPr>
          <w:sz w:val="20"/>
          <w:szCs w:val="20"/>
          <w:color w:val="auto"/>
        </w:rPr>
      </w:pPr>
    </w:p>
    <w:p>
      <w:pPr>
        <w:ind w:left="2200" w:right="300" w:hanging="4"/>
        <w:spacing w:after="0" w:line="260" w:lineRule="auto"/>
        <w:tabs>
          <w:tab w:leader="none" w:pos="241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on a Product-by-Product basis, in the U.S. and (ii) Brepo Products, on a Brepo Product-by-Brepo Product basis, in Japan, during each Licensee Year (collectively, “</w:t>
      </w:r>
      <w:r>
        <w:rPr>
          <w:rFonts w:ascii="Times New Roman" w:cs="Times New Roman" w:eastAsia="Times New Roman" w:hAnsi="Times New Roman"/>
          <w:sz w:val="18"/>
          <w:szCs w:val="18"/>
          <w:b w:val="1"/>
          <w:bCs w:val="1"/>
          <w:color w:val="auto"/>
        </w:rPr>
        <w:t>Licensee Royalties</w:t>
      </w:r>
      <w:r>
        <w:rPr>
          <w:rFonts w:ascii="Times New Roman" w:cs="Times New Roman" w:eastAsia="Times New Roman" w:hAnsi="Times New Roman"/>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 AND JAPAN NET SALES</w:t>
            </w:r>
          </w:p>
        </w:tc>
        <w:tc>
          <w:tcPr>
            <w:tcW w:w="38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LICENSEE MARGINAL ROYALTY RATE</w:t>
            </w:r>
          </w:p>
        </w:tc>
      </w:tr>
      <w:tr>
        <w:trPr>
          <w:trHeight w:val="185"/>
        </w:trPr>
        <w:tc>
          <w:tcPr>
            <w:tcW w:w="19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spacing w:after="0"/>
              <w:rPr>
                <w:sz w:val="16"/>
                <w:szCs w:val="16"/>
                <w:color w:val="auto"/>
              </w:rPr>
            </w:pPr>
          </w:p>
        </w:tc>
        <w:tc>
          <w:tcPr>
            <w:tcW w:w="52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100" w:type="dxa"/>
            <w:vAlign w:val="bottom"/>
            <w:gridSpan w:val="2"/>
          </w:tcPr>
          <w:p>
            <w:pPr>
              <w:jc w:val="center"/>
              <w:ind w:left="3710"/>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100" w:type="dxa"/>
            <w:vAlign w:val="bottom"/>
            <w:gridSpan w:val="2"/>
          </w:tcPr>
          <w:p>
            <w:pPr>
              <w:jc w:val="center"/>
              <w:ind w:left="3710"/>
              <w:spacing w:after="0"/>
              <w:rPr>
                <w:sz w:val="20"/>
                <w:szCs w:val="20"/>
                <w:color w:val="auto"/>
              </w:rPr>
            </w:pPr>
            <w:r>
              <w:rPr>
                <w:rFonts w:ascii="Times New Roman" w:cs="Times New Roman" w:eastAsia="Times New Roman" w:hAnsi="Times New Roman"/>
                <w:sz w:val="18"/>
                <w:szCs w:val="18"/>
                <w:color w:val="auto"/>
                <w:w w:val="97"/>
              </w:rPr>
              <w:t>[***]</w:t>
            </w:r>
          </w:p>
        </w:tc>
      </w:tr>
      <w:tr>
        <w:trPr>
          <w:trHeight w:val="324"/>
        </w:trPr>
        <w:tc>
          <w:tcPr>
            <w:tcW w:w="1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90" w:lineRule="exact"/>
        <w:rPr>
          <w:sz w:val="20"/>
          <w:szCs w:val="20"/>
          <w:color w:val="auto"/>
        </w:rPr>
      </w:pPr>
    </w:p>
    <w:p>
      <w:pPr>
        <w:jc w:val="both"/>
        <w:ind w:left="1420" w:right="100"/>
        <w:spacing w:after="0" w:line="277" w:lineRule="auto"/>
        <w:rPr>
          <w:sz w:val="20"/>
          <w:szCs w:val="20"/>
          <w:color w:val="auto"/>
        </w:rPr>
      </w:pPr>
      <w:r>
        <w:rPr>
          <w:rFonts w:ascii="Times New Roman" w:cs="Times New Roman" w:eastAsia="Times New Roman" w:hAnsi="Times New Roman"/>
          <w:sz w:val="17"/>
          <w:szCs w:val="17"/>
          <w:color w:val="auto"/>
        </w:rPr>
        <w:t>Each Licensee Marginal Royalty Rate set forth in the table above shall apply only to that portion of the Net Sales of each Product in the U.S. and each Brepo Product in Japan during a given Licensee Year that falls within the indicated range. Within [***] following the expiration of each Licensee Quarter (or [***] if such Licensee Quarter is the last Licensee Quarter of a Licensee Year) after the date of the First Commercial Sale in the U.S., Licensee will provide Pfizer, via email notification to the Alliance Manger, [***] and to a finance contact provided by Pfizer, a report that includes reasonably detailed information regarding a total monthly sales</w:t>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65" w:right="439" w:bottom="1440" w:gutter="0" w:footer="0" w:header="0"/>
        </w:sectPr>
      </w:pPr>
    </w:p>
    <w:bookmarkStart w:id="534" w:name="page535"/>
    <w:bookmarkEnd w:id="534"/>
    <w:p>
      <w:pPr>
        <w:ind w:left="1420"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calculation of Net Sales of Product in the U.S., Net Sales of Brepo Product in Japan and all Licensee Royalties payable to Pfizer for the applicable Licensee Quarter, following which Pfizer shall provide a written acknowledgement (which may be via email notification) of Licensee’s report and changes to Pfizer’s bank account information, if any. Licensee shall pay to Pfizer the Licensee Royalties within [***] following receipt of Pfizer’s written acknowledgement. Licensee Royalties will be payable on a</w:t>
      </w:r>
    </w:p>
    <w:p>
      <w:pPr>
        <w:spacing w:after="0" w:line="3" w:lineRule="exact"/>
        <w:rPr>
          <w:sz w:val="20"/>
          <w:szCs w:val="20"/>
          <w:color w:val="auto"/>
        </w:rPr>
      </w:pPr>
    </w:p>
    <w:p>
      <w:pPr>
        <w:ind w:left="1420" w:firstLine="8"/>
        <w:spacing w:after="0" w:line="252" w:lineRule="auto"/>
        <w:tabs>
          <w:tab w:leader="none" w:pos="1635"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Product-by-Product basis during the Royalty Term for such Product until the expiration of the Royalty Term for such Product in the U.S. and (ii) Brepo Product-by-Brepo Product basis during the Royalty Term for such Product until the expiration of the Royalty Term for such Brepo Product in Japan. For purposes hereof, Net Sales during the Royalty Term for each Product in the U.S. and each Brepo Product in Japan include sales of such Products that occur after the expiration of the Royalty Term or termination of this Agreement where the Manufacture, use or other Exploitation of such Products was Covered by a Valid Claim of a Licensed Patent Right during the Royalty Term.</w:t>
      </w:r>
    </w:p>
    <w:p>
      <w:pPr>
        <w:spacing w:after="0" w:line="91" w:lineRule="exact"/>
        <w:rPr>
          <w:sz w:val="20"/>
          <w:szCs w:val="20"/>
          <w:color w:val="auto"/>
        </w:rPr>
      </w:pPr>
    </w:p>
    <w:p>
      <w:pPr>
        <w:ind w:left="2200" w:right="200" w:hanging="768"/>
        <w:spacing w:after="0" w:line="262" w:lineRule="auto"/>
        <w:tabs>
          <w:tab w:leader="none" w:pos="2180" w:val="left"/>
        </w:tabs>
        <w:rPr>
          <w:sz w:val="20"/>
          <w:szCs w:val="20"/>
          <w:color w:val="auto"/>
        </w:rPr>
      </w:pPr>
      <w:r>
        <w:rPr>
          <w:rFonts w:ascii="Times New Roman" w:cs="Times New Roman" w:eastAsia="Times New Roman" w:hAnsi="Times New Roman"/>
          <w:sz w:val="18"/>
          <w:szCs w:val="18"/>
          <w:b w:val="1"/>
          <w:bCs w:val="1"/>
          <w:color w:val="auto"/>
        </w:rPr>
        <w:t>7.3.2</w:t>
      </w:r>
      <w:r>
        <w:rPr>
          <w:sz w:val="20"/>
          <w:szCs w:val="20"/>
          <w:color w:val="auto"/>
        </w:rPr>
        <w:tab/>
      </w:r>
      <w:r>
        <w:rPr>
          <w:rFonts w:ascii="Times New Roman" w:cs="Times New Roman" w:eastAsia="Times New Roman" w:hAnsi="Times New Roman"/>
          <w:sz w:val="18"/>
          <w:szCs w:val="18"/>
          <w:b w:val="1"/>
          <w:bCs w:val="1"/>
          <w:color w:val="auto"/>
        </w:rPr>
        <w:t>Pfizer</w:t>
      </w:r>
      <w:r>
        <w:rPr>
          <w:rFonts w:ascii="Times New Roman" w:cs="Times New Roman" w:eastAsia="Times New Roman" w:hAnsi="Times New Roman"/>
          <w:sz w:val="18"/>
          <w:szCs w:val="18"/>
          <w:color w:val="auto"/>
        </w:rPr>
        <w:t>. Pfizer shall pay to Licensee non-refundable, non-creditable royalties in the amount of the marginal royalty 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below) (“</w:t>
      </w:r>
      <w:r>
        <w:rPr>
          <w:rFonts w:ascii="Times New Roman" w:cs="Times New Roman" w:eastAsia="Times New Roman" w:hAnsi="Times New Roman"/>
          <w:sz w:val="18"/>
          <w:szCs w:val="18"/>
          <w:b w:val="1"/>
          <w:bCs w:val="1"/>
          <w:color w:val="auto"/>
        </w:rPr>
        <w:t>Pfizer Marginal Royalty Rates</w:t>
      </w:r>
      <w:r>
        <w:rPr>
          <w:rFonts w:ascii="Times New Roman" w:cs="Times New Roman" w:eastAsia="Times New Roman" w:hAnsi="Times New Roman"/>
          <w:sz w:val="18"/>
          <w:szCs w:val="18"/>
          <w:color w:val="auto"/>
        </w:rPr>
        <w:t>”) on the aggregate Net Sales resulting from the sale of (i) Products, on a Product-by-Product basis, in the ROW and (ii) Other Products, on an Other Product-by-Other Product basis, in Japan, during each Pfizer Year (collectively, “</w:t>
      </w:r>
      <w:r>
        <w:rPr>
          <w:rFonts w:ascii="Times New Roman" w:cs="Times New Roman" w:eastAsia="Times New Roman" w:hAnsi="Times New Roman"/>
          <w:sz w:val="18"/>
          <w:szCs w:val="18"/>
          <w:b w:val="1"/>
          <w:bCs w:val="1"/>
          <w:color w:val="auto"/>
        </w:rPr>
        <w:t>Pfizer Royalties</w:t>
      </w:r>
      <w:r>
        <w:rPr>
          <w:rFonts w:ascii="Times New Roman" w:cs="Times New Roman" w:eastAsia="Times New Roman" w:hAnsi="Times New Roman"/>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ROW AND JAPAN NET SALES</w:t>
            </w:r>
          </w:p>
        </w:tc>
        <w:tc>
          <w:tcPr>
            <w:tcW w:w="370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PFIZER MARGINAL ROYALTY RATE</w:t>
            </w:r>
          </w:p>
        </w:tc>
      </w:tr>
      <w:tr>
        <w:trPr>
          <w:trHeight w:val="185"/>
        </w:trPr>
        <w:tc>
          <w:tcPr>
            <w:tcW w:w="20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spacing w:after="0"/>
              <w:rPr>
                <w:sz w:val="16"/>
                <w:szCs w:val="16"/>
                <w:color w:val="auto"/>
              </w:rPr>
            </w:pPr>
          </w:p>
        </w:tc>
        <w:tc>
          <w:tcPr>
            <w:tcW w:w="52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2"/>
          </w:tcPr>
          <w:p>
            <w:pPr>
              <w:jc w:val="center"/>
              <w:ind w:left="3590"/>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2"/>
          </w:tcPr>
          <w:p>
            <w:pPr>
              <w:jc w:val="center"/>
              <w:ind w:left="3590"/>
              <w:spacing w:after="0"/>
              <w:rPr>
                <w:sz w:val="20"/>
                <w:szCs w:val="20"/>
                <w:color w:val="auto"/>
              </w:rPr>
            </w:pPr>
            <w:r>
              <w:rPr>
                <w:rFonts w:ascii="Times New Roman" w:cs="Times New Roman" w:eastAsia="Times New Roman" w:hAnsi="Times New Roman"/>
                <w:sz w:val="18"/>
                <w:szCs w:val="18"/>
                <w:color w:val="auto"/>
                <w:w w:val="97"/>
              </w:rPr>
              <w:t>[***]</w:t>
            </w:r>
          </w:p>
        </w:tc>
      </w:tr>
    </w:tbl>
    <w:p>
      <w:pPr>
        <w:spacing w:after="0" w:line="90" w:lineRule="exact"/>
        <w:rPr>
          <w:sz w:val="20"/>
          <w:szCs w:val="20"/>
          <w:color w:val="auto"/>
        </w:rPr>
      </w:pPr>
    </w:p>
    <w:p>
      <w:pPr>
        <w:ind w:left="1420" w:right="40"/>
        <w:spacing w:after="0" w:line="253" w:lineRule="auto"/>
        <w:rPr>
          <w:sz w:val="20"/>
          <w:szCs w:val="20"/>
          <w:color w:val="auto"/>
        </w:rPr>
      </w:pPr>
      <w:r>
        <w:rPr>
          <w:rFonts w:ascii="Times New Roman" w:cs="Times New Roman" w:eastAsia="Times New Roman" w:hAnsi="Times New Roman"/>
          <w:sz w:val="18"/>
          <w:szCs w:val="18"/>
          <w:color w:val="auto"/>
        </w:rPr>
        <w:t>Each Pfizer Marginal Royalty Rate set forth in the table above shall apply only to that portion of the Net Sales of each Product in the ROW and each Other Product in Japan during a given Pfizer Year that falls within the indicated range. Pfizer shall pay to Licensee the applicable Pfizer Royalties within [***] following the expiration of each Pfizer Quarter after the date of the First Commercial Sale in the ROW or Japan, as applicable. All ROW Royalty payments shall be accompanied by a report that includes reasonably detailed information regarding a total monthly sales calculation of Net Sales of Product in the ROW, Net Sales of Other Product in Japan, and all Pfizer Royalties payable to Licensee for the applicable Pfizer Quarter (including any foreign exchange rates employed). Pfizer Royalties will be payable on a (i) Product-by-Product and country-by-country basis during the Royalty Term for such Product in each country until the expiration of the Royalty Term for such Product in such country in the ROW and (ii) Other Product-by-Other Product basis during the Royalty Term for such Product in Japan until the expiration of the Royalty Term for such Product in Japan. For purposes hereof, Net Sales during the Royalty Term for each Product in the ROW and each Other Product in Japan include sales of such Products that occur after the expiration of the Royalty Term or termination of this Agreement where the Manufacture, use or other Exploitation of such Products was Covered by a Valid Claim of a Licensed Patent Right during the Royalty Term.</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69" w:right="439" w:bottom="1440" w:gutter="0" w:footer="0" w:header="0"/>
        </w:sectPr>
      </w:pPr>
    </w:p>
    <w:bookmarkStart w:id="535" w:name="page536"/>
    <w:bookmarkEnd w:id="53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w:t>
      </w:r>
      <w:r>
        <w:rPr>
          <w:sz w:val="20"/>
          <w:szCs w:val="20"/>
          <w:color w:val="auto"/>
        </w:rPr>
        <w:tab/>
      </w:r>
      <w:r>
        <w:rPr>
          <w:rFonts w:ascii="Times New Roman" w:cs="Times New Roman" w:eastAsia="Times New Roman" w:hAnsi="Times New Roman"/>
          <w:sz w:val="17"/>
          <w:szCs w:val="17"/>
          <w:b w:val="1"/>
          <w:bCs w:val="1"/>
          <w:color w:val="auto"/>
        </w:rPr>
        <w:t>Royalty Deduction.</w:t>
      </w:r>
    </w:p>
    <w:p>
      <w:pPr>
        <w:spacing w:after="0" w:line="131" w:lineRule="exact"/>
        <w:rPr>
          <w:sz w:val="20"/>
          <w:szCs w:val="20"/>
          <w:color w:val="auto"/>
        </w:rPr>
      </w:pPr>
    </w:p>
    <w:p>
      <w:pPr>
        <w:ind w:left="1440" w:hanging="768"/>
        <w:spacing w:after="0" w:line="256"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7.4.1</w:t>
      </w:r>
      <w:r>
        <w:rPr>
          <w:sz w:val="20"/>
          <w:szCs w:val="20"/>
          <w:color w:val="auto"/>
        </w:rPr>
        <w:tab/>
      </w:r>
      <w:r>
        <w:rPr>
          <w:rFonts w:ascii="Times New Roman" w:cs="Times New Roman" w:eastAsia="Times New Roman" w:hAnsi="Times New Roman"/>
          <w:sz w:val="18"/>
          <w:szCs w:val="18"/>
          <w:b w:val="1"/>
          <w:bCs w:val="1"/>
          <w:color w:val="auto"/>
        </w:rPr>
        <w:t>Expiration of Valid Claims and Regulatory Exclusivity</w:t>
      </w:r>
      <w:r>
        <w:rPr>
          <w:rFonts w:ascii="Times New Roman" w:cs="Times New Roman" w:eastAsia="Times New Roman" w:hAnsi="Times New Roman"/>
          <w:sz w:val="18"/>
          <w:szCs w:val="18"/>
          <w:color w:val="auto"/>
        </w:rPr>
        <w:t>. If, on a country-by-country and Product-by-Product basis,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Royalty Term for such Product in such country is only being calculated under [***], then the Licensee Marginal Royalty Rates or Pfizer Marginal Royalty Rates used to calculate the Licensee Royalties or Pfizer Royalties, as applicable, with respect to such Product in such country shall by reduced by [***]. If, on a country-by-country and Product-by-Product basis, the Royalty Term for such Product in such country is only being calculated under [***], then the Licensee Marginal Royalty Rates or Pfizer Marginal Royalty Rates used to calculate the Licensee Royalties or Pfizer Royalties, as applicable, with respect to such Product in such country shall by reduced by [***].</w:t>
      </w:r>
    </w:p>
    <w:p>
      <w:pPr>
        <w:spacing w:after="0" w:line="88"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7.4.2</w:t>
      </w:r>
      <w:r>
        <w:rPr>
          <w:sz w:val="20"/>
          <w:szCs w:val="20"/>
          <w:color w:val="auto"/>
        </w:rPr>
        <w:tab/>
      </w:r>
      <w:r>
        <w:rPr>
          <w:rFonts w:ascii="Times New Roman" w:cs="Times New Roman" w:eastAsia="Times New Roman" w:hAnsi="Times New Roman"/>
          <w:sz w:val="17"/>
          <w:szCs w:val="17"/>
          <w:b w:val="1"/>
          <w:bCs w:val="1"/>
          <w:color w:val="auto"/>
        </w:rPr>
        <w:t>Third Party Licenses</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2080" w:hanging="644"/>
        <w:spacing w:after="0" w:line="258" w:lineRule="auto"/>
        <w:tabs>
          <w:tab w:leader="none" w:pos="20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its Affiliates and sublicensees shall have the first right to obtain a license under any Third Party Patent Rights that is [***] for the Exploitation of any Compound in any Product in the Field in the Territory (each such license, a “</w:t>
      </w:r>
      <w:r>
        <w:rPr>
          <w:rFonts w:ascii="Times New Roman" w:cs="Times New Roman" w:eastAsia="Times New Roman" w:hAnsi="Times New Roman"/>
          <w:sz w:val="18"/>
          <w:szCs w:val="18"/>
          <w:b w:val="1"/>
          <w:bCs w:val="1"/>
          <w:color w:val="auto"/>
        </w:rPr>
        <w:t>Licensee Third Party License</w:t>
      </w:r>
      <w:r>
        <w:rPr>
          <w:rFonts w:ascii="Times New Roman" w:cs="Times New Roman" w:eastAsia="Times New Roman" w:hAnsi="Times New Roman"/>
          <w:sz w:val="18"/>
          <w:szCs w:val="18"/>
          <w:color w:val="auto"/>
        </w:rPr>
        <w:t xml:space="preserve">”). Licensee, or its applicable Affiliate or sublicensee, shall pay all amounts due under any such Licensee Third Party License;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Licensee shall be entitled to reduce the Licensee Royalties due to Pfizer upon Net Sales of a Product by up to [***].</w:t>
      </w:r>
    </w:p>
    <w:p>
      <w:pPr>
        <w:spacing w:after="0" w:line="88" w:lineRule="exact"/>
        <w:rPr>
          <w:rFonts w:ascii="Times New Roman" w:cs="Times New Roman" w:eastAsia="Times New Roman" w:hAnsi="Times New Roman"/>
          <w:sz w:val="18"/>
          <w:szCs w:val="18"/>
          <w:color w:val="auto"/>
        </w:rPr>
      </w:pPr>
    </w:p>
    <w:p>
      <w:pPr>
        <w:ind w:left="2080" w:right="20" w:hanging="644"/>
        <w:spacing w:after="0" w:line="255" w:lineRule="auto"/>
        <w:tabs>
          <w:tab w:leader="none" w:pos="20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Licensee does not, with respect to its first right under </w:t>
      </w:r>
      <w:r>
        <w:rPr>
          <w:rFonts w:ascii="Times New Roman" w:cs="Times New Roman" w:eastAsia="Times New Roman" w:hAnsi="Times New Roman"/>
          <w:sz w:val="18"/>
          <w:szCs w:val="18"/>
          <w:u w:val="single" w:color="auto"/>
          <w:color w:val="auto"/>
        </w:rPr>
        <w:t>Section 7.4.2(a)</w:t>
      </w:r>
      <w:r>
        <w:rPr>
          <w:rFonts w:ascii="Times New Roman" w:cs="Times New Roman" w:eastAsia="Times New Roman" w:hAnsi="Times New Roman"/>
          <w:sz w:val="18"/>
          <w:szCs w:val="18"/>
          <w:color w:val="auto"/>
        </w:rPr>
        <w:t>, obtain a license under any Third Party Patent Rights that is necessary or reasonably useful for the Commercialization of any Compound in any Product in the Field in the ROW or any TYK2 Compound in any Other Product in the Field in Japan (“</w:t>
      </w:r>
      <w:r>
        <w:rPr>
          <w:rFonts w:ascii="Times New Roman" w:cs="Times New Roman" w:eastAsia="Times New Roman" w:hAnsi="Times New Roman"/>
          <w:sz w:val="18"/>
          <w:szCs w:val="18"/>
          <w:b w:val="1"/>
          <w:bCs w:val="1"/>
          <w:color w:val="auto"/>
        </w:rPr>
        <w:t>Pfizer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License</w:t>
      </w:r>
      <w:r>
        <w:rPr>
          <w:rFonts w:ascii="Times New Roman" w:cs="Times New Roman" w:eastAsia="Times New Roman" w:hAnsi="Times New Roman"/>
          <w:sz w:val="18"/>
          <w:szCs w:val="18"/>
          <w:color w:val="auto"/>
        </w:rPr>
        <w:t>”), then Pfizer, its Affiliates and sublicensees shall have the right to obtain such Pfizer Third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License. Pfizer, or its applicable Affiliate or sublicensee, shall pay all amounts due under Pfizer Third Party Licenses;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Pfizer shall be entitled to reduce the Pfizer Royalties due to Licensee upon Net Sales of a Product by up to [***].</w:t>
      </w:r>
    </w:p>
    <w:p>
      <w:pPr>
        <w:spacing w:after="0" w:line="90" w:lineRule="exact"/>
        <w:rPr>
          <w:sz w:val="20"/>
          <w:szCs w:val="20"/>
          <w:color w:val="auto"/>
        </w:rPr>
      </w:pPr>
    </w:p>
    <w:p>
      <w:pPr>
        <w:ind w:left="1440" w:right="380" w:hanging="768"/>
        <w:spacing w:after="0" w:line="26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7.4.3</w:t>
      </w:r>
      <w:r>
        <w:rPr>
          <w:sz w:val="20"/>
          <w:szCs w:val="20"/>
          <w:color w:val="auto"/>
        </w:rPr>
        <w:tab/>
      </w:r>
      <w:r>
        <w:rPr>
          <w:rFonts w:ascii="Times New Roman" w:cs="Times New Roman" w:eastAsia="Times New Roman" w:hAnsi="Times New Roman"/>
          <w:sz w:val="18"/>
          <w:szCs w:val="18"/>
          <w:b w:val="1"/>
          <w:bCs w:val="1"/>
          <w:color w:val="auto"/>
        </w:rPr>
        <w:t>Generic Competition</w:t>
      </w:r>
      <w:r>
        <w:rPr>
          <w:rFonts w:ascii="Times New Roman" w:cs="Times New Roman" w:eastAsia="Times New Roman" w:hAnsi="Times New Roman"/>
          <w:sz w:val="18"/>
          <w:szCs w:val="18"/>
          <w:color w:val="auto"/>
        </w:rPr>
        <w:t>. If, at any time during the Royalty Term, Generic Competition exists in a given country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 Reference Product, then the Pfizer Marginal Royalty Rates and Licensee Marginal Royalty Rates used to calculate royalties for such Reference Product in such country shall be reduced by [***] for so long as such Generic Competition exists.</w:t>
      </w:r>
    </w:p>
    <w:p>
      <w:pPr>
        <w:spacing w:after="0" w:line="11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220"/>
          </w:cols>
          <w:pgMar w:left="1200" w:top="265" w:right="479" w:bottom="1440" w:gutter="0" w:footer="0" w:header="0"/>
        </w:sectPr>
      </w:pPr>
    </w:p>
    <w:bookmarkStart w:id="536" w:name="page537"/>
    <w:bookmarkEnd w:id="536"/>
    <w:p>
      <w:pPr>
        <w:ind w:left="1200" w:right="160" w:hanging="768"/>
        <w:spacing w:after="0" w:line="25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7.4.4</w:t>
      </w:r>
      <w:r>
        <w:rPr>
          <w:sz w:val="20"/>
          <w:szCs w:val="20"/>
          <w:color w:val="auto"/>
        </w:rPr>
        <w:tab/>
      </w:r>
      <w:r>
        <w:rPr>
          <w:rFonts w:ascii="Times New Roman" w:cs="Times New Roman" w:eastAsia="Times New Roman" w:hAnsi="Times New Roman"/>
          <w:sz w:val="18"/>
          <w:szCs w:val="18"/>
          <w:b w:val="1"/>
          <w:bCs w:val="1"/>
          <w:color w:val="auto"/>
        </w:rPr>
        <w:t>Maximum Deductions</w:t>
      </w:r>
      <w:r>
        <w:rPr>
          <w:rFonts w:ascii="Times New Roman" w:cs="Times New Roman" w:eastAsia="Times New Roman" w:hAnsi="Times New Roman"/>
          <w:sz w:val="18"/>
          <w:szCs w:val="18"/>
          <w:color w:val="auto"/>
        </w:rPr>
        <w:t>. Notwithstanding anything in Sections 7.4.1, 7.4.2, or 7.4.3 to the contrary, under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shall the reductions set forth in this Section 7.4 cause (a) the total Licensee Royalties payable to Pfizer in any Licensee Quarter or Pfizer Royalties payable to Licensee in any Pfizer Quarter to be reduced by more than [***] of the amount that would otherwise be due without giving effect to this Section 7.4, or (b) the Licensee Marginal Royalty Rates or Pfizer Marginal Royalty Rates used to calculate Licensee Royalties in any Licensee Quarter or Pfizer Royalties in any Pfizer Quarter to be reduced by more than [***] of the rates set forth in Section 7.3. Notwithstanding the foregoing, [***].</w:t>
      </w:r>
    </w:p>
    <w:p>
      <w:pPr>
        <w:spacing w:after="0" w:line="88" w:lineRule="exact"/>
        <w:rPr>
          <w:sz w:val="20"/>
          <w:szCs w:val="20"/>
          <w:color w:val="auto"/>
        </w:rPr>
      </w:pPr>
    </w:p>
    <w:p>
      <w:pPr>
        <w:ind w:left="420" w:right="60" w:hanging="647"/>
        <w:spacing w:after="0" w:line="255"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8"/>
          <w:szCs w:val="18"/>
          <w:b w:val="1"/>
          <w:bCs w:val="1"/>
          <w:color w:val="auto"/>
        </w:rPr>
        <w:t>Blended Royalty</w:t>
      </w:r>
      <w:r>
        <w:rPr>
          <w:rFonts w:ascii="Times New Roman" w:cs="Times New Roman" w:eastAsia="Times New Roman" w:hAnsi="Times New Roman"/>
          <w:sz w:val="18"/>
          <w:szCs w:val="18"/>
          <w:color w:val="auto"/>
        </w:rPr>
        <w:t>. Licensee acknowledges that (a) the Licensed Know-How and the documentation and materials transferred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Licensee pursuant to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is proprietary and valuable and that, without the Licensed Know-How and such documentation and materials Licensee would not be able to Develop, obtain and maintain Regulatory Approvals for, Manufacture or Commercialize the Compounds and Products, (b) access to Licensed Know-How and such documentation and materials has provided Licensee with a competitive advantage in the marketplace beyond the exclusivity afforded by the Licensed Patent Rights and any Regulatory Exclusivity and (c) the U.S. Sales Milestone Payment and Licensee Royalties, respectively, are, in part, intended to compensate Pfizer for such exclusivity and such competitive advantage. The Parties agree that the Licensee Marginal Royalty Rates set forth in </w:t>
      </w:r>
      <w:r>
        <w:rPr>
          <w:rFonts w:ascii="Times New Roman" w:cs="Times New Roman" w:eastAsia="Times New Roman" w:hAnsi="Times New Roman"/>
          <w:sz w:val="18"/>
          <w:szCs w:val="18"/>
          <w:u w:val="single" w:color="auto"/>
          <w:color w:val="auto"/>
        </w:rPr>
        <w:t>Section 7.3.1</w:t>
      </w:r>
      <w:r>
        <w:rPr>
          <w:rFonts w:ascii="Times New Roman" w:cs="Times New Roman" w:eastAsia="Times New Roman" w:hAnsi="Times New Roman"/>
          <w:sz w:val="18"/>
          <w:szCs w:val="18"/>
          <w:color w:val="auto"/>
        </w:rPr>
        <w:t xml:space="preserve"> reflect an efficient and reasonable blended allocation of the value provided by Pfizer to Licensee.</w:t>
      </w:r>
    </w:p>
    <w:p>
      <w:pPr>
        <w:spacing w:after="0" w:line="90" w:lineRule="exact"/>
        <w:rPr>
          <w:sz w:val="20"/>
          <w:szCs w:val="20"/>
          <w:color w:val="auto"/>
        </w:rPr>
      </w:pPr>
    </w:p>
    <w:p>
      <w:pPr>
        <w:ind w:left="420" w:right="340" w:hanging="647"/>
        <w:spacing w:after="0" w:line="286"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8"/>
          <w:szCs w:val="18"/>
          <w:b w:val="1"/>
          <w:bCs w:val="1"/>
          <w:color w:val="auto"/>
        </w:rPr>
        <w:t>Other Payments</w:t>
      </w:r>
      <w:r>
        <w:rPr>
          <w:rFonts w:ascii="Times New Roman" w:cs="Times New Roman" w:eastAsia="Times New Roman" w:hAnsi="Times New Roman"/>
          <w:sz w:val="18"/>
          <w:szCs w:val="18"/>
          <w:color w:val="auto"/>
        </w:rPr>
        <w:t>. Licensee shall pay to Pfizer any other amounts due under this Agreement within [***] following receipt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undisputed invoice.</w:t>
      </w:r>
    </w:p>
    <w:p>
      <w:pPr>
        <w:spacing w:after="0" w:line="60" w:lineRule="exact"/>
        <w:rPr>
          <w:sz w:val="20"/>
          <w:szCs w:val="20"/>
          <w:color w:val="auto"/>
        </w:rPr>
      </w:pPr>
    </w:p>
    <w:p>
      <w:pPr>
        <w:ind w:left="420" w:hanging="647"/>
        <w:spacing w:after="0" w:line="262"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8"/>
          <w:szCs w:val="18"/>
          <w:b w:val="1"/>
          <w:bCs w:val="1"/>
          <w:color w:val="auto"/>
        </w:rPr>
        <w:t>Late Payments</w:t>
      </w:r>
      <w:r>
        <w:rPr>
          <w:rFonts w:ascii="Times New Roman" w:cs="Times New Roman" w:eastAsia="Times New Roman" w:hAnsi="Times New Roman"/>
          <w:sz w:val="18"/>
          <w:szCs w:val="18"/>
          <w:color w:val="auto"/>
        </w:rPr>
        <w:t>. Any undisputed amount required to be paid by a Party hereunder which is not paid on the date due shall bear simple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thereafter accrued on the sum due to until the date of payment, to the extent permitted by law, at [***] over the prime rate effective for the date such payment was due, as reported by the [***]. Such interest shall be computed on the basis of a year of three hundred sixty (360) days for the actual number of days payment is delinquent.</w:t>
      </w:r>
    </w:p>
    <w:p>
      <w:pPr>
        <w:spacing w:after="0" w:line="82" w:lineRule="exact"/>
        <w:rPr>
          <w:sz w:val="20"/>
          <w:szCs w:val="20"/>
          <w:color w:val="auto"/>
        </w:rPr>
      </w:pPr>
    </w:p>
    <w:p>
      <w:pPr>
        <w:ind w:left="420" w:right="160" w:hanging="647"/>
        <w:spacing w:after="0" w:line="262"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All amounts payable and calculations under this Agreement shall be in United States dollars. Notwithstanding anything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contrary in this Agreement, conversion of sales recorded in local currencies shall be translated into United States dollars in a manner consistent with Pfizer’s normal practices used to prepare its audited financial statements for external reporting purposes, provided that such practices use a widely accepted source of published exchange rates.</w:t>
      </w:r>
    </w:p>
    <w:p>
      <w:pPr>
        <w:spacing w:after="0" w:line="1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000"/>
          </w:cols>
          <w:pgMar w:left="1440" w:top="265" w:right="459" w:bottom="1440" w:gutter="0" w:footer="0" w:header="0"/>
        </w:sectPr>
      </w:pPr>
    </w:p>
    <w:bookmarkStart w:id="537" w:name="page538"/>
    <w:bookmarkEnd w:id="537"/>
    <w:p>
      <w:pPr>
        <w:ind w:left="660" w:right="40" w:hanging="647"/>
        <w:spacing w:after="0" w:line="29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7.9</w:t>
      </w:r>
      <w:r>
        <w:rPr>
          <w:sz w:val="20"/>
          <w:szCs w:val="20"/>
          <w:color w:val="auto"/>
        </w:rPr>
        <w:tab/>
      </w:r>
      <w:r>
        <w:rPr>
          <w:rFonts w:ascii="Times New Roman" w:cs="Times New Roman" w:eastAsia="Times New Roman" w:hAnsi="Times New Roman"/>
          <w:sz w:val="17"/>
          <w:szCs w:val="17"/>
          <w:b w:val="1"/>
          <w:bCs w:val="1"/>
          <w:color w:val="auto"/>
        </w:rPr>
        <w:t>Method of Payment</w:t>
      </w:r>
      <w:r>
        <w:rPr>
          <w:rFonts w:ascii="Times New Roman" w:cs="Times New Roman" w:eastAsia="Times New Roman" w:hAnsi="Times New Roman"/>
          <w:sz w:val="17"/>
          <w:szCs w:val="17"/>
          <w:color w:val="auto"/>
        </w:rPr>
        <w:t>. All payments from one Party to the other Party shall be made by wire transfer via immediately available funds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U.S. dollars to credit the bank account as designated by such Party in writing to the other Party at least [***] before payment is due. Any payment which falls due on a date which is not a Business Day may be made on the next succeeding Business Day.</w:t>
      </w:r>
    </w:p>
    <w:p>
      <w:pPr>
        <w:spacing w:after="0" w:line="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7.10</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131"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7.10.1</w:t>
      </w:r>
      <w:r>
        <w:rPr>
          <w:sz w:val="20"/>
          <w:szCs w:val="20"/>
          <w:color w:val="auto"/>
        </w:rPr>
        <w:tab/>
      </w:r>
      <w:r>
        <w:rPr>
          <w:rFonts w:ascii="Times New Roman" w:cs="Times New Roman" w:eastAsia="Times New Roman" w:hAnsi="Times New Roman"/>
          <w:sz w:val="17"/>
          <w:szCs w:val="17"/>
          <w:b w:val="1"/>
          <w:bCs w:val="1"/>
          <w:color w:val="auto"/>
        </w:rPr>
        <w:t>General</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2080" w:right="100" w:hanging="644"/>
        <w:spacing w:after="0" w:line="261" w:lineRule="auto"/>
        <w:tabs>
          <w:tab w:leader="none" w:pos="20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each Party shall solely bear and pay all taxes imposed on such Party’s net income or gain (in each case, however denominated) arising directly or indirectly from the activities of the Parties under this Agreement. Each Party shall comply with Applicable Laws and regulations regarding filing and reporting for income tax purposes.</w:t>
      </w:r>
    </w:p>
    <w:p>
      <w:pPr>
        <w:spacing w:after="0" w:line="85" w:lineRule="exact"/>
        <w:rPr>
          <w:rFonts w:ascii="Times New Roman" w:cs="Times New Roman" w:eastAsia="Times New Roman" w:hAnsi="Times New Roman"/>
          <w:sz w:val="18"/>
          <w:szCs w:val="18"/>
          <w:color w:val="auto"/>
        </w:rPr>
      </w:pPr>
    </w:p>
    <w:p>
      <w:pPr>
        <w:ind w:left="2080" w:right="540" w:hanging="644"/>
        <w:spacing w:after="0" w:line="261" w:lineRule="auto"/>
        <w:tabs>
          <w:tab w:leader="none" w:pos="20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7.10.1(a)</w:t>
      </w:r>
      <w:r>
        <w:rPr>
          <w:rFonts w:ascii="Times New Roman" w:cs="Times New Roman" w:eastAsia="Times New Roman" w:hAnsi="Times New Roman"/>
          <w:sz w:val="18"/>
          <w:szCs w:val="18"/>
          <w:color w:val="auto"/>
        </w:rPr>
        <w:t>, each Party shall bear and pay [***] of any transfer, stamp or similar taxes or obligations (“</w:t>
      </w:r>
      <w:r>
        <w:rPr>
          <w:rFonts w:ascii="Times New Roman" w:cs="Times New Roman" w:eastAsia="Times New Roman" w:hAnsi="Times New Roman"/>
          <w:sz w:val="18"/>
          <w:szCs w:val="18"/>
          <w:b w:val="1"/>
          <w:bCs w:val="1"/>
          <w:color w:val="auto"/>
        </w:rPr>
        <w:t>Transfer Tax</w:t>
      </w:r>
      <w:r>
        <w:rPr>
          <w:rFonts w:ascii="Times New Roman" w:cs="Times New Roman" w:eastAsia="Times New Roman" w:hAnsi="Times New Roman"/>
          <w:sz w:val="18"/>
          <w:szCs w:val="18"/>
          <w:color w:val="auto"/>
        </w:rPr>
        <w:t>”) imposed on amounts payable by the paying Party to the receiving Party in connection with this Agreement. Each Party shall cooperate with the other Party to file any tax returns (as required to be filed under Applicable Law) with respect to such Transfer Taxes.</w:t>
      </w:r>
    </w:p>
    <w:p>
      <w:pPr>
        <w:spacing w:after="0" w:line="85" w:lineRule="exact"/>
        <w:rPr>
          <w:rFonts w:ascii="Times New Roman" w:cs="Times New Roman" w:eastAsia="Times New Roman" w:hAnsi="Times New Roman"/>
          <w:sz w:val="18"/>
          <w:szCs w:val="18"/>
          <w:color w:val="auto"/>
        </w:rPr>
      </w:pPr>
    </w:p>
    <w:p>
      <w:pPr>
        <w:ind w:left="2080" w:right="60" w:hanging="644"/>
        <w:spacing w:after="0" w:line="258" w:lineRule="auto"/>
        <w:tabs>
          <w:tab w:leader="none" w:pos="20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between the Parties that any payments made under this Agreement are exclusive of any value added or similar tax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which shall be added thereon as applicable. In the event any payments made by a Party pursuant to this Agreement become subject to withholding taxes under the laws or regulation of any jurisdiction, such Party (and its representatives) shall [***]. To the extent that a Party is required to deduct and withhold taxes on any payments under this Agreement, such Party shall [***].</w:t>
      </w:r>
    </w:p>
    <w:p>
      <w:pPr>
        <w:spacing w:after="0" w:line="85" w:lineRule="exact"/>
        <w:rPr>
          <w:sz w:val="20"/>
          <w:szCs w:val="20"/>
          <w:color w:val="auto"/>
        </w:rPr>
      </w:pPr>
    </w:p>
    <w:p>
      <w:pPr>
        <w:ind w:left="1440" w:hanging="768"/>
        <w:spacing w:after="0" w:line="255"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7.10.2</w:t>
      </w:r>
      <w:r>
        <w:rPr>
          <w:sz w:val="20"/>
          <w:szCs w:val="20"/>
          <w:color w:val="auto"/>
        </w:rPr>
        <w:tab/>
      </w:r>
      <w:r>
        <w:rPr>
          <w:rFonts w:ascii="Times New Roman" w:cs="Times New Roman" w:eastAsia="Times New Roman" w:hAnsi="Times New Roman"/>
          <w:sz w:val="18"/>
          <w:szCs w:val="18"/>
          <w:b w:val="1"/>
          <w:bCs w:val="1"/>
          <w:color w:val="auto"/>
        </w:rPr>
        <w:t>Tax Actions</w:t>
      </w:r>
      <w:r>
        <w:rPr>
          <w:rFonts w:ascii="Times New Roman" w:cs="Times New Roman" w:eastAsia="Times New Roman" w:hAnsi="Times New Roman"/>
          <w:sz w:val="18"/>
          <w:szCs w:val="18"/>
          <w:color w:val="auto"/>
        </w:rPr>
        <w:t>. Notwithstanding anything in this Agreement to the contrary, if as a result of any assignment or sublicense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paying Party of its rights or obligations under this Agreement, any change in the paying Party’s tax residency, any change in the entity that originates the payment, or any failure on the part of the paying Party to comply with Applicable Laws (other than any failure resulting from reliance on any certification or other information provided by the receiving Party with respect to the amount of withholding tax required to be withheld or deducted) with respect to withholding taxes (including filing or record retention requirements) (a “</w:t>
      </w:r>
      <w:r>
        <w:rPr>
          <w:rFonts w:ascii="Times New Roman" w:cs="Times New Roman" w:eastAsia="Times New Roman" w:hAnsi="Times New Roman"/>
          <w:sz w:val="18"/>
          <w:szCs w:val="18"/>
          <w:b w:val="1"/>
          <w:bCs w:val="1"/>
          <w:color w:val="auto"/>
        </w:rPr>
        <w:t>Tax Action</w:t>
      </w:r>
      <w:r>
        <w:rPr>
          <w:rFonts w:ascii="Times New Roman" w:cs="Times New Roman" w:eastAsia="Times New Roman" w:hAnsi="Times New Roman"/>
          <w:sz w:val="18"/>
          <w:szCs w:val="18"/>
          <w:color w:val="auto"/>
        </w:rPr>
        <w:t>”) leads to the imposition of withholding tax liability or VAT on the other Party that would not have been imposed in the absence of a Tax Action or in an increase in such liability above the</w:t>
      </w:r>
    </w:p>
    <w:p>
      <w:pPr>
        <w:spacing w:after="0" w:line="1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240"/>
          </w:cols>
          <w:pgMar w:left="1200" w:top="265" w:right="459" w:bottom="1440" w:gutter="0" w:footer="0" w:header="0"/>
        </w:sectPr>
      </w:pPr>
    </w:p>
    <w:bookmarkStart w:id="538" w:name="page539"/>
    <w:bookmarkEnd w:id="538"/>
    <w:p>
      <w:pPr>
        <w:ind w:left="12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liability that would have been imposed in the absence of such Tax Action, then (i) the sum payable by the Party that caused the Tax Action (in respect of which such deduction or withholding is required to be made) shall be increased to the extent necessary to ensure that the other Party receives a sum equal to the sum which it would have received had no Tax Action occurred and (ii) the sum payable by the Party that caused a Tax Action (in respect of which such deduction or withholding is required to be made) shall be made to the other Party after deduction of the amount required to be so deducted or withheld, which deducted or withheld amount shall be remitted in accordance with Applicable Law. For the avoidance of doubt, a Party shall only be liable for increased payments pursuant to this </w:t>
      </w:r>
      <w:r>
        <w:rPr>
          <w:rFonts w:ascii="Times New Roman" w:cs="Times New Roman" w:eastAsia="Times New Roman" w:hAnsi="Times New Roman"/>
          <w:sz w:val="18"/>
          <w:szCs w:val="18"/>
          <w:u w:val="single" w:color="auto"/>
          <w:color w:val="auto"/>
        </w:rPr>
        <w:t>Section 7.10.2</w:t>
      </w:r>
      <w:r>
        <w:rPr>
          <w:rFonts w:ascii="Times New Roman" w:cs="Times New Roman" w:eastAsia="Times New Roman" w:hAnsi="Times New Roman"/>
          <w:sz w:val="18"/>
          <w:szCs w:val="18"/>
          <w:color w:val="auto"/>
        </w:rPr>
        <w:t xml:space="preserve"> to the extent such Party engaged in a Tax Action that created or increased a withholding tax or VAT on the other Party.</w:t>
      </w:r>
    </w:p>
    <w:p>
      <w:pPr>
        <w:spacing w:after="0" w:line="93" w:lineRule="exact"/>
        <w:rPr>
          <w:sz w:val="20"/>
          <w:szCs w:val="20"/>
          <w:color w:val="auto"/>
        </w:rPr>
      </w:pPr>
    </w:p>
    <w:p>
      <w:pPr>
        <w:ind w:left="1200" w:right="80" w:hanging="768"/>
        <w:spacing w:after="0" w:line="269"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7.10.3</w:t>
      </w:r>
      <w:r>
        <w:rPr>
          <w:sz w:val="20"/>
          <w:szCs w:val="20"/>
          <w:color w:val="auto"/>
        </w:rPr>
        <w:tab/>
      </w:r>
      <w:r>
        <w:rPr>
          <w:rFonts w:ascii="Times New Roman" w:cs="Times New Roman" w:eastAsia="Times New Roman" w:hAnsi="Times New Roman"/>
          <w:sz w:val="17"/>
          <w:szCs w:val="17"/>
          <w:b w:val="1"/>
          <w:bCs w:val="1"/>
          <w:color w:val="auto"/>
        </w:rPr>
        <w:t>Tax Credit</w:t>
      </w:r>
      <w:r>
        <w:rPr>
          <w:rFonts w:ascii="Times New Roman" w:cs="Times New Roman" w:eastAsia="Times New Roman" w:hAnsi="Times New Roman"/>
          <w:sz w:val="17"/>
          <w:szCs w:val="17"/>
          <w:color w:val="auto"/>
        </w:rPr>
        <w:t>. If a Party makes a payment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7.10.2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Tax Payment</w:t>
      </w:r>
      <w:r>
        <w:rPr>
          <w:rFonts w:ascii="Times New Roman" w:cs="Times New Roman" w:eastAsia="Times New Roman" w:hAnsi="Times New Roman"/>
          <w:sz w:val="17"/>
          <w:szCs w:val="17"/>
          <w:color w:val="auto"/>
        </w:rPr>
        <w:t>”) and (a) a credit against,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relief or remission for, or repayment of any Tax (“</w:t>
      </w:r>
      <w:r>
        <w:rPr>
          <w:rFonts w:ascii="Times New Roman" w:cs="Times New Roman" w:eastAsia="Times New Roman" w:hAnsi="Times New Roman"/>
          <w:sz w:val="17"/>
          <w:szCs w:val="17"/>
          <w:b w:val="1"/>
          <w:bCs w:val="1"/>
          <w:color w:val="auto"/>
        </w:rPr>
        <w:t>Tax Credit</w:t>
      </w:r>
      <w:r>
        <w:rPr>
          <w:rFonts w:ascii="Times New Roman" w:cs="Times New Roman" w:eastAsia="Times New Roman" w:hAnsi="Times New Roman"/>
          <w:sz w:val="17"/>
          <w:szCs w:val="17"/>
          <w:color w:val="auto"/>
        </w:rPr>
        <w:t xml:space="preserve">”) is attributable to that Tax Payment and (b) the receiving Party determines in good faith that it has obtained and utilized that Tax Credit on an affiliated group basis, the receiving Party shall pay to the paying Party an amount equal to such Tax Credit, net of all out-of-pocket expenses (including Taxes) of such receiving Party and without interest (other than interest paid by the relevant taxing authority with respect to such Tax Credit). Notwithstanding anything else in this </w:t>
      </w:r>
      <w:r>
        <w:rPr>
          <w:rFonts w:ascii="Times New Roman" w:cs="Times New Roman" w:eastAsia="Times New Roman" w:hAnsi="Times New Roman"/>
          <w:sz w:val="17"/>
          <w:szCs w:val="17"/>
          <w:u w:val="single" w:color="auto"/>
          <w:color w:val="auto"/>
        </w:rPr>
        <w:t>Section 7.10.3</w:t>
      </w:r>
      <w:r>
        <w:rPr>
          <w:rFonts w:ascii="Times New Roman" w:cs="Times New Roman" w:eastAsia="Times New Roman" w:hAnsi="Times New Roman"/>
          <w:sz w:val="17"/>
          <w:szCs w:val="17"/>
          <w:color w:val="auto"/>
        </w:rPr>
        <w:t xml:space="preserve">, in no event will the receiving Party be required to pay any amount to the paying Party pursuant to this </w:t>
      </w:r>
      <w:r>
        <w:rPr>
          <w:rFonts w:ascii="Times New Roman" w:cs="Times New Roman" w:eastAsia="Times New Roman" w:hAnsi="Times New Roman"/>
          <w:sz w:val="17"/>
          <w:szCs w:val="17"/>
          <w:u w:val="single" w:color="auto"/>
          <w:color w:val="auto"/>
        </w:rPr>
        <w:t>Section 7.10.3</w:t>
      </w:r>
      <w:r>
        <w:rPr>
          <w:rFonts w:ascii="Times New Roman" w:cs="Times New Roman" w:eastAsia="Times New Roman" w:hAnsi="Times New Roman"/>
          <w:sz w:val="17"/>
          <w:szCs w:val="17"/>
          <w:color w:val="auto"/>
        </w:rPr>
        <w:t xml:space="preserve">, the payment of which would place the receiving Party in a less favorable net after-tax position than the receiving Party would have been in if the tax giving rise to such Tax Credit had not been deducted, withheld or otherwise imposed and the applicable Tax Payment had never been paid. This </w:t>
      </w:r>
      <w:r>
        <w:rPr>
          <w:rFonts w:ascii="Times New Roman" w:cs="Times New Roman" w:eastAsia="Times New Roman" w:hAnsi="Times New Roman"/>
          <w:sz w:val="17"/>
          <w:szCs w:val="17"/>
          <w:u w:val="single" w:color="auto"/>
          <w:color w:val="auto"/>
        </w:rPr>
        <w:t>Section 7.10.3</w:t>
      </w:r>
      <w:r>
        <w:rPr>
          <w:rFonts w:ascii="Times New Roman" w:cs="Times New Roman" w:eastAsia="Times New Roman" w:hAnsi="Times New Roman"/>
          <w:sz w:val="17"/>
          <w:szCs w:val="17"/>
          <w:color w:val="auto"/>
        </w:rPr>
        <w:t xml:space="preserve"> shall not be construed to require the receiving Party to make available its tax returns (or any other information relating to its taxes that it deems confidential) to the paying Party or any other Person. The receiving Party shall use its commercially reasonable efforts to obtain and utilize that Tax Credit on an affiliated group basis.</w:t>
      </w:r>
    </w:p>
    <w:p>
      <w:pPr>
        <w:spacing w:after="0" w:line="84" w:lineRule="exact"/>
        <w:rPr>
          <w:sz w:val="20"/>
          <w:szCs w:val="20"/>
          <w:color w:val="auto"/>
        </w:rPr>
      </w:pPr>
    </w:p>
    <w:p>
      <w:pPr>
        <w:jc w:val="both"/>
        <w:ind w:left="1200" w:right="280" w:hanging="768"/>
        <w:spacing w:after="0" w:line="268"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7.10.4</w:t>
      </w:r>
      <w:r>
        <w:rPr>
          <w:sz w:val="20"/>
          <w:szCs w:val="20"/>
          <w:color w:val="auto"/>
        </w:rPr>
        <w:tab/>
      </w: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The Parties agree to cooperate and produce on a timely basis any tax forms or reports, including an 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W-9 or an IRS Form W-8BEN-E, reasonably requested by the other Party in connection with any payment made under this Agreement.</w:t>
      </w:r>
    </w:p>
    <w:p>
      <w:pPr>
        <w:spacing w:after="0" w:line="76"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7.10.5</w:t>
      </w:r>
      <w:r>
        <w:rPr>
          <w:sz w:val="20"/>
          <w:szCs w:val="20"/>
          <w:color w:val="auto"/>
        </w:rPr>
        <w:tab/>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000"/>
          </w:cols>
          <w:pgMar w:left="1440" w:top="269" w:right="459" w:bottom="1440" w:gutter="0" w:footer="0" w:header="0"/>
        </w:sectPr>
      </w:pPr>
    </w:p>
    <w:bookmarkStart w:id="539" w:name="page540"/>
    <w:bookmarkEnd w:id="539"/>
    <w:p>
      <w:pPr>
        <w:ind w:left="764" w:hanging="764"/>
        <w:spacing w:after="0"/>
        <w:tabs>
          <w:tab w:leader="none" w:pos="764"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RECORDS; AUDIT RIGHTS.</w:t>
      </w:r>
    </w:p>
    <w:p>
      <w:pPr>
        <w:spacing w:after="0" w:line="130" w:lineRule="exact"/>
        <w:rPr>
          <w:rFonts w:ascii="Times New Roman" w:cs="Times New Roman" w:eastAsia="Times New Roman" w:hAnsi="Times New Roman"/>
          <w:sz w:val="18"/>
          <w:szCs w:val="18"/>
          <w:b w:val="1"/>
          <w:bCs w:val="1"/>
          <w:color w:val="auto"/>
        </w:rPr>
      </w:pPr>
    </w:p>
    <w:p>
      <w:pPr>
        <w:ind w:left="1424" w:right="20" w:hanging="648"/>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8.1Relevant Records</w:t>
      </w:r>
      <w:r>
        <w:rPr>
          <w:rFonts w:ascii="Times New Roman" w:cs="Times New Roman" w:eastAsia="Times New Roman" w:hAnsi="Times New Roman"/>
          <w:sz w:val="18"/>
          <w:szCs w:val="18"/>
          <w:color w:val="auto"/>
        </w:rPr>
        <w:t>. Each Party shall, and shall cause its Affiliates to, maintain complete and accurate patent prosecution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records and financial books and records pertaining to sale of the Products by such Party, its Affiliates or sublicensees, including any and all calculations of the applicable amounts payable hereunder (collectively, “</w:t>
      </w:r>
      <w:r>
        <w:rPr>
          <w:rFonts w:ascii="Times New Roman" w:cs="Times New Roman" w:eastAsia="Times New Roman" w:hAnsi="Times New Roman"/>
          <w:sz w:val="18"/>
          <w:szCs w:val="18"/>
          <w:b w:val="1"/>
          <w:bCs w:val="1"/>
          <w:color w:val="auto"/>
        </w:rPr>
        <w:t>Relevant Records</w:t>
      </w:r>
      <w:r>
        <w:rPr>
          <w:rFonts w:ascii="Times New Roman" w:cs="Times New Roman" w:eastAsia="Times New Roman" w:hAnsi="Times New Roman"/>
          <w:sz w:val="18"/>
          <w:szCs w:val="18"/>
          <w:color w:val="auto"/>
        </w:rPr>
        <w:t>”). Each Party shall maintain the Relevant Records for the longer of: (a) the period of time required by Applicable Law, or (b) [***] from the creation of such records.</w:t>
      </w:r>
    </w:p>
    <w:p>
      <w:pPr>
        <w:spacing w:after="0" w:line="84" w:lineRule="exact"/>
        <w:rPr>
          <w:rFonts w:ascii="Times New Roman" w:cs="Times New Roman" w:eastAsia="Times New Roman" w:hAnsi="Times New Roman"/>
          <w:sz w:val="18"/>
          <w:szCs w:val="18"/>
          <w:b w:val="1"/>
          <w:bCs w:val="1"/>
          <w:color w:val="auto"/>
        </w:rPr>
      </w:pPr>
    </w:p>
    <w:p>
      <w:pPr>
        <w:ind w:left="1424"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8.2Audit Request</w:t>
      </w:r>
      <w:r>
        <w:rPr>
          <w:rFonts w:ascii="Times New Roman" w:cs="Times New Roman" w:eastAsia="Times New Roman" w:hAnsi="Times New Roman"/>
          <w:sz w:val="18"/>
          <w:szCs w:val="18"/>
          <w:color w:val="auto"/>
        </w:rPr>
        <w:t>. Each Party shall have the right during the Term and for [***] thereafter to engage, [***], an independent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accounting firm of nationally recognized standing reasonably acceptable to the other Party and subject to confidentiality restrictions no less stringent than those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to examine the Relevant Records from time-to-time as may be necessary to verify compliance with the terms of this Agreement. Such examinations may not (a) be conducted for any Pfizer Quarter or Licensee Quarter, as applicable, more than [***] after the end of such Pfizer Quarter or Licensee Quarter, as applicable, (b) be conducted more than once in any [***] period or (c) be repeated for the records for any Pfizer Quarter or Licensee Quarter, as applicable. Such audit shall be requested in writing at least [***] in advance and shall be conducted during the audited Party’s normal business hours and otherwise in a manner that minimizes any interference to the audited Party’s business operations. The accounting firm shall disclose only whether the reports are correct or not, and the specific details concerning any discrepancies. No other information shall be shared.</w:t>
      </w:r>
    </w:p>
    <w:p>
      <w:pPr>
        <w:spacing w:after="0" w:line="90" w:lineRule="exact"/>
        <w:rPr>
          <w:rFonts w:ascii="Times New Roman" w:cs="Times New Roman" w:eastAsia="Times New Roman" w:hAnsi="Times New Roman"/>
          <w:sz w:val="18"/>
          <w:szCs w:val="18"/>
          <w:b w:val="1"/>
          <w:bCs w:val="1"/>
          <w:color w:val="auto"/>
        </w:rPr>
      </w:pPr>
    </w:p>
    <w:p>
      <w:pPr>
        <w:jc w:val="both"/>
        <w:ind w:left="1424" w:right="220" w:hanging="648"/>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8.3Audit Fees and Expenses</w:t>
      </w:r>
      <w:r>
        <w:rPr>
          <w:rFonts w:ascii="Times New Roman" w:cs="Times New Roman" w:eastAsia="Times New Roman" w:hAnsi="Times New Roman"/>
          <w:sz w:val="18"/>
          <w:szCs w:val="18"/>
          <w:color w:val="auto"/>
        </w:rPr>
        <w:t>. The auditing Party shall bear [***] it may incur in connection with any such audit of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in the event an audit reveals an underpayment by the other Party of more than [***] as to the period subject to the audit, the other Party shall reimburse the auditing Party for any reasonable and documented out-of-pocket costs and expenses of the audit within [***] after receiving invoices thereof, and notwithstanding the provisions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the auditing Party shall have the right to have the accounting firm examine the Relevant Records of the other Party up to [***] every [***] for the [***] period following the audit revealing such underpayment.</w:t>
      </w:r>
    </w:p>
    <w:p>
      <w:pPr>
        <w:spacing w:after="0" w:line="87" w:lineRule="exact"/>
        <w:rPr>
          <w:rFonts w:ascii="Times New Roman" w:cs="Times New Roman" w:eastAsia="Times New Roman" w:hAnsi="Times New Roman"/>
          <w:sz w:val="18"/>
          <w:szCs w:val="18"/>
          <w:b w:val="1"/>
          <w:bCs w:val="1"/>
          <w:color w:val="auto"/>
        </w:rPr>
      </w:pPr>
    </w:p>
    <w:p>
      <w:pPr>
        <w:ind w:left="1424" w:right="120" w:hanging="648"/>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8.4Payment of Deficiency</w:t>
      </w:r>
      <w:r>
        <w:rPr>
          <w:rFonts w:ascii="Times New Roman" w:cs="Times New Roman" w:eastAsia="Times New Roman" w:hAnsi="Times New Roman"/>
          <w:sz w:val="18"/>
          <w:szCs w:val="18"/>
          <w:color w:val="auto"/>
        </w:rPr>
        <w:t>. If any audit establishes that (a) additional amounts were owed by the audited Party, the audited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 the additional amounts, with interest from the date originally due as provided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or (b) excess payments were made by the audited Party, the auditing Party shall reimburse such excess payments, in either case ((i) or (ii)), within [***] after the date on which such audit is completed by the auditing Party.</w:t>
      </w:r>
    </w:p>
    <w:p>
      <w:pPr>
        <w:spacing w:after="0" w:line="81" w:lineRule="exact"/>
        <w:rPr>
          <w:rFonts w:ascii="Times New Roman" w:cs="Times New Roman" w:eastAsia="Times New Roman" w:hAnsi="Times New Roman"/>
          <w:sz w:val="18"/>
          <w:szCs w:val="18"/>
          <w:b w:val="1"/>
          <w:bCs w:val="1"/>
          <w:color w:val="auto"/>
        </w:rPr>
      </w:pPr>
    </w:p>
    <w:p>
      <w:pPr>
        <w:ind w:left="764" w:hanging="764"/>
        <w:spacing w:after="0"/>
        <w:tabs>
          <w:tab w:leader="none" w:pos="764"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RIGHTS.</w:t>
      </w:r>
    </w:p>
    <w:p>
      <w:pPr>
        <w:spacing w:after="0" w:line="130" w:lineRule="exact"/>
        <w:rPr>
          <w:rFonts w:ascii="Times New Roman" w:cs="Times New Roman" w:eastAsia="Times New Roman" w:hAnsi="Times New Roman"/>
          <w:sz w:val="18"/>
          <w:szCs w:val="18"/>
          <w:b w:val="1"/>
          <w:bCs w:val="1"/>
          <w:color w:val="auto"/>
        </w:rPr>
      </w:pPr>
    </w:p>
    <w:p>
      <w:pPr>
        <w:ind w:left="1424" w:right="20" w:hanging="648"/>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9.1Pre-existing IP</w:t>
      </w:r>
      <w:r>
        <w:rPr>
          <w:rFonts w:ascii="Times New Roman" w:cs="Times New Roman" w:eastAsia="Times New Roman" w:hAnsi="Times New Roman"/>
          <w:sz w:val="18"/>
          <w:szCs w:val="18"/>
          <w:color w:val="auto"/>
        </w:rPr>
        <w:t>. Subject only to the rights expressly granted to Licensee under this Agreement, each Party shall retain all rights, 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interests in and to any Intellectual Property Rights that are owned, licensed or sublicensed by such Party prior to or independent of this Agreement.</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65" w:right="479" w:bottom="1440" w:gutter="0" w:footer="0" w:header="0"/>
        </w:sectPr>
      </w:pPr>
    </w:p>
    <w:bookmarkStart w:id="540" w:name="page541"/>
    <w:bookmarkEnd w:id="54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w:t>
      </w:r>
      <w:r>
        <w:rPr>
          <w:sz w:val="20"/>
          <w:szCs w:val="20"/>
          <w:color w:val="auto"/>
        </w:rPr>
        <w:tab/>
      </w:r>
      <w:r>
        <w:rPr>
          <w:rFonts w:ascii="Times New Roman" w:cs="Times New Roman" w:eastAsia="Times New Roman" w:hAnsi="Times New Roman"/>
          <w:sz w:val="17"/>
          <w:szCs w:val="17"/>
          <w:b w:val="1"/>
          <w:bCs w:val="1"/>
          <w:color w:val="auto"/>
        </w:rPr>
        <w:t>Patent Prosecution.</w:t>
      </w:r>
    </w:p>
    <w:p>
      <w:pPr>
        <w:spacing w:after="0" w:line="131" w:lineRule="exact"/>
        <w:rPr>
          <w:sz w:val="20"/>
          <w:szCs w:val="20"/>
          <w:color w:val="auto"/>
        </w:rPr>
      </w:pPr>
    </w:p>
    <w:p>
      <w:pPr>
        <w:ind w:left="1440" w:right="20" w:hanging="768"/>
        <w:spacing w:after="0" w:line="274"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9.2.1</w:t>
      </w:r>
      <w:r>
        <w:rPr>
          <w:sz w:val="20"/>
          <w:szCs w:val="20"/>
          <w:color w:val="auto"/>
        </w:rPr>
        <w:tab/>
      </w:r>
      <w:r>
        <w:rPr>
          <w:rFonts w:ascii="Times New Roman" w:cs="Times New Roman" w:eastAsia="Times New Roman" w:hAnsi="Times New Roman"/>
          <w:sz w:val="17"/>
          <w:szCs w:val="17"/>
          <w:b w:val="1"/>
          <w:bCs w:val="1"/>
          <w:color w:val="auto"/>
        </w:rPr>
        <w:t>Patent Prosecution and Maintenance</w:t>
      </w:r>
      <w:r>
        <w:rPr>
          <w:rFonts w:ascii="Times New Roman" w:cs="Times New Roman" w:eastAsia="Times New Roman" w:hAnsi="Times New Roman"/>
          <w:sz w:val="17"/>
          <w:szCs w:val="17"/>
          <w:color w:val="auto"/>
        </w:rPr>
        <w:t>. Subject to Pfizer’s rights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Sections 9.2.4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9.2.5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below, Licensee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will be responsible for filing, prosecuting (including in connection with any reexaminations, revocation proceedings, </w:t>
      </w:r>
      <w:r>
        <w:rPr>
          <w:rFonts w:ascii="Times New Roman" w:cs="Times New Roman" w:eastAsia="Times New Roman" w:hAnsi="Times New Roman"/>
          <w:sz w:val="17"/>
          <w:szCs w:val="17"/>
          <w:i w:val="1"/>
          <w:iCs w:val="1"/>
          <w:color w:val="auto"/>
        </w:rPr>
        <w:t>inter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partes </w:t>
      </w:r>
      <w:r>
        <w:rPr>
          <w:rFonts w:ascii="Times New Roman" w:cs="Times New Roman" w:eastAsia="Times New Roman" w:hAnsi="Times New Roman"/>
          <w:sz w:val="17"/>
          <w:szCs w:val="17"/>
          <w:color w:val="auto"/>
        </w:rPr>
        <w:t>reviews, oppositions and the like) and maintaining the Licensed Patent Rights in the Territory and in Pfizer’s name</w:t>
      </w:r>
    </w:p>
    <w:p>
      <w:pPr>
        <w:spacing w:after="0" w:line="1" w:lineRule="exact"/>
        <w:rPr>
          <w:sz w:val="20"/>
          <w:szCs w:val="20"/>
          <w:color w:val="auto"/>
        </w:rPr>
      </w:pPr>
    </w:p>
    <w:p>
      <w:pPr>
        <w:ind w:left="1440" w:right="100" w:hanging="4"/>
        <w:spacing w:after="0" w:line="251" w:lineRule="auto"/>
        <w:tabs>
          <w:tab w:leader="none" w:pos="187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using, as of the Effective Date, Licensee to identify (a) lead patent counsel acceptable to Pfizer as its lead patent counsel in the U.S., Europe and Japan, respectively, and (b) an annuity service acceptable to Pfizer as its annuity service provider to prepare, file, prosecute and maintain the Licensed Patent Rights. Licensee will select additional qualified patent counsel and foreign agents as necessary, in each case reasonably acceptable to Pfizer, within [***] after the Effective Date. During the Term, Licensee will provide notice of any substitution of such counsel, foreign agents or annuity service providers within [***] after such substitution. Before each submission is filed, Licensee will provide Pfizer a reasonable opportunity to review and comment on proposed, substantive submissions to any patent office and reasonably consider any comments provided by Pfizer to Licensee. Licensee will keep Pfizer reasonably informed of the status of the Licensed Patent Rights by timely providing Pfizer copies of significant communications relating to such Licensed Patent Rights that are received from any patent office or patent counsel of record or foreign associate. Licensee will provide Pfizer with a written update of the Licensed Patent Rights listed on </w:t>
      </w:r>
      <w:r>
        <w:rPr>
          <w:rFonts w:ascii="Times New Roman" w:cs="Times New Roman" w:eastAsia="Times New Roman" w:hAnsi="Times New Roman"/>
          <w:sz w:val="18"/>
          <w:szCs w:val="18"/>
          <w:u w:val="single" w:color="auto"/>
          <w:color w:val="auto"/>
        </w:rPr>
        <w:t>Schedule 1.83</w:t>
      </w:r>
      <w:r>
        <w:rPr>
          <w:rFonts w:ascii="Times New Roman" w:cs="Times New Roman" w:eastAsia="Times New Roman" w:hAnsi="Times New Roman"/>
          <w:sz w:val="18"/>
          <w:szCs w:val="18"/>
          <w:color w:val="auto"/>
        </w:rPr>
        <w:t xml:space="preserve"> [***] or upon reasonable written request by Pfizer.</w:t>
      </w:r>
    </w:p>
    <w:p>
      <w:pPr>
        <w:spacing w:after="0" w:line="94" w:lineRule="exact"/>
        <w:rPr>
          <w:sz w:val="20"/>
          <w:szCs w:val="20"/>
          <w:color w:val="auto"/>
        </w:rPr>
      </w:pPr>
    </w:p>
    <w:p>
      <w:pPr>
        <w:ind w:left="1440" w:hanging="768"/>
        <w:spacing w:after="0" w:line="256"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9.2.2</w:t>
      </w:r>
      <w:r>
        <w:rPr>
          <w:sz w:val="20"/>
          <w:szCs w:val="20"/>
          <w:color w:val="auto"/>
        </w:rPr>
        <w:tab/>
      </w: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The Parties agree to cooperate fully in the preparation, filing, prosecution, and maintenance of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Rights in the Territory under this Agreement. Cooperation shall include (a) executing all papers and instruments or requiring its employees or contractors to execute such papers to effectuate the ownership and rights, including Patent Right extensions, supplementary protection certificates and the like, under this Agreement; (b) assisting in any license registration processes applicable to a particular Governmental Authority; and (c) promptly informing the other Party of any matters coming to such Party’s attention that may materially affect the preparation, filing, prosecution, or maintenance of any such Licensed Patent Rights in the Territory. [***].</w:t>
      </w:r>
    </w:p>
    <w:p>
      <w:pPr>
        <w:spacing w:after="0" w:line="88"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9.2.3</w:t>
      </w:r>
      <w:r>
        <w:rPr>
          <w:sz w:val="20"/>
          <w:szCs w:val="20"/>
          <w:color w:val="auto"/>
        </w:rPr>
        <w:tab/>
      </w:r>
      <w:r>
        <w:rPr>
          <w:rFonts w:ascii="Times New Roman" w:cs="Times New Roman" w:eastAsia="Times New Roman" w:hAnsi="Times New Roman"/>
          <w:sz w:val="17"/>
          <w:szCs w:val="17"/>
          <w:b w:val="1"/>
          <w:bCs w:val="1"/>
          <w:color w:val="auto"/>
        </w:rPr>
        <w:t>Patent Term Extensions</w:t>
      </w:r>
      <w:r>
        <w:rPr>
          <w:rFonts w:ascii="Times New Roman" w:cs="Times New Roman" w:eastAsia="Times New Roman" w:hAnsi="Times New Roman"/>
          <w:sz w:val="17"/>
          <w:szCs w:val="17"/>
          <w:color w:val="auto"/>
        </w:rPr>
        <w:t>. Licensee shall provide Pfizer with notice of each marketing application and approval within</w:t>
      </w:r>
    </w:p>
    <w:p>
      <w:pPr>
        <w:spacing w:after="0" w:line="31" w:lineRule="exact"/>
        <w:rPr>
          <w:sz w:val="20"/>
          <w:szCs w:val="20"/>
          <w:color w:val="auto"/>
        </w:rPr>
      </w:pPr>
    </w:p>
    <w:p>
      <w:pPr>
        <w:ind w:left="1440" w:hanging="4"/>
        <w:spacing w:after="0" w:line="253" w:lineRule="auto"/>
        <w:tabs>
          <w:tab w:leader="none" w:pos="187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application and approval. Licensee shall have the first right with respect to making decisions regarding patent term extensions, including supplementary protection certificates, patent term linkages and any other extensions that are now or in the future become available, wherever applicable (each, a “</w:t>
      </w:r>
      <w:r>
        <w:rPr>
          <w:rFonts w:ascii="Times New Roman" w:cs="Times New Roman" w:eastAsia="Times New Roman" w:hAnsi="Times New Roman"/>
          <w:sz w:val="18"/>
          <w:szCs w:val="18"/>
          <w:b w:val="1"/>
          <w:bCs w:val="1"/>
          <w:color w:val="auto"/>
        </w:rPr>
        <w:t>Patent Term Extension</w:t>
      </w:r>
      <w:r>
        <w:rPr>
          <w:rFonts w:ascii="Times New Roman" w:cs="Times New Roman" w:eastAsia="Times New Roman" w:hAnsi="Times New Roman"/>
          <w:sz w:val="18"/>
          <w:szCs w:val="18"/>
          <w:color w:val="auto"/>
        </w:rPr>
        <w:t>”), for Licensed Patent Rights in any country or other jurisdiction in connection with the Products. Prior to selecting any</w:t>
      </w:r>
    </w:p>
    <w:p>
      <w:pPr>
        <w:spacing w:after="0" w:line="1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240"/>
          </w:cols>
          <w:pgMar w:left="1200" w:top="265" w:right="459" w:bottom="1440" w:gutter="0" w:footer="0" w:header="0"/>
        </w:sectPr>
      </w:pPr>
    </w:p>
    <w:bookmarkStart w:id="541" w:name="page542"/>
    <w:bookmarkEnd w:id="541"/>
    <w:p>
      <w:pPr>
        <w:ind w:left="12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Patent Rights for a Patent Term Extension, Licensee shall notify Pfizer of any such selection and, at Pfizer’s request, discuss in good faith any issues or comments Pfizer may have with respect to the selection of such Patent Rights and Licensee shall take into consideration Pfizer’s reasonable comments. Licensee shall have the responsibility of applying for any Patent Term Extension with respect to such Patent Rights and the Products in the Territory. Licensee shall consult with Pfizer and keep Pfizer fully informed of its efforts to obtain such Patent Term Extension. As reasonably requested by Licensee in writing, Pfizer shall cooperate, [***], in obtaining such Patent Term Extension. Licensee agrees to execute and deliver such further authorizations and instruments in advance of submission to provide Pfizer with reasonable comment rights and Licensee agrees to take into consideration such further actions as may be requested by Pfizer to implement the foregoing. If Licensee does not exercise its rights to file Patent Term Extensions on any Licensed Patent Right in the Territory, Pfizer shall have the right, on a country-by-country basis to file a Patent Term Extension for such Licensed Patent Rights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Pfizer shall not have such right in a country if such filing by Pfizer would preclude Licensee from filing a Patent Term Extension for another Patent Right of Licensee’s choosing in such country. [***] For clarity, Pfizer will not seek, and will cause its Affiliates to not seek, to apply a Patent Term Extension to (a) [***] without the prior written consent of Licensee or (b) any foreign counterpart for any Pfizer drug product, [***], without the prior written consent of Licensee, which shall not be unreasonably withheld, conditioned or delayed.</w:t>
      </w:r>
    </w:p>
    <w:p>
      <w:pPr>
        <w:spacing w:after="0" w:line="98" w:lineRule="exact"/>
        <w:rPr>
          <w:sz w:val="20"/>
          <w:szCs w:val="20"/>
          <w:color w:val="auto"/>
        </w:rPr>
      </w:pPr>
    </w:p>
    <w:p>
      <w:pPr>
        <w:ind w:left="1200" w:right="60" w:hanging="768"/>
        <w:spacing w:after="0" w:line="253"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9.2.4</w:t>
      </w:r>
      <w:r>
        <w:rPr>
          <w:sz w:val="20"/>
          <w:szCs w:val="20"/>
          <w:color w:val="auto"/>
        </w:rPr>
        <w:tab/>
      </w:r>
      <w:r>
        <w:rPr>
          <w:rFonts w:ascii="Times New Roman" w:cs="Times New Roman" w:eastAsia="Times New Roman" w:hAnsi="Times New Roman"/>
          <w:sz w:val="18"/>
          <w:szCs w:val="18"/>
          <w:b w:val="1"/>
          <w:bCs w:val="1"/>
          <w:color w:val="auto"/>
        </w:rPr>
        <w:t>Failure to Prosecute or Maintain</w:t>
      </w:r>
      <w:r>
        <w:rPr>
          <w:rFonts w:ascii="Times New Roman" w:cs="Times New Roman" w:eastAsia="Times New Roman" w:hAnsi="Times New Roman"/>
          <w:sz w:val="18"/>
          <w:szCs w:val="18"/>
          <w:color w:val="auto"/>
        </w:rPr>
        <w:t>. Unless otherwise agreed in writing by Pfizer, Licensee shall file, prosecute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connection with any reexaminations, revocation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oppositions and the like) and maintain each of the Licensed Patent Rights for at least [***] after the Effective Date. After the [***] of the Effective Date, in the event Licensee elects to forego filing, prosecution or maintenance of the Licensed Patent Rights, Licensee shall notify Pfizer of such election at least [***] prior to any filing or payment due date, or any other due date that requires action (“</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xml:space="preserve">”). Upon receipt of an Election Notice, Pfizer shall be entitled, upon written notice to Licensee, at its sole discretion [***], to file or to continue the prosecution or maintenance of such Patent Right in such country in Pfizer’s name using counsel of its own choice [***]. As of the date Licensee provides Pfizer such Election Notice, Pfizer shall have the right, at its discretion, to either (a) terminate the applicable license to such specific Licensed Patent Right or (b) convert the license granted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under such Patent Right to a non-exclusive and non-sublicensable license. In each case, Licensee shall promptly take all necessary steps to allow Pfizer to take over prosecution and maintenance and will have no further rights in respect of the filing, maintenance or enforcement of such Patent Right.</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020"/>
          </w:cols>
          <w:pgMar w:left="1440" w:top="269" w:right="439" w:bottom="1440" w:gutter="0" w:footer="0" w:header="0"/>
        </w:sectPr>
      </w:pPr>
    </w:p>
    <w:bookmarkStart w:id="542" w:name="page543"/>
    <w:bookmarkEnd w:id="542"/>
    <w:p>
      <w:pPr>
        <w:ind w:left="1440" w:hanging="768"/>
        <w:spacing w:after="0" w:line="263"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9.2.5</w:t>
      </w:r>
      <w:r>
        <w:rPr>
          <w:sz w:val="20"/>
          <w:szCs w:val="20"/>
          <w:color w:val="auto"/>
        </w:rPr>
        <w:tab/>
      </w:r>
      <w:r>
        <w:rPr>
          <w:rFonts w:ascii="Times New Roman" w:cs="Times New Roman" w:eastAsia="Times New Roman" w:hAnsi="Times New Roman"/>
          <w:sz w:val="18"/>
          <w:szCs w:val="18"/>
          <w:b w:val="1"/>
          <w:bCs w:val="1"/>
          <w:color w:val="auto"/>
        </w:rPr>
        <w:t xml:space="preserve">Retained Patent Prosecution and Maintenance. </w:t>
      </w:r>
      <w:r>
        <w:rPr>
          <w:rFonts w:ascii="Times New Roman" w:cs="Times New Roman" w:eastAsia="Times New Roman" w:hAnsi="Times New Roman"/>
          <w:sz w:val="18"/>
          <w:szCs w:val="18"/>
          <w:color w:val="auto"/>
        </w:rPr>
        <w:t>Pfizer will be responsible for prosecuting (including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reexaminations, revocation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oppositions and the like) and maintaining only the</w:t>
      </w:r>
    </w:p>
    <w:p>
      <w:pPr>
        <w:spacing w:after="0" w:line="1" w:lineRule="exact"/>
        <w:rPr>
          <w:sz w:val="20"/>
          <w:szCs w:val="20"/>
          <w:color w:val="auto"/>
        </w:rPr>
      </w:pPr>
    </w:p>
    <w:p>
      <w:pPr>
        <w:ind w:left="1440" w:hanging="4"/>
        <w:spacing w:after="0" w:line="253" w:lineRule="auto"/>
        <w:tabs>
          <w:tab w:leader="none" w:pos="1875"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continuations and divisionals therefrom [***]. Before each submission is filed, Pfizer will provide Licensee a reasonable opportunity to review and comment on proposed, substantive submissions to the United States Patent Office and reasonably consider any comments provided by Licensee to Pfizer. Pfizer will keep Licensee reasonably informed of the status of the [***].</w:t>
      </w:r>
    </w:p>
    <w:p>
      <w:pPr>
        <w:spacing w:after="0" w:line="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Trademarks.</w:t>
      </w:r>
    </w:p>
    <w:p>
      <w:pPr>
        <w:spacing w:after="0" w:line="131" w:lineRule="exact"/>
        <w:rPr>
          <w:sz w:val="20"/>
          <w:szCs w:val="20"/>
          <w:color w:val="auto"/>
        </w:rPr>
      </w:pPr>
    </w:p>
    <w:p>
      <w:pPr>
        <w:ind w:left="1440" w:hanging="768"/>
        <w:spacing w:after="0" w:line="254"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9.3.1</w:t>
      </w:r>
      <w:r>
        <w:rPr>
          <w:sz w:val="20"/>
          <w:szCs w:val="20"/>
          <w:color w:val="auto"/>
        </w:rPr>
        <w:tab/>
      </w:r>
      <w:r>
        <w:rPr>
          <w:rFonts w:ascii="Times New Roman" w:cs="Times New Roman" w:eastAsia="Times New Roman" w:hAnsi="Times New Roman"/>
          <w:sz w:val="18"/>
          <w:szCs w:val="18"/>
          <w:b w:val="1"/>
          <w:bCs w:val="1"/>
          <w:color w:val="auto"/>
        </w:rPr>
        <w:t xml:space="preserve">Determination and Ownership of Product Trademarks. </w:t>
      </w:r>
      <w:r>
        <w:rPr>
          <w:rFonts w:ascii="Times New Roman" w:cs="Times New Roman" w:eastAsia="Times New Roman" w:hAnsi="Times New Roman"/>
          <w:sz w:val="18"/>
          <w:szCs w:val="18"/>
          <w:color w:val="auto"/>
        </w:rPr>
        <w:t>Licensee shall determine, in consultation with Pfizer,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exclusively own all right, title and interest in and to the Trademarks for Products Commercialized in the United States and Brepo Products Commercialized in Japan (the “</w:t>
      </w:r>
      <w:r>
        <w:rPr>
          <w:rFonts w:ascii="Times New Roman" w:cs="Times New Roman" w:eastAsia="Times New Roman" w:hAnsi="Times New Roman"/>
          <w:sz w:val="18"/>
          <w:szCs w:val="18"/>
          <w:b w:val="1"/>
          <w:bCs w:val="1"/>
          <w:color w:val="auto"/>
        </w:rPr>
        <w:t>Licensee Product Trademarks</w:t>
      </w:r>
      <w:r>
        <w:rPr>
          <w:rFonts w:ascii="Times New Roman" w:cs="Times New Roman" w:eastAsia="Times New Roman" w:hAnsi="Times New Roman"/>
          <w:sz w:val="18"/>
          <w:szCs w:val="18"/>
          <w:color w:val="auto"/>
        </w:rPr>
        <w:t xml:space="preserve">”), provided that if a Trademark cannot be registered or used under Applicable Law (for regulatory, trademark law or other legal reasons), such Trademark will not be used and an alternate Trademark will be selected by Licensee in consultation with Pfizer. Pfizer shall determine and select, in its sole discretion, the Trademarks for Products Commercialized in the ROW and Other Products Commercialized in Japan (the </w:t>
      </w:r>
      <w:r>
        <w:rPr>
          <w:rFonts w:ascii="Times New Roman" w:cs="Times New Roman" w:eastAsia="Times New Roman" w:hAnsi="Times New Roman"/>
          <w:sz w:val="18"/>
          <w:szCs w:val="18"/>
          <w:b w:val="1"/>
          <w:bCs w:val="1"/>
          <w:color w:val="auto"/>
        </w:rPr>
        <w:t>“Pfizer Product Trademarks</w:t>
      </w:r>
      <w:r>
        <w:rPr>
          <w:rFonts w:ascii="Times New Roman" w:cs="Times New Roman" w:eastAsia="Times New Roman" w:hAnsi="Times New Roman"/>
          <w:sz w:val="18"/>
          <w:szCs w:val="18"/>
          <w:color w:val="auto"/>
        </w:rPr>
        <w:t>”), including that Pfizer may elect, in its sole discretion, to use a Trademark which is identical to a Licensee Product Trademark as a Pfizer Product Trademark, and Pfizer shall exclusively own all right, title and interest in and to the Pfizer Product Trademarks.</w:t>
      </w:r>
    </w:p>
    <w:p>
      <w:pPr>
        <w:spacing w:after="0" w:line="94" w:lineRule="exact"/>
        <w:rPr>
          <w:sz w:val="20"/>
          <w:szCs w:val="20"/>
          <w:color w:val="auto"/>
        </w:rPr>
      </w:pPr>
    </w:p>
    <w:p>
      <w:pPr>
        <w:ind w:left="1440" w:right="60" w:hanging="768"/>
        <w:spacing w:after="0" w:line="259"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9.3.2</w:t>
      </w:r>
      <w:r>
        <w:rPr>
          <w:sz w:val="20"/>
          <w:szCs w:val="20"/>
          <w:color w:val="auto"/>
        </w:rPr>
        <w:tab/>
      </w:r>
      <w:r>
        <w:rPr>
          <w:rFonts w:ascii="Times New Roman" w:cs="Times New Roman" w:eastAsia="Times New Roman" w:hAnsi="Times New Roman"/>
          <w:sz w:val="18"/>
          <w:szCs w:val="18"/>
          <w:b w:val="1"/>
          <w:bCs w:val="1"/>
          <w:color w:val="auto"/>
        </w:rPr>
        <w:t xml:space="preserve">Registration, Prosecution, Maintenance, Enforcement and Defense of Product Trademarks. </w:t>
      </w:r>
      <w:r>
        <w:rPr>
          <w:rFonts w:ascii="Times New Roman" w:cs="Times New Roman" w:eastAsia="Times New Roman" w:hAnsi="Times New Roman"/>
          <w:sz w:val="18"/>
          <w:szCs w:val="18"/>
          <w:color w:val="auto"/>
        </w:rPr>
        <w:t>Licensee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using counsel of its own choice, to conduct clearance activities (including searches), register, prosecute, maintain and enforce the Licensee Product Trademarks [***]. Pfizer shall have the right, using counsel of its own choice, to conduct clearance activities (including searches), register, prosecute, maintain and enforce the Pfizer Product Trademarks [***].</w:t>
      </w:r>
    </w:p>
    <w:p>
      <w:pPr>
        <w:spacing w:after="0" w:line="85" w:lineRule="exact"/>
        <w:rPr>
          <w:sz w:val="20"/>
          <w:szCs w:val="20"/>
          <w:color w:val="auto"/>
        </w:rPr>
      </w:pPr>
    </w:p>
    <w:p>
      <w:pPr>
        <w:ind w:left="1440" w:hanging="768"/>
        <w:spacing w:after="0" w:line="254"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9.3.3</w:t>
      </w:r>
      <w:r>
        <w:rPr>
          <w:sz w:val="20"/>
          <w:szCs w:val="20"/>
          <w:color w:val="auto"/>
        </w:rPr>
        <w:tab/>
      </w:r>
      <w:r>
        <w:rPr>
          <w:rFonts w:ascii="Times New Roman" w:cs="Times New Roman" w:eastAsia="Times New Roman" w:hAnsi="Times New Roman"/>
          <w:sz w:val="18"/>
          <w:szCs w:val="18"/>
          <w:b w:val="1"/>
          <w:bCs w:val="1"/>
          <w:color w:val="auto"/>
        </w:rPr>
        <w:t xml:space="preserve">Corporate Names. </w:t>
      </w:r>
      <w:r>
        <w:rPr>
          <w:rFonts w:ascii="Times New Roman" w:cs="Times New Roman" w:eastAsia="Times New Roman" w:hAnsi="Times New Roman"/>
          <w:sz w:val="18"/>
          <w:szCs w:val="18"/>
          <w:color w:val="auto"/>
        </w:rPr>
        <w:t>Each Party and its Affiliates will retain all right, title and interest in and to its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house marks, corporate names and corporate logos. Each Party shall not, and shall cause its Affiliates and its or their respective Sublicensees not to (a) do any act in connection with this Agreement that endangers, destroys or similarly affects, in any material respect, the value of the goodwill pertaining to the corporate names of the other Party or (b) attack, dispute or contest the validity of or ownership of the corporate names of the other Party anywhere in the world or any registrations issued or issuing with respect thereto. Each Party shall, and shall cause its Affiliates and its and their respective Sublicensees to, conform (y) to the customary industry standards for the protection of the corporate names of the other Party and (z) to maintain the quality standards of the other Party with respect to the goods sold and services provided in connection with the corporate names of such other Party.</w:t>
      </w:r>
    </w:p>
    <w:p>
      <w:pPr>
        <w:spacing w:after="0" w:line="1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240"/>
          </w:cols>
          <w:pgMar w:left="1200" w:top="265" w:right="459" w:bottom="1440" w:gutter="0" w:footer="0" w:header="0"/>
        </w:sectPr>
      </w:pPr>
    </w:p>
    <w:bookmarkStart w:id="543" w:name="page544"/>
    <w:bookmarkEnd w:id="543"/>
    <w:p>
      <w:pPr>
        <w:ind w:left="764" w:hanging="764"/>
        <w:spacing w:after="0"/>
        <w:tabs>
          <w:tab w:leader="none" w:pos="764"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INFRINGEMENT; MISAPPROPRIATION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424" w:hanging="648"/>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10.1 Notification</w:t>
      </w:r>
      <w:r>
        <w:rPr>
          <w:rFonts w:ascii="Times New Roman" w:cs="Times New Roman" w:eastAsia="Times New Roman" w:hAnsi="Times New Roman"/>
          <w:sz w:val="18"/>
          <w:szCs w:val="18"/>
          <w:color w:val="auto"/>
        </w:rPr>
        <w:t>. Each Party will promptly notify the other Party in writing of any actual or threatened infringement, misappropriation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violation by a Third Party of any Licensed Technology in the Field and in the Territory of which it becomes aware, including</w:t>
      </w:r>
    </w:p>
    <w:p>
      <w:pPr>
        <w:ind w:left="1624" w:hanging="207"/>
        <w:spacing w:after="0"/>
        <w:tabs>
          <w:tab w:leader="none" w:pos="1624"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 Abbreviated New Drug Application under Section 505(j) of the FD&amp;C Act or an application under Section 505(b)</w:t>
      </w:r>
    </w:p>
    <w:p>
      <w:pPr>
        <w:spacing w:after="0" w:line="9" w:lineRule="exact"/>
        <w:rPr>
          <w:rFonts w:ascii="Times New Roman" w:cs="Times New Roman" w:eastAsia="Times New Roman" w:hAnsi="Times New Roman"/>
          <w:sz w:val="18"/>
          <w:szCs w:val="18"/>
          <w:color w:val="auto"/>
        </w:rPr>
      </w:pPr>
    </w:p>
    <w:p>
      <w:pPr>
        <w:ind w:left="142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of the FD&amp;C Act naming a Product as a reference listed drug and including a certification under Section 505(j)(2)(A)(vii)(IV) or 505(b)(2)(A)(IV), respectively or (ii) declaratory judgment action against any Licensed Patent Right in the Territory in connection with any infringement described in clause (i) (any of (i) or (ii) constituting a (“</w:t>
      </w:r>
      <w:r>
        <w:rPr>
          <w:rFonts w:ascii="Times New Roman" w:cs="Times New Roman" w:eastAsia="Times New Roman" w:hAnsi="Times New Roman"/>
          <w:sz w:val="18"/>
          <w:szCs w:val="18"/>
          <w:b w:val="1"/>
          <w:bCs w:val="1"/>
          <w:color w:val="auto"/>
        </w:rPr>
        <w:t>Third Party Infringement</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Infringement Action.</w:t>
      </w:r>
    </w:p>
    <w:p>
      <w:pPr>
        <w:spacing w:after="0" w:line="131" w:lineRule="exact"/>
        <w:rPr>
          <w:sz w:val="20"/>
          <w:szCs w:val="20"/>
          <w:color w:val="auto"/>
        </w:rPr>
      </w:pPr>
    </w:p>
    <w:p>
      <w:pPr>
        <w:ind w:left="1424"/>
        <w:spacing w:after="0"/>
        <w:tabs>
          <w:tab w:leader="none" w:pos="2184" w:val="left"/>
        </w:tabs>
        <w:rPr>
          <w:sz w:val="20"/>
          <w:szCs w:val="20"/>
          <w:color w:val="auto"/>
        </w:rPr>
      </w:pPr>
      <w:r>
        <w:rPr>
          <w:rFonts w:ascii="Times New Roman" w:cs="Times New Roman" w:eastAsia="Times New Roman" w:hAnsi="Times New Roman"/>
          <w:sz w:val="18"/>
          <w:szCs w:val="18"/>
          <w:b w:val="1"/>
          <w:bCs w:val="1"/>
          <w:color w:val="auto"/>
        </w:rPr>
        <w:t>10.2.1</w:t>
      </w:r>
      <w:r>
        <w:rPr>
          <w:sz w:val="20"/>
          <w:szCs w:val="20"/>
          <w:color w:val="auto"/>
        </w:rPr>
        <w:tab/>
      </w:r>
      <w:r>
        <w:rPr>
          <w:rFonts w:ascii="Times New Roman" w:cs="Times New Roman" w:eastAsia="Times New Roman" w:hAnsi="Times New Roman"/>
          <w:sz w:val="17"/>
          <w:szCs w:val="17"/>
          <w:b w:val="1"/>
          <w:bCs w:val="1"/>
          <w:color w:val="auto"/>
        </w:rPr>
        <w:t>Right of First Enforcement</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2844" w:hanging="644"/>
        <w:spacing w:after="0" w:line="253" w:lineRule="auto"/>
        <w:tabs>
          <w:tab w:leader="none" w:pos="284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Pfizer’s rights set forth in </w:t>
      </w:r>
      <w:r>
        <w:rPr>
          <w:rFonts w:ascii="Times New Roman" w:cs="Times New Roman" w:eastAsia="Times New Roman" w:hAnsi="Times New Roman"/>
          <w:sz w:val="18"/>
          <w:szCs w:val="18"/>
          <w:u w:val="single" w:color="auto"/>
          <w:color w:val="auto"/>
        </w:rPr>
        <w:t>Section 10.2.1(c)</w:t>
      </w:r>
      <w:r>
        <w:rPr>
          <w:rFonts w:ascii="Times New Roman" w:cs="Times New Roman" w:eastAsia="Times New Roman" w:hAnsi="Times New Roman"/>
          <w:sz w:val="18"/>
          <w:szCs w:val="18"/>
          <w:color w:val="auto"/>
        </w:rPr>
        <w:t xml:space="preserve"> below, Licensee shall have the first right (but not the obligation), [***], to control enforcement of the Licensed Technology against any Third Party Infringement within the scope of its exclusive license. Prior to commencing any such action, Licensee shall consult with Pfizer and shall give due consideration to Pfizer’s timely and reasonable recommendations regarding the proposed action. In order to establish standing, Pfizer, upon the request of Licensee, agrees to timely commence or to join any such litigation, [***], and to cooperate with Licensee in such litigation [***]. Licensee shall give Pfizer timely notice of any proposed settlement of any such action instituted by Licensee and shall not, without the prior written consent of Pfizer, which in the case of (i), (iii) and (iv) below shall not be unreasonably withheld, conditioned or delayed, enter into any settlement that would: (i) adversely affect the validity, enforceability or scope of any of the Licensed Patent Rights, (ii) give rise to liability of Pfizer or its Affiliates, (iii) admit non-infringement of any Licensed Patent Rights, or (iv) otherwise impair Pfizer’s rights in any Licensed Technology or this Agreement.</w:t>
      </w:r>
    </w:p>
    <w:p>
      <w:pPr>
        <w:spacing w:after="0" w:line="95" w:lineRule="exact"/>
        <w:rPr>
          <w:rFonts w:ascii="Times New Roman" w:cs="Times New Roman" w:eastAsia="Times New Roman" w:hAnsi="Times New Roman"/>
          <w:sz w:val="18"/>
          <w:szCs w:val="18"/>
          <w:color w:val="auto"/>
        </w:rPr>
      </w:pPr>
    </w:p>
    <w:p>
      <w:pPr>
        <w:ind w:left="2844" w:right="20" w:hanging="644"/>
        <w:spacing w:after="0" w:line="258" w:lineRule="auto"/>
        <w:tabs>
          <w:tab w:leader="none" w:pos="284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Licensee does not, with respect to its first right of enforcement under </w:t>
      </w:r>
      <w:r>
        <w:rPr>
          <w:rFonts w:ascii="Times New Roman" w:cs="Times New Roman" w:eastAsia="Times New Roman" w:hAnsi="Times New Roman"/>
          <w:sz w:val="18"/>
          <w:szCs w:val="18"/>
          <w:u w:val="single" w:color="auto"/>
          <w:color w:val="auto"/>
        </w:rPr>
        <w:t>Section 10.2.1(a)</w:t>
      </w:r>
      <w:r>
        <w:rPr>
          <w:rFonts w:ascii="Times New Roman" w:cs="Times New Roman" w:eastAsia="Times New Roman" w:hAnsi="Times New Roman"/>
          <w:sz w:val="18"/>
          <w:szCs w:val="18"/>
          <w:color w:val="auto"/>
        </w:rPr>
        <w:t>, obtain agreement from the alleged infringer to desist or fails or refuses to initiate an infringement action by the earlier of (i) [***] following Licensee’s receipt of notice of the alleged infringement, or (ii) [***] before the expiration date for filing such actions, then Pfizer shall have the right, at its sole discretion, to control such enforcement of the Licensed Technology [***].</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65" w:right="459" w:bottom="1440" w:gutter="0" w:footer="0" w:header="0"/>
        </w:sectPr>
      </w:pPr>
    </w:p>
    <w:bookmarkStart w:id="544" w:name="page545"/>
    <w:bookmarkEnd w:id="544"/>
    <w:p>
      <w:pPr>
        <w:ind w:left="2844" w:hanging="644"/>
        <w:spacing w:after="0" w:line="255" w:lineRule="auto"/>
        <w:tabs>
          <w:tab w:leader="none" w:pos="2844"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Pfizer shall have the right (but not the obligation), [***], to control enforcement only of a patent issuing from the [***] or any continuation or divisional thereof [***] against any Third Party Infringement. Prior to commencing any such action, Pfizer shall consult with Licensee and shall give due consideration to Licensee’s timely and reasonable recommendations regarding the proposed action. Pfizer shall give Licensee timely notice of any proposed settlement of any such action instituted by Pfizer and shall not, without the prior written consent of Licensee, which shall not be unreasonably withheld, conditioned or delayed, enter into any settlement that would adversely affect the validity, enforceability or scope of the [***].</w:t>
      </w:r>
    </w:p>
    <w:p>
      <w:pPr>
        <w:spacing w:after="0" w:line="90" w:lineRule="exact"/>
        <w:rPr>
          <w:sz w:val="20"/>
          <w:szCs w:val="20"/>
          <w:color w:val="auto"/>
        </w:rPr>
      </w:pPr>
    </w:p>
    <w:p>
      <w:pPr>
        <w:ind w:left="2204" w:hanging="768"/>
        <w:spacing w:after="0" w:line="259"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10.2.2</w:t>
      </w:r>
      <w:r>
        <w:rPr>
          <w:sz w:val="20"/>
          <w:szCs w:val="20"/>
          <w:color w:val="auto"/>
        </w:rPr>
        <w:tab/>
      </w:r>
      <w:r>
        <w:rPr>
          <w:rFonts w:ascii="Times New Roman" w:cs="Times New Roman" w:eastAsia="Times New Roman" w:hAnsi="Times New Roman"/>
          <w:sz w:val="18"/>
          <w:szCs w:val="18"/>
          <w:b w:val="1"/>
          <w:bCs w:val="1"/>
          <w:color w:val="auto"/>
        </w:rPr>
        <w:t>Recoveries</w:t>
      </w:r>
      <w:r>
        <w:rPr>
          <w:rFonts w:ascii="Times New Roman" w:cs="Times New Roman" w:eastAsia="Times New Roman" w:hAnsi="Times New Roman"/>
          <w:sz w:val="18"/>
          <w:szCs w:val="18"/>
          <w:color w:val="auto"/>
        </w:rPr>
        <w:t>. Any recoveries resulting from an action instituted by Licensee relating to a claim of Third Party Infringement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10.2.1(a)</w:t>
      </w:r>
      <w:r>
        <w:rPr>
          <w:rFonts w:ascii="Times New Roman" w:cs="Times New Roman" w:eastAsia="Times New Roman" w:hAnsi="Times New Roman"/>
          <w:sz w:val="18"/>
          <w:szCs w:val="18"/>
          <w:color w:val="auto"/>
        </w:rPr>
        <w:t xml:space="preserve"> shall first be applied to reimburse each Party’s costs and expenses incurred in connection therewith. Any remaining recoveries shall be retained by (or if received by Pfizer, paid to) Licensee; [***]. If Licensee fails to institute an action or proceeding and Pfizer exercises its right to prosecute such infringement pursuant to </w:t>
      </w:r>
      <w:r>
        <w:rPr>
          <w:rFonts w:ascii="Times New Roman" w:cs="Times New Roman" w:eastAsia="Times New Roman" w:hAnsi="Times New Roman"/>
          <w:sz w:val="18"/>
          <w:szCs w:val="18"/>
          <w:u w:val="single" w:color="auto"/>
          <w:color w:val="auto"/>
        </w:rPr>
        <w:t>Section 10.2.1(b)</w:t>
      </w:r>
      <w:r>
        <w:rPr>
          <w:rFonts w:ascii="Times New Roman" w:cs="Times New Roman" w:eastAsia="Times New Roman" w:hAnsi="Times New Roman"/>
          <w:sz w:val="18"/>
          <w:szCs w:val="18"/>
          <w:color w:val="auto"/>
        </w:rPr>
        <w:t>, any remaining recoveries shall be retained by Pfizer.</w:t>
      </w:r>
    </w:p>
    <w:p>
      <w:pPr>
        <w:spacing w:after="0" w:line="85" w:lineRule="exact"/>
        <w:rPr>
          <w:sz w:val="20"/>
          <w:szCs w:val="20"/>
          <w:color w:val="auto"/>
        </w:rPr>
      </w:pPr>
    </w:p>
    <w:p>
      <w:pPr>
        <w:ind w:left="764" w:hanging="764"/>
        <w:spacing w:after="0"/>
        <w:tabs>
          <w:tab w:leader="none" w:pos="764" w:val="left"/>
        </w:tabs>
        <w:numPr>
          <w:ilvl w:val="0"/>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424" w:right="2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11.1 Obligations</w:t>
      </w:r>
      <w:r>
        <w:rPr>
          <w:rFonts w:ascii="Times New Roman" w:cs="Times New Roman" w:eastAsia="Times New Roman" w:hAnsi="Times New Roman"/>
          <w:sz w:val="18"/>
          <w:szCs w:val="18"/>
          <w:color w:val="auto"/>
        </w:rPr>
        <w:t>. The receiving Party will protect all Confidential Information against unauthorized disclosure to Third Parties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degree of care as the receiving Party uses for its own similar information, but in no event less than a reasonable degree of care. The receiving Party may only use the Confidential Information for exercising its rights and performing its obligations under this Agreement, and may only disclose the Confidential Information to [***] (collectively, “</w:t>
      </w:r>
      <w:r>
        <w:rPr>
          <w:rFonts w:ascii="Times New Roman" w:cs="Times New Roman" w:eastAsia="Times New Roman" w:hAnsi="Times New Roman"/>
          <w:sz w:val="18"/>
          <w:szCs w:val="18"/>
          <w:b w:val="1"/>
          <w:bCs w:val="1"/>
          <w:color w:val="auto"/>
        </w:rPr>
        <w:t>Recipients</w:t>
      </w:r>
      <w:r>
        <w:rPr>
          <w:rFonts w:ascii="Times New Roman" w:cs="Times New Roman" w:eastAsia="Times New Roman" w:hAnsi="Times New Roman"/>
          <w:sz w:val="18"/>
          <w:szCs w:val="18"/>
          <w:color w:val="auto"/>
        </w:rPr>
        <w:t xml:space="preserve">”) who have a need to know such information for exercising its rights and performing its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receiving Party shall hold such Recipients to written obligations of confidentiality with terms and conditions at least as restrictive as those set forth in this Agreement. All obligations of confidentiality under this Agreement shall survive expiration or termination of this Agreement for a period of [***].</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69" w:right="459" w:bottom="1440" w:gutter="0" w:footer="0" w:header="0"/>
        </w:sectPr>
      </w:pPr>
    </w:p>
    <w:bookmarkStart w:id="545" w:name="page546"/>
    <w:bookmarkEnd w:id="54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31" w:lineRule="exact"/>
        <w:rPr>
          <w:sz w:val="20"/>
          <w:szCs w:val="20"/>
          <w:color w:val="auto"/>
        </w:rPr>
      </w:pPr>
    </w:p>
    <w:p>
      <w:pPr>
        <w:ind w:left="1440" w:hanging="768"/>
        <w:spacing w:after="0" w:line="25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11.2.1</w:t>
      </w:r>
      <w:r>
        <w:rPr>
          <w:sz w:val="20"/>
          <w:szCs w:val="20"/>
          <w:color w:val="auto"/>
        </w:rPr>
        <w:tab/>
      </w:r>
      <w:r>
        <w:rPr>
          <w:rFonts w:ascii="Times New Roman" w:cs="Times New Roman" w:eastAsia="Times New Roman" w:hAnsi="Times New Roman"/>
          <w:sz w:val="18"/>
          <w:szCs w:val="18"/>
          <w:b w:val="1"/>
          <w:bCs w:val="1"/>
          <w:color w:val="auto"/>
        </w:rPr>
        <w:t>Disclosure Required by Law</w:t>
      </w:r>
      <w:r>
        <w:rPr>
          <w:rFonts w:ascii="Times New Roman" w:cs="Times New Roman" w:eastAsia="Times New Roman" w:hAnsi="Times New Roman"/>
          <w:sz w:val="18"/>
          <w:szCs w:val="18"/>
          <w:color w:val="auto"/>
        </w:rPr>
        <w:t>. The restrictions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apply to any 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the receiving Party is required to disclose under Applicable Laws, the rules of any recognized stock exchange or any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receiving Party: (a) provides the disclosing Party with prompt notice of such disclosure requirement if legally permitted, (b) affords the disclosing Party an opportunity to oppose, limit or secure confidential treatment for such required disclosure and (c) if the disclosing Party is unsuccessful in its efforts pursuant to subsection (b), discloses only that portion of the Confidential Information that the receiving Party is required to disclose under Applicable Laws or the rules of any recognized stock exchange or such Order as advised by the receiving Party’s legal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disclosing this Agreement or any of the terms hereof pursuant to this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xml:space="preserve">, the Parties will consult with one another on the terms of this Agreement to be redacted in making any such disclosure, with the disclosing Party providing as much advanced notice as is feasible under the circumstances, and giving consideration to the comments of the other Party. For the avoidance of doubt, Licensee shall be permitted to file this Agreement with the Securities and Exchange Commission in connection with an initial public offering of Licensee’s stock or as otherwise required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Licensee shall, [***], seek such confidential treatment of confidential portions of this Agreement as may be reasonably requested by Pfizer. Notwithstanding the foregoing or anything else to the contrary in this Agreement, each Party (and each employee, representative or other agent of any Party) may disclose to any and all persons, without limitation of any kind, the tax treatment and tax structure of, and tax strategies relating to, the transactions in which such Party participates pursuant to this Agreement. For this purpose, “tax structure” is limited to any facts relevant to the United States federal income tax treatment of such transactions and does not include information relating to the specific identity of the Parties.</w:t>
      </w:r>
    </w:p>
    <w:p>
      <w:pPr>
        <w:spacing w:after="0" w:line="96"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11.2.2</w:t>
      </w:r>
      <w:r>
        <w:rPr>
          <w:sz w:val="20"/>
          <w:szCs w:val="20"/>
          <w:color w:val="auto"/>
        </w:rPr>
        <w:tab/>
      </w:r>
      <w:r>
        <w:rPr>
          <w:rFonts w:ascii="Times New Roman" w:cs="Times New Roman" w:eastAsia="Times New Roman" w:hAnsi="Times New Roman"/>
          <w:sz w:val="17"/>
          <w:szCs w:val="17"/>
          <w:b w:val="1"/>
          <w:bCs w:val="1"/>
          <w:color w:val="auto"/>
        </w:rPr>
        <w:t>Disclosure to Assignee of Payments</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2080" w:right="80" w:hanging="644"/>
        <w:spacing w:after="0" w:line="256" w:lineRule="auto"/>
        <w:tabs>
          <w:tab w:leader="none" w:pos="20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Pfizer wishes to assign, pledge or otherwise transfer its rights to receive some or all of the U.S. Sales Milestone Payment and Licensee Royalties payable hereunder, Pfizer may disclose to a Third Party Confidential Information of Licensee reasonably relevant to such U.S. Sales Milestone or Licensee Royalties (as applicable) in connection with any such proposed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Pfizer shall hold such Third Parties to written obligations of confidentiality and non-use with terms and conditions at least as restrictive as those set forth in this Agreement.</w:t>
      </w:r>
    </w:p>
    <w:p>
      <w:pPr>
        <w:spacing w:after="0" w:line="92" w:lineRule="exact"/>
        <w:rPr>
          <w:rFonts w:ascii="Times New Roman" w:cs="Times New Roman" w:eastAsia="Times New Roman" w:hAnsi="Times New Roman"/>
          <w:sz w:val="18"/>
          <w:szCs w:val="18"/>
          <w:color w:val="auto"/>
        </w:rPr>
      </w:pPr>
    </w:p>
    <w:p>
      <w:pPr>
        <w:ind w:left="2080" w:right="140" w:hanging="644"/>
        <w:spacing w:after="0" w:line="256" w:lineRule="auto"/>
        <w:tabs>
          <w:tab w:leader="none" w:pos="20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Licensee wishes to assign, pledge or otherwise transfer its rights to receive some or all of the ROW Sales Milestone Payment and Pfizer Royalties payable hereunder, Licensee may disclose to a Third Party Confidential Information of Pfizer reasonably relevant to such ROW Sales Milestone or Pfizer Royalties (as applicable) in connection with any such proposed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Licensee shall hold such Third Parties to written obligations of confidentiality and non-use with terms and conditions at least as restrictive as those set forth in this Agreement.</w:t>
      </w:r>
    </w:p>
    <w:p>
      <w:pPr>
        <w:spacing w:after="0" w:line="1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260"/>
          </w:cols>
          <w:pgMar w:left="1200" w:top="265" w:right="439" w:bottom="1440" w:gutter="0" w:footer="0" w:header="0"/>
        </w:sectPr>
      </w:pPr>
    </w:p>
    <w:bookmarkStart w:id="546" w:name="page547"/>
    <w:bookmarkEnd w:id="546"/>
    <w:p>
      <w:pPr>
        <w:ind w:left="2204" w:right="200" w:hanging="768"/>
        <w:spacing w:after="0" w:line="286"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11.2.3</w:t>
      </w:r>
      <w:r>
        <w:rPr>
          <w:sz w:val="20"/>
          <w:szCs w:val="20"/>
          <w:color w:val="auto"/>
        </w:rPr>
        <w:tab/>
      </w:r>
      <w:r>
        <w:rPr>
          <w:rFonts w:ascii="Times New Roman" w:cs="Times New Roman" w:eastAsia="Times New Roman" w:hAnsi="Times New Roman"/>
          <w:sz w:val="18"/>
          <w:szCs w:val="18"/>
          <w:b w:val="1"/>
          <w:bCs w:val="1"/>
          <w:color w:val="auto"/>
        </w:rPr>
        <w:t>Use of Residuals</w:t>
      </w:r>
      <w:r>
        <w:rPr>
          <w:rFonts w:ascii="Times New Roman" w:cs="Times New Roman" w:eastAsia="Times New Roman" w:hAnsi="Times New Roman"/>
          <w:sz w:val="18"/>
          <w:szCs w:val="18"/>
          <w:color w:val="auto"/>
        </w:rPr>
        <w:t>. The restrictions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apply to the use of Residuals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1424" w:right="80" w:hanging="647"/>
        <w:spacing w:after="0" w:line="257"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8"/>
          <w:szCs w:val="18"/>
          <w:b w:val="1"/>
          <w:bCs w:val="1"/>
          <w:color w:val="auto"/>
        </w:rPr>
        <w:t>Ongoing Obligation for Confidentiality</w:t>
      </w:r>
      <w:r>
        <w:rPr>
          <w:rFonts w:ascii="Times New Roman" w:cs="Times New Roman" w:eastAsia="Times New Roman" w:hAnsi="Times New Roman"/>
          <w:sz w:val="18"/>
          <w:szCs w:val="18"/>
          <w:color w:val="auto"/>
        </w:rPr>
        <w:t>. Upon expiration or termination of this Agreement, the receiving Party shall,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its Recipients to, destroy or return (as requested by the disclosing Party) any Confidential Information of the disclosing Party, except that the receiving Party (a) may retain a single copy of Confidential Information for the sole purpose of (i) ascertaining its rights and responsibilities in respect of such information and (ii) exercising its rights that expressly survive the expiration or termination of this Agreement and (b) shall not be required to destroy any computer files stored securely by the receiving Party that are created by automatic system back up.</w:t>
      </w:r>
    </w:p>
    <w:p>
      <w:pPr>
        <w:spacing w:after="0" w:line="88"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p>
      <w:pPr>
        <w:ind w:left="764" w:hanging="764"/>
        <w:spacing w:after="0"/>
        <w:tabs>
          <w:tab w:leader="none" w:pos="764"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COVENANTS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24" w:right="280" w:hanging="647"/>
        <w:spacing w:after="0" w:line="286"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8"/>
          <w:szCs w:val="18"/>
          <w:b w:val="1"/>
          <w:bCs w:val="1"/>
          <w:color w:val="auto"/>
        </w:rPr>
        <w:t>Representations and Warranties by Each Party</w:t>
      </w:r>
      <w:r>
        <w:rPr>
          <w:rFonts w:ascii="Times New Roman" w:cs="Times New Roman" w:eastAsia="Times New Roman" w:hAnsi="Times New Roman"/>
          <w:sz w:val="18"/>
          <w:szCs w:val="18"/>
          <w:color w:val="auto"/>
        </w:rPr>
        <w:t>. Each Party represents and warrants to the other Party as of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w:t>
      </w:r>
    </w:p>
    <w:p>
      <w:pPr>
        <w:spacing w:after="0" w:line="60" w:lineRule="exact"/>
        <w:rPr>
          <w:sz w:val="20"/>
          <w:szCs w:val="20"/>
          <w:color w:val="auto"/>
        </w:rPr>
      </w:pPr>
    </w:p>
    <w:p>
      <w:pPr>
        <w:ind w:left="1424"/>
        <w:spacing w:after="0"/>
        <w:tabs>
          <w:tab w:leader="none" w:pos="2184" w:val="left"/>
        </w:tabs>
        <w:rPr>
          <w:sz w:val="20"/>
          <w:szCs w:val="20"/>
          <w:color w:val="auto"/>
        </w:rPr>
      </w:pPr>
      <w:r>
        <w:rPr>
          <w:rFonts w:ascii="Times New Roman" w:cs="Times New Roman" w:eastAsia="Times New Roman" w:hAnsi="Times New Roman"/>
          <w:sz w:val="18"/>
          <w:szCs w:val="18"/>
          <w:b w:val="1"/>
          <w:bCs w:val="1"/>
          <w:color w:val="auto"/>
        </w:rPr>
        <w:t>12.1.1</w:t>
      </w:r>
      <w:r>
        <w:rPr>
          <w:sz w:val="20"/>
          <w:szCs w:val="20"/>
          <w:color w:val="auto"/>
        </w:rPr>
        <w:tab/>
      </w:r>
      <w:r>
        <w:rPr>
          <w:rFonts w:ascii="Times New Roman" w:cs="Times New Roman" w:eastAsia="Times New Roman" w:hAnsi="Times New Roman"/>
          <w:sz w:val="17"/>
          <w:szCs w:val="17"/>
          <w:color w:val="auto"/>
        </w:rPr>
        <w:t>it is a corporation duly organized, validly existing, and in good standing under the laws of its jurisdiction of formation;</w:t>
      </w:r>
    </w:p>
    <w:p>
      <w:pPr>
        <w:spacing w:after="0" w:line="131" w:lineRule="exact"/>
        <w:rPr>
          <w:sz w:val="20"/>
          <w:szCs w:val="20"/>
          <w:color w:val="auto"/>
        </w:rPr>
      </w:pPr>
    </w:p>
    <w:p>
      <w:pPr>
        <w:ind w:left="2204" w:right="140" w:hanging="768"/>
        <w:spacing w:after="0" w:line="261"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12.1.2</w:t>
      </w:r>
      <w:r>
        <w:rPr>
          <w:sz w:val="20"/>
          <w:szCs w:val="20"/>
          <w:color w:val="auto"/>
        </w:rPr>
        <w:tab/>
      </w:r>
      <w:r>
        <w:rPr>
          <w:rFonts w:ascii="Times New Roman" w:cs="Times New Roman" w:eastAsia="Times New Roman" w:hAnsi="Times New Roman"/>
          <w:sz w:val="18"/>
          <w:szCs w:val="18"/>
          <w:color w:val="auto"/>
        </w:rPr>
        <w:t>it has full corporate power and authority to execute, deliver, and perform under the Transaction Agreements to which it will be a party, and has taken all corporate action required by Applicable Law and its organizational documents to authorize the execution and delivery of the Transaction Agreements to which it will be a party and the consummation of the transactions contemplated by the Transaction Agreements to which it will be a party;</w:t>
      </w:r>
    </w:p>
    <w:p>
      <w:pPr>
        <w:spacing w:after="0" w:line="85" w:lineRule="exact"/>
        <w:rPr>
          <w:sz w:val="20"/>
          <w:szCs w:val="20"/>
          <w:color w:val="auto"/>
        </w:rPr>
      </w:pPr>
    </w:p>
    <w:p>
      <w:pPr>
        <w:ind w:left="2204" w:right="560" w:hanging="768"/>
        <w:spacing w:after="0" w:line="282"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12.1.3</w:t>
      </w:r>
      <w:r>
        <w:rPr>
          <w:sz w:val="20"/>
          <w:szCs w:val="20"/>
          <w:color w:val="auto"/>
        </w:rPr>
        <w:tab/>
      </w:r>
      <w:r>
        <w:rPr>
          <w:rFonts w:ascii="Times New Roman" w:cs="Times New Roman" w:eastAsia="Times New Roman" w:hAnsi="Times New Roman"/>
          <w:sz w:val="18"/>
          <w:szCs w:val="18"/>
          <w:color w:val="auto"/>
        </w:rPr>
        <w:t>the Transaction Agreements to which it will be a party will, at and after the Closing, constitute a valid and binding agreement enforceable against it in accordance with their terms;</w:t>
      </w:r>
    </w:p>
    <w:p>
      <w:pPr>
        <w:spacing w:after="0" w:line="67" w:lineRule="exact"/>
        <w:rPr>
          <w:sz w:val="20"/>
          <w:szCs w:val="20"/>
          <w:color w:val="auto"/>
        </w:rPr>
      </w:pPr>
    </w:p>
    <w:p>
      <w:pPr>
        <w:ind w:left="2204" w:hanging="768"/>
        <w:spacing w:after="0" w:line="312" w:lineRule="auto"/>
        <w:tabs>
          <w:tab w:leader="none" w:pos="2184" w:val="left"/>
        </w:tabs>
        <w:rPr>
          <w:sz w:val="20"/>
          <w:szCs w:val="20"/>
          <w:color w:val="auto"/>
        </w:rPr>
      </w:pPr>
      <w:r>
        <w:rPr>
          <w:rFonts w:ascii="Times New Roman" w:cs="Times New Roman" w:eastAsia="Times New Roman" w:hAnsi="Times New Roman"/>
          <w:sz w:val="18"/>
          <w:szCs w:val="18"/>
          <w:b w:val="1"/>
          <w:bCs w:val="1"/>
          <w:color w:val="auto"/>
        </w:rPr>
        <w:t>12.1.4</w:t>
      </w:r>
      <w:r>
        <w:rPr>
          <w:sz w:val="20"/>
          <w:szCs w:val="20"/>
          <w:color w:val="auto"/>
        </w:rPr>
        <w:tab/>
      </w:r>
      <w:r>
        <w:rPr>
          <w:rFonts w:ascii="Times New Roman" w:cs="Times New Roman" w:eastAsia="Times New Roman" w:hAnsi="Times New Roman"/>
          <w:sz w:val="17"/>
          <w:szCs w:val="17"/>
          <w:color w:val="auto"/>
        </w:rPr>
        <w:t>all consents, approvals and authorizations from all Governmental Authorities or other Third Parties required to be obtained by such Party in connection with the Transaction Agreements to which it will be a party have been obtained; and</w:t>
      </w:r>
    </w:p>
    <w:p>
      <w:pPr>
        <w:spacing w:after="0" w:line="7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4"/>
          </w:cols>
          <w:pgMar w:left="436" w:top="265" w:right="479" w:bottom="1440" w:gutter="0" w:footer="0" w:header="0"/>
        </w:sectPr>
      </w:pPr>
    </w:p>
    <w:bookmarkStart w:id="547" w:name="page548"/>
    <w:bookmarkEnd w:id="547"/>
    <w:p>
      <w:pPr>
        <w:ind w:left="1440" w:right="100" w:hanging="768"/>
        <w:spacing w:after="0" w:line="258"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12.1.5</w:t>
      </w:r>
      <w:r>
        <w:rPr>
          <w:sz w:val="20"/>
          <w:szCs w:val="20"/>
          <w:color w:val="auto"/>
        </w:rPr>
        <w:tab/>
      </w:r>
      <w:r>
        <w:rPr>
          <w:rFonts w:ascii="Times New Roman" w:cs="Times New Roman" w:eastAsia="Times New Roman" w:hAnsi="Times New Roman"/>
          <w:sz w:val="18"/>
          <w:szCs w:val="18"/>
          <w:color w:val="auto"/>
        </w:rPr>
        <w:t>the execution and delivery of the Transaction Agreements to which it will be a party and all other instruments and documents required to be executed pursuant to the Transaction Agreements to which it will be a party, and the consummation of the transactions contemplated thereby do not and shall not: (i) conflict with or result in a breach of any provision of its organizational documents, (ii) result in a breach of any agreement to which it is a party that would impair the performance of its obligations thereunder; or (iii) violate any Applicable Law.</w:t>
      </w:r>
    </w:p>
    <w:p>
      <w:pPr>
        <w:spacing w:after="0" w:line="89" w:lineRule="exact"/>
        <w:rPr>
          <w:sz w:val="20"/>
          <w:szCs w:val="20"/>
          <w:color w:val="auto"/>
        </w:rPr>
      </w:pPr>
    </w:p>
    <w:p>
      <w:pPr>
        <w:ind w:left="660" w:right="30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b w:val="1"/>
          <w:bCs w:val="1"/>
          <w:color w:val="auto"/>
        </w:rPr>
        <w:t>Representations and Warranties and Covenants by Pfizer</w:t>
      </w:r>
      <w:r>
        <w:rPr>
          <w:rFonts w:ascii="Times New Roman" w:cs="Times New Roman" w:eastAsia="Times New Roman" w:hAnsi="Times New Roman"/>
          <w:sz w:val="18"/>
          <w:szCs w:val="18"/>
          <w:color w:val="auto"/>
        </w:rPr>
        <w:t>. Pfizer represents and warrants to Licensee as of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t>
      </w:r>
    </w:p>
    <w:p>
      <w:pPr>
        <w:spacing w:after="0" w:line="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Representations, Warranties and Covenants by Licensee. [***]</w:t>
      </w:r>
    </w:p>
    <w:p>
      <w:pPr>
        <w:spacing w:after="0" w:line="131" w:lineRule="exact"/>
        <w:rPr>
          <w:sz w:val="20"/>
          <w:szCs w:val="20"/>
          <w:color w:val="auto"/>
        </w:rPr>
      </w:pPr>
    </w:p>
    <w:p>
      <w:pPr>
        <w:ind w:left="660" w:right="3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8"/>
          <w:szCs w:val="18"/>
          <w:b w:val="1"/>
          <w:bCs w:val="1"/>
          <w:color w:val="auto"/>
        </w:rPr>
        <w:t>Representations, Warranties and Covenants Related to Anti-Corruption Laws and Healthcare Laws</w:t>
      </w:r>
      <w:r>
        <w:rPr>
          <w:rFonts w:ascii="Times New Roman" w:cs="Times New Roman" w:eastAsia="Times New Roman" w:hAnsi="Times New Roman"/>
          <w:sz w:val="18"/>
          <w:szCs w:val="18"/>
          <w:color w:val="auto"/>
        </w:rPr>
        <w:t>. Without limiting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generality of </w:t>
      </w:r>
      <w:r>
        <w:rPr>
          <w:rFonts w:ascii="Times New Roman" w:cs="Times New Roman" w:eastAsia="Times New Roman" w:hAnsi="Times New Roman"/>
          <w:sz w:val="18"/>
          <w:szCs w:val="18"/>
          <w:u w:val="single" w:color="auto"/>
          <w:color w:val="auto"/>
        </w:rPr>
        <w:t>Section 12.3.2</w:t>
      </w:r>
      <w:r>
        <w:rPr>
          <w:rFonts w:ascii="Times New Roman" w:cs="Times New Roman" w:eastAsia="Times New Roman" w:hAnsi="Times New Roman"/>
          <w:sz w:val="18"/>
          <w:szCs w:val="18"/>
          <w:color w:val="auto"/>
        </w:rPr>
        <w:t>, Licensee represents, warrants and covenants to Pfizer as of the Effective Date as follows:</w:t>
      </w:r>
    </w:p>
    <w:p>
      <w:pPr>
        <w:spacing w:after="0" w:line="60"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12.4.1</w:t>
      </w:r>
      <w:r>
        <w:rPr>
          <w:sz w:val="20"/>
          <w:szCs w:val="20"/>
          <w:color w:val="auto"/>
        </w:rPr>
        <w:tab/>
      </w:r>
      <w:r>
        <w:rPr>
          <w:rFonts w:ascii="Times New Roman" w:cs="Times New Roman" w:eastAsia="Times New Roman" w:hAnsi="Times New Roman"/>
          <w:sz w:val="17"/>
          <w:szCs w:val="17"/>
          <w:b w:val="1"/>
          <w:bCs w:val="1"/>
          <w:color w:val="auto"/>
        </w:rPr>
        <w:t>Licensee shall comply with all applicable Anti-Corruption Laws and Healthcare Laws. [***]</w:t>
      </w:r>
    </w:p>
    <w:p>
      <w:pPr>
        <w:spacing w:after="0" w:line="131" w:lineRule="exact"/>
        <w:rPr>
          <w:sz w:val="20"/>
          <w:szCs w:val="20"/>
          <w:color w:val="auto"/>
        </w:rPr>
      </w:pPr>
    </w:p>
    <w:p>
      <w:pPr>
        <w:ind w:left="660" w:right="70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8"/>
          <w:szCs w:val="18"/>
          <w:b w:val="1"/>
          <w:bCs w:val="1"/>
          <w:color w:val="auto"/>
        </w:rPr>
        <w:t>Representations, Warranties and Covenants Related to Global Trade Control Laws</w:t>
      </w:r>
      <w:r>
        <w:rPr>
          <w:rFonts w:ascii="Times New Roman" w:cs="Times New Roman" w:eastAsia="Times New Roman" w:hAnsi="Times New Roman"/>
          <w:sz w:val="18"/>
          <w:szCs w:val="18"/>
          <w:color w:val="auto"/>
        </w:rPr>
        <w:t>. Without limiting the generality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12.3.2</w:t>
      </w:r>
      <w:r>
        <w:rPr>
          <w:rFonts w:ascii="Times New Roman" w:cs="Times New Roman" w:eastAsia="Times New Roman" w:hAnsi="Times New Roman"/>
          <w:sz w:val="18"/>
          <w:szCs w:val="18"/>
          <w:color w:val="auto"/>
        </w:rPr>
        <w:t>, Licensee represents, warrants and covenants to Pfizer as follows: [***]</w:t>
      </w:r>
    </w:p>
    <w:p>
      <w:pPr>
        <w:spacing w:after="0" w:line="60" w:lineRule="exact"/>
        <w:rPr>
          <w:sz w:val="20"/>
          <w:szCs w:val="20"/>
          <w:color w:val="auto"/>
        </w:rPr>
      </w:pPr>
    </w:p>
    <w:p>
      <w:pPr>
        <w:jc w:val="both"/>
        <w:ind w:left="660" w:right="44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8"/>
          <w:szCs w:val="18"/>
          <w:b w:val="1"/>
          <w:bCs w:val="1"/>
          <w:color w:val="auto"/>
        </w:rPr>
        <w:t>No Action Required Which Would Violate Law</w:t>
      </w:r>
      <w:r>
        <w:rPr>
          <w:rFonts w:ascii="Times New Roman" w:cs="Times New Roman" w:eastAsia="Times New Roman" w:hAnsi="Times New Roman"/>
          <w:sz w:val="18"/>
          <w:szCs w:val="18"/>
          <w:color w:val="auto"/>
        </w:rPr>
        <w:t>. In no event shall either Party be obligated under this Agreement to take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or omit to take any action that such Party believes, in good faith, would cause such Party to violate any Applicable Law, including the Anti-Corruption Laws and Global Trade Control Laws.</w:t>
      </w:r>
    </w:p>
    <w:p>
      <w:pPr>
        <w:spacing w:after="0" w:line="76" w:lineRule="exact"/>
        <w:rPr>
          <w:sz w:val="20"/>
          <w:szCs w:val="20"/>
          <w:color w:val="auto"/>
        </w:rPr>
      </w:pPr>
    </w:p>
    <w:p>
      <w:pPr>
        <w:ind w:left="660" w:right="14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EXCEPT AS EXPRESSLY STATED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NEITHER PARTY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REPRESENTATIONS OR EXTENDS ANY WARRANTIES OF ANY KIND, EITHER EXPRESS OR IMPLIED, STATUTORY OR OTHERWISE, INCLUDING WARRANTIES OF TITLE, NON-INFRINGEMENT, VALIDITY, ENFORCEABILITY, MERCHANTABILITY AND FITNESS FOR A PARTICULAR PURPOSE. EXCEPT AS EXPRESSLY STATED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ANY INFORMATION OR MATERIALS PROVIDED BY PFIZER OR ITS AFFILIATES IS MADE AVAILABLE ON AN “AS IS” BASIS WITHOUT WARRANTY WITH RESPECT TO COMPLETENESS, COMPLIANCE WITH REGULATORY STANDARDS OR REGULATIONS OR FITNESS FOR A PARTICULAR PURPOSE OR ANY OTHER KIND OF WARRANTY WHETHER EXPRESS OR IMPLIED.</w:t>
      </w:r>
    </w:p>
    <w:p>
      <w:pPr>
        <w:spacing w:after="0" w:line="90" w:lineRule="exact"/>
        <w:rPr>
          <w:sz w:val="20"/>
          <w:szCs w:val="20"/>
          <w:color w:val="auto"/>
        </w:rPr>
      </w:pPr>
    </w:p>
    <w:p>
      <w:pPr>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8"/>
          <w:szCs w:val="18"/>
          <w:b w:val="1"/>
          <w:bCs w:val="1"/>
          <w:color w:val="auto"/>
        </w:rPr>
        <w:t>Disclaimer</w:t>
      </w:r>
      <w:r>
        <w:rPr>
          <w:rFonts w:ascii="Times New Roman" w:cs="Times New Roman" w:eastAsia="Times New Roman" w:hAnsi="Times New Roman"/>
          <w:sz w:val="18"/>
          <w:szCs w:val="18"/>
          <w:color w:val="auto"/>
        </w:rPr>
        <w:t>. Licensee hereby expressly acknowledges and agrees that Pfizer makes no representation or warranty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estimates, projections, forecasts, plans or budgets that may have been provided to Licensee. Licensee (a) specifically disclaims that it is relying upon or has relied upon any representations or warranties other than as set forth in </w:t>
      </w:r>
      <w:r>
        <w:rPr>
          <w:rFonts w:ascii="Times New Roman" w:cs="Times New Roman" w:eastAsia="Times New Roman" w:hAnsi="Times New Roman"/>
          <w:sz w:val="18"/>
          <w:szCs w:val="18"/>
          <w:u w:val="single" w:color="auto"/>
          <w:color w:val="auto"/>
        </w:rPr>
        <w:t>Sections 12.1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 that may have been made by any</w:t>
      </w:r>
    </w:p>
    <w:p>
      <w:pPr>
        <w:spacing w:after="0" w:line="11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240"/>
          </w:cols>
          <w:pgMar w:left="1200" w:top="265" w:right="459" w:bottom="1440" w:gutter="0" w:footer="0" w:header="0"/>
        </w:sectPr>
      </w:pPr>
    </w:p>
    <w:bookmarkStart w:id="548" w:name="page549"/>
    <w:bookmarkEnd w:id="548"/>
    <w:p>
      <w:pPr>
        <w:ind w:left="142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Person, and acknowledges and agrees that Pfizer and its Affiliates specifically disclaimed and do hereby specifically disclaim any such other representation or warranty made by any Person, (b) specifically disclaims any obligation or duty by Pfizer and its Affiliates to make any disclosures of fact not required to be disclosed pursuant to the specific representations and warranties set forth in </w:t>
      </w:r>
      <w:r>
        <w:rPr>
          <w:rFonts w:ascii="Times New Roman" w:cs="Times New Roman" w:eastAsia="Times New Roman" w:hAnsi="Times New Roman"/>
          <w:sz w:val="18"/>
          <w:szCs w:val="18"/>
          <w:u w:val="single" w:color="auto"/>
          <w:color w:val="auto"/>
        </w:rPr>
        <w:t>Sections 12.1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 xml:space="preserve"> and (c) is entering into the transactions contemplated hereby and acquiring the Licensed Technology in connection with the transactions contemplated hereby subject only to the specific representations and warranties of Pfizer set forth in </w:t>
      </w:r>
      <w:r>
        <w:rPr>
          <w:rFonts w:ascii="Times New Roman" w:cs="Times New Roman" w:eastAsia="Times New Roman" w:hAnsi="Times New Roman"/>
          <w:sz w:val="18"/>
          <w:szCs w:val="18"/>
          <w:u w:val="single" w:color="auto"/>
          <w:color w:val="auto"/>
        </w:rPr>
        <w:t>Sections 12.1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 Licensee hereby further acknowledges that (i) it has conducted, to its satisfaction, an independent investigation, due diligence review and verification of the Licensed Technology and (ii) it is an informed and sophisticated Person and has engaged advisors experienced in the evaluation and consummation of transactions of the type contemplated hereunder.</w:t>
      </w:r>
    </w:p>
    <w:p>
      <w:pPr>
        <w:spacing w:after="0" w:line="93" w:lineRule="exact"/>
        <w:rPr>
          <w:sz w:val="20"/>
          <w:szCs w:val="20"/>
          <w:color w:val="auto"/>
        </w:rPr>
      </w:pPr>
    </w:p>
    <w:p>
      <w:pPr>
        <w:ind w:left="1424" w:right="4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7"/>
          <w:szCs w:val="17"/>
          <w:b w:val="1"/>
          <w:bCs w:val="1"/>
          <w:color w:val="auto"/>
        </w:rPr>
        <w:t>Other Government Approvals</w:t>
      </w:r>
      <w:r>
        <w:rPr>
          <w:rFonts w:ascii="Times New Roman" w:cs="Times New Roman" w:eastAsia="Times New Roman" w:hAnsi="Times New Roman"/>
          <w:sz w:val="17"/>
          <w:szCs w:val="17"/>
          <w:color w:val="auto"/>
        </w:rPr>
        <w:t>. Each of Licensee and Pfizer shall cooperate with the other Party and shall use reasonable efforts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make all registrations, filings and applications, to give all notices and to obtain as soon as practicable all governmental or other consents, transfers, approvals, orders, qualifications authorizations, permits and waivers required in connection with this Agreement, if any, and to do all other things necessary or desirable for the consummation of the transactions as contemplated hereby.</w:t>
      </w:r>
    </w:p>
    <w:p>
      <w:pPr>
        <w:spacing w:after="0" w:line="67" w:lineRule="exact"/>
        <w:rPr>
          <w:sz w:val="20"/>
          <w:szCs w:val="20"/>
          <w:color w:val="auto"/>
        </w:rPr>
      </w:pPr>
    </w:p>
    <w:p>
      <w:pPr>
        <w:ind w:left="764" w:hanging="764"/>
        <w:spacing w:after="0"/>
        <w:tabs>
          <w:tab w:leader="none" w:pos="764" w:val="left"/>
        </w:tabs>
        <w:numPr>
          <w:ilvl w:val="0"/>
          <w:numId w:val="4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424"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13.1 Indemnification by Licensee</w:t>
      </w:r>
      <w:r>
        <w:rPr>
          <w:rFonts w:ascii="Times New Roman" w:cs="Times New Roman" w:eastAsia="Times New Roman" w:hAnsi="Times New Roman"/>
          <w:sz w:val="18"/>
          <w:szCs w:val="18"/>
          <w:color w:val="auto"/>
        </w:rPr>
        <w:t>. From and after the Closing, Licensee agrees to indemnify, hold harmless and defend Pfizer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its and their respective officers, directors, employees, contractors, agents and successors and assigns (collectively, “</w:t>
      </w:r>
      <w:r>
        <w:rPr>
          <w:rFonts w:ascii="Times New Roman" w:cs="Times New Roman" w:eastAsia="Times New Roman" w:hAnsi="Times New Roman"/>
          <w:sz w:val="18"/>
          <w:szCs w:val="18"/>
          <w:b w:val="1"/>
          <w:bCs w:val="1"/>
          <w:color w:val="auto"/>
        </w:rPr>
        <w:t>Pfizer Indemnitees</w:t>
      </w:r>
      <w:r>
        <w:rPr>
          <w:rFonts w:ascii="Times New Roman" w:cs="Times New Roman" w:eastAsia="Times New Roman" w:hAnsi="Times New Roman"/>
          <w:sz w:val="18"/>
          <w:szCs w:val="18"/>
          <w:color w:val="auto"/>
        </w:rPr>
        <w:t xml:space="preserve">”), from and against any Losses to the extent arising or resulting from: (a) [***], (e) the negligence, recklessness or wrongful intentional acts or omissions of Licensee or its Affiliates, contractors, subcontractors or sublicensees in the exercise of their rights or performance of their obligations hereunder, (f) breach by Licensee of any representation, warranty or covenant as set forth in this Agreement or (g) breach by Licensee of the scope of the license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Notwithstanding the foregoing, Licensee shall not be liable and have no obligation to indemnify Pfizer to the extent such losses arise out of or result from (a) the breach by Pfizer of any representation, warranty or covenant set forth in this Agreement, or (b) the negligence, recklessness, wrongful intentional act or omission, or violation of Applicable Law by any Pfizer Indemnitee.</w:t>
      </w:r>
    </w:p>
    <w:p>
      <w:pPr>
        <w:spacing w:after="0" w:line="93" w:lineRule="exact"/>
        <w:rPr>
          <w:rFonts w:ascii="Times New Roman" w:cs="Times New Roman" w:eastAsia="Times New Roman" w:hAnsi="Times New Roman"/>
          <w:sz w:val="18"/>
          <w:szCs w:val="18"/>
          <w:b w:val="1"/>
          <w:bCs w:val="1"/>
          <w:color w:val="auto"/>
        </w:rPr>
      </w:pPr>
    </w:p>
    <w:p>
      <w:pPr>
        <w:ind w:left="1424" w:right="260" w:hanging="648"/>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13.2 Indemnification by Pfizer</w:t>
      </w:r>
      <w:r>
        <w:rPr>
          <w:rFonts w:ascii="Times New Roman" w:cs="Times New Roman" w:eastAsia="Times New Roman" w:hAnsi="Times New Roman"/>
          <w:sz w:val="18"/>
          <w:szCs w:val="18"/>
          <w:color w:val="auto"/>
        </w:rPr>
        <w:t>. From and after the Closing, Pfizer agrees to indemnify, hold harmless and defend Licensee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its and their respective officers, directors, employees, agents and successors and assigns (collectively,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Losses to the extent arising or resulting from: (a) the negligence, recklessness or wrongful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intentional acts or omissions of Pfizer or its Affiliates, contractors, subcontractors or sublicensees in the exercise of their rights or performance of their obligations hereunder [***], 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69" w:right="459" w:bottom="1440" w:gutter="0" w:footer="0" w:header="0"/>
        </w:sectPr>
      </w:pPr>
    </w:p>
    <w:bookmarkStart w:id="549" w:name="page550"/>
    <w:bookmarkEnd w:id="549"/>
    <w:p>
      <w:pPr>
        <w:ind w:left="660" w:firstLine="7"/>
        <w:spacing w:after="0" w:line="261" w:lineRule="auto"/>
        <w:tabs>
          <w:tab w:leader="none" w:pos="90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breach by Pfizer of any representation, warranty or covenant as set forth in this Agreement. Pfizer shall not be liable and have no obligation to indemnify Licensee to the extent such losses arise out of or result from (a) the breach by Licensee of any representation, warranty or covenant set forth in this Agreement, or (b) the negligence, recklessness, wrongful intentional act or omission, or violation of Applicable Law by any Licensee Indemnitee.</w:t>
      </w:r>
    </w:p>
    <w:p>
      <w:pPr>
        <w:spacing w:after="0" w:line="81" w:lineRule="exact"/>
        <w:rPr>
          <w:sz w:val="20"/>
          <w:szCs w:val="20"/>
          <w:color w:val="auto"/>
        </w:rPr>
      </w:pPr>
    </w:p>
    <w:p>
      <w:pPr>
        <w:jc w:val="center"/>
        <w:ind w:right="80"/>
        <w:spacing w:after="0" w:line="263" w:lineRule="auto"/>
        <w:rPr>
          <w:sz w:val="20"/>
          <w:szCs w:val="20"/>
          <w:color w:val="auto"/>
        </w:rPr>
      </w:pPr>
      <w:r>
        <w:rPr>
          <w:rFonts w:ascii="Times New Roman" w:cs="Times New Roman" w:eastAsia="Times New Roman" w:hAnsi="Times New Roman"/>
          <w:sz w:val="18"/>
          <w:szCs w:val="18"/>
          <w:b w:val="1"/>
          <w:bCs w:val="1"/>
          <w:color w:val="auto"/>
        </w:rPr>
        <w:t>13.3    Indemnification Procedure for Third Party Claims</w:t>
      </w:r>
      <w:r>
        <w:rPr>
          <w:rFonts w:ascii="Times New Roman" w:cs="Times New Roman" w:eastAsia="Times New Roman" w:hAnsi="Times New Roman"/>
          <w:sz w:val="18"/>
          <w:szCs w:val="18"/>
          <w:color w:val="auto"/>
        </w:rPr>
        <w:t>. In connection with any claim of a Third Party for which a Pfizer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Licensee Indemnitee (either of the foregoing,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seeks indemnification from the other Party (the</w:t>
      </w:r>
    </w:p>
    <w:p>
      <w:pPr>
        <w:spacing w:after="0" w:line="1" w:lineRule="exact"/>
        <w:rPr>
          <w:sz w:val="20"/>
          <w:szCs w:val="20"/>
          <w:color w:val="auto"/>
        </w:rPr>
      </w:pPr>
    </w:p>
    <w:p>
      <w:pPr>
        <w:ind w:left="660" w:right="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pursuant to this Agreement, the Indemnified Party shall: (a) give the Indemnifying Party prompt written notice of the claim, the amount or the estimated amount of damages sought under such claim to the extent then ascertainable and, to the extent practicable, any other material details pertaining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failure to provide such notice or to include the foregoing information shall not relieve the Indemnifying Party from its liability or obligation hereunder, except to the extent of any material prejudice as a direct result of such failure; (b) cooperate with the Indemnifying Party, [***], in connection with the defense and settlement of the claim; and (c) permit the Indemnifying Party to assume control of the defense and settlement of the claim,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Indemnifying Party may not settle the claim without the Indemnified Party’s prior written consent, which shall not be unreasonably withheld, conditioned or delayed, unless such settlement (x) provides for the payment by the Indemnifying Party of money as sole relief for the claimant (other than as contemplated by the Deductible), (y) results in the full and general release of the Indemnified Party from all liabilities arising or resulting from such claim, and</w:t>
      </w:r>
    </w:p>
    <w:p>
      <w:pPr>
        <w:spacing w:after="0" w:line="4" w:lineRule="exact"/>
        <w:rPr>
          <w:sz w:val="20"/>
          <w:szCs w:val="20"/>
          <w:color w:val="auto"/>
        </w:rPr>
      </w:pPr>
    </w:p>
    <w:p>
      <w:pPr>
        <w:ind w:left="660" w:right="20" w:hanging="7"/>
        <w:spacing w:after="0" w:line="251" w:lineRule="auto"/>
        <w:tabs>
          <w:tab w:leader="none" w:pos="90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no finding or admission of any violation of Applicable Law or the rights of any Person and does not have an effect on any other claims that may be made against the Indemnified Party. If the Indemnifying Party does not assume control of the defense and settlement of such claim, then the Indemnified Party shall control the defense and settlement of such claim with counsel of its selection, [***]. Either the Indemnified Party (if such claim is controlled by the Indemnifying Party) or the Indemnifying Party (if such claim is controlled by the Indemnified Party) shall have the right to participate (but not control) and be represented in any suit or action by advisory counsel of its selection [***]. Notwithstanding the foregoing, if the Indemnifying Party assumes control of the defense and settlement of such claim, the Indemnified Party will have the right to employ separate counsel [***], in connection with the defense and settlement of the claim if: (i) there are or may be legal defenses available to the Indemnified Party that are different from or additional to those available to the Indemnifying Party; or (ii) in the reasonable opinion of counsel to the Indemnified Party, a conflict or potential conflict exists between the Indemnified Party and Indemnifying Party that would make such separate representation advisable. In the event that the Indemnified Party controls the defense and settlement of such claim, the Indemnified Party may not settle such claim without the Indemnifying Party’s prior written consent, which shall not be unreasonably withheld, conditioned or delayed.</w:t>
      </w:r>
    </w:p>
    <w:p>
      <w:pPr>
        <w:spacing w:after="0" w:line="12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200"/>
          </w:cols>
          <w:pgMar w:left="1200" w:top="269" w:right="499" w:bottom="1440" w:gutter="0" w:footer="0" w:header="0"/>
        </w:sectPr>
      </w:pPr>
    </w:p>
    <w:bookmarkStart w:id="550" w:name="page551"/>
    <w:bookmarkEnd w:id="550"/>
    <w:p>
      <w:pPr>
        <w:ind w:left="1424" w:right="40" w:hanging="647"/>
        <w:spacing w:after="0" w:line="268"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13.4</w:t>
      </w:r>
      <w:r>
        <w:rPr>
          <w:sz w:val="20"/>
          <w:szCs w:val="20"/>
          <w:color w:val="auto"/>
        </w:rPr>
        <w:tab/>
      </w:r>
      <w:r>
        <w:rPr>
          <w:rFonts w:ascii="Times New Roman" w:cs="Times New Roman" w:eastAsia="Times New Roman" w:hAnsi="Times New Roman"/>
          <w:sz w:val="17"/>
          <w:szCs w:val="17"/>
          <w:b w:val="1"/>
          <w:bCs w:val="1"/>
          <w:color w:val="auto"/>
        </w:rPr>
        <w:t xml:space="preserve">Indemnification Procedure for Direct Claims. </w:t>
      </w:r>
      <w:r>
        <w:rPr>
          <w:rFonts w:ascii="Times New Roman" w:cs="Times New Roman" w:eastAsia="Times New Roman" w:hAnsi="Times New Roman"/>
          <w:sz w:val="17"/>
          <w:szCs w:val="17"/>
          <w:color w:val="auto"/>
        </w:rPr>
        <w:t>In connection with any claim for indemnification that an Indemnified Party wishes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make pursuant to this Agreement that does not arise or result from a claim by a Third Party, the Indemnified Party shall give the Indemnifying Party prompt written notice of such claim, the section(s) of this Agreement that form the basis of the claim for indemnification, the amount or the estimated amount of damages sought under such claim to the extent then ascertainable and, to the extent practicable, any other material details pertaining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failure to provide such notice or to include the foregoing information shall not relieve the Indemnifying Party from its liability or obligation hereunder, except to the extent of any material prejudice as a direct result of such failure. Upon receipt of any such notice, the Indemnified Party and the Indemnifying Party shall use commercially reasonable efforts to cooperate and arrive at a mutually acceptable resolution of such claim within</w:t>
      </w:r>
    </w:p>
    <w:p>
      <w:pPr>
        <w:spacing w:after="0" w:line="4" w:lineRule="exact"/>
        <w:rPr>
          <w:sz w:val="20"/>
          <w:szCs w:val="20"/>
          <w:color w:val="auto"/>
        </w:rPr>
      </w:pPr>
    </w:p>
    <w:p>
      <w:pPr>
        <w:ind w:left="1424" w:hanging="7"/>
        <w:spacing w:after="0" w:line="255" w:lineRule="auto"/>
        <w:tabs>
          <w:tab w:leader="none" w:pos="1859"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Indemnified Party’s receipt of such notice. If a mutually acceptable resolution cannot be reached between the Indemnified Party and the Indemnifying Party within such [***], the Indemnified Party shall be free to seek enforcement of its rights to indemnification under this Agreement with respect to such claim.</w:t>
      </w:r>
    </w:p>
    <w:p>
      <w:pPr>
        <w:spacing w:after="0" w:line="87" w:lineRule="exact"/>
        <w:rPr>
          <w:rFonts w:ascii="Times New Roman" w:cs="Times New Roman" w:eastAsia="Times New Roman" w:hAnsi="Times New Roman"/>
          <w:sz w:val="18"/>
          <w:szCs w:val="18"/>
          <w:color w:val="auto"/>
        </w:rPr>
      </w:pPr>
    </w:p>
    <w:p>
      <w:pPr>
        <w:ind w:left="764" w:hanging="764"/>
        <w:spacing w:after="0"/>
        <w:tabs>
          <w:tab w:leader="none" w:pos="764" w:val="left"/>
        </w:tabs>
        <w:numPr>
          <w:ilvl w:val="0"/>
          <w:numId w:val="4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p>
    <w:p>
      <w:pPr>
        <w:spacing w:after="0" w:line="130" w:lineRule="exact"/>
        <w:rPr>
          <w:rFonts w:ascii="Times New Roman" w:cs="Times New Roman" w:eastAsia="Times New Roman" w:hAnsi="Times New Roman"/>
          <w:sz w:val="18"/>
          <w:szCs w:val="18"/>
          <w:b w:val="1"/>
          <w:bCs w:val="1"/>
          <w:color w:val="auto"/>
        </w:rPr>
      </w:pPr>
    </w:p>
    <w:p>
      <w:pPr>
        <w:ind w:left="1424" w:right="160" w:hanging="648"/>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14.1 Damages Waiver. </w:t>
      </w:r>
      <w:r>
        <w:rPr>
          <w:rFonts w:ascii="Times New Roman" w:cs="Times New Roman" w:eastAsia="Times New Roman" w:hAnsi="Times New Roman"/>
          <w:sz w:val="18"/>
          <w:szCs w:val="18"/>
          <w:color w:val="auto"/>
        </w:rPr>
        <w:t>EXCEPT FOR [***], NEITHER PARTY SHALL BE LIABLE TO ANY PERSON HEREUNDER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EXEMPLARY OR PUNITIVE DAMAGES, OR ANY DAMAGES THAT ARE SPECULATIVE OR NOT REASONABLY FORESEEABLE AS A PROXIMATE RESULT OF THE BREACH BY A PARTY OF ANY OF ITS REPRESENTATIONS, WARRANTIES, COVENANTS OR AGREEMENTS UNDER THIS AGREEMENT, REGARDLESS OF WHETHER IT HAS BEEN INFORMED OF THE POSSIBILITY OR LIKELIHOOD OF SUCH DAMAGES OR THE TYPE OF CLAIM, CONTRACT OR TORT (INCLUDING NEGLIGENCE).</w:t>
      </w:r>
    </w:p>
    <w:p>
      <w:pPr>
        <w:spacing w:after="0" w:line="87" w:lineRule="exact"/>
        <w:rPr>
          <w:rFonts w:ascii="Times New Roman" w:cs="Times New Roman" w:eastAsia="Times New Roman" w:hAnsi="Times New Roman"/>
          <w:sz w:val="18"/>
          <w:szCs w:val="18"/>
          <w:b w:val="1"/>
          <w:bCs w:val="1"/>
          <w:color w:val="auto"/>
        </w:rPr>
      </w:pPr>
    </w:p>
    <w:p>
      <w:pPr>
        <w:ind w:left="76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14.2    [***]</w:t>
      </w:r>
    </w:p>
    <w:p>
      <w:pPr>
        <w:spacing w:after="0" w:line="130" w:lineRule="exact"/>
        <w:rPr>
          <w:rFonts w:ascii="Times New Roman" w:cs="Times New Roman" w:eastAsia="Times New Roman" w:hAnsi="Times New Roman"/>
          <w:sz w:val="18"/>
          <w:szCs w:val="18"/>
          <w:b w:val="1"/>
          <w:bCs w:val="1"/>
          <w:color w:val="auto"/>
        </w:rPr>
      </w:pPr>
    </w:p>
    <w:p>
      <w:pPr>
        <w:ind w:left="76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14.3    [***]</w:t>
      </w:r>
    </w:p>
    <w:p>
      <w:pPr>
        <w:spacing w:after="0" w:line="130" w:lineRule="exact"/>
        <w:rPr>
          <w:rFonts w:ascii="Times New Roman" w:cs="Times New Roman" w:eastAsia="Times New Roman" w:hAnsi="Times New Roman"/>
          <w:sz w:val="18"/>
          <w:szCs w:val="18"/>
          <w:b w:val="1"/>
          <w:bCs w:val="1"/>
          <w:color w:val="auto"/>
        </w:rPr>
      </w:pPr>
    </w:p>
    <w:p>
      <w:pPr>
        <w:ind w:left="1424"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14.4 Survival. </w:t>
      </w:r>
      <w:r>
        <w:rPr>
          <w:rFonts w:ascii="Times New Roman" w:cs="Times New Roman" w:eastAsia="Times New Roman" w:hAnsi="Times New Roman"/>
          <w:sz w:val="18"/>
          <w:szCs w:val="18"/>
          <w:color w:val="auto"/>
        </w:rPr>
        <w:t>The representations and warranties contained in this Agreement shall survive the Closing until the [***]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except that (a) the representations and warranties contained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shall survive the Closing until [***] after expiration of the relevant statute of limitations period, and (b) the representations and warranties contained in </w:t>
      </w:r>
      <w:r>
        <w:rPr>
          <w:rFonts w:ascii="Times New Roman" w:cs="Times New Roman" w:eastAsia="Times New Roman" w:hAnsi="Times New Roman"/>
          <w:sz w:val="18"/>
          <w:szCs w:val="18"/>
          <w:u w:val="single" w:color="auto"/>
          <w:color w:val="auto"/>
        </w:rPr>
        <w:t>Section 12.2.4</w:t>
      </w:r>
      <w:r>
        <w:rPr>
          <w:rFonts w:ascii="Times New Roman" w:cs="Times New Roman" w:eastAsia="Times New Roman" w:hAnsi="Times New Roman"/>
          <w:sz w:val="18"/>
          <w:szCs w:val="18"/>
          <w:color w:val="auto"/>
        </w:rPr>
        <w:t xml:space="preserve"> shall survive the Closing until the [***] of the Effective Date and, in each case, all rights to indemnification hereunder for any breach of or inaccuracy in any representation or warranty shall terminate and expire on, and no action or proceedings seeking damages or other relief for breach of any representation or warranty or for misrepresentation or inaccuracy shall be commenced after, such date. All covenants and agreements of the Parties requiring performance in full prior to the Effective Date shall survive until the Effective Date and all other covenants and agreements contained herein shall survive until the expiration of the relevant statute of limitations period, and, in each case, all rights to indemnification</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65" w:right="459" w:bottom="1440" w:gutter="0" w:footer="0" w:header="0"/>
        </w:sectPr>
      </w:pPr>
    </w:p>
    <w:bookmarkStart w:id="551" w:name="page552"/>
    <w:bookmarkEnd w:id="551"/>
    <w:p>
      <w:pPr>
        <w:jc w:val="both"/>
        <w:ind w:left="142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hereunder for any breach of any covenant or agreement shall terminate and expire on, and no action or proceedings seeking damages or other relief for breach of any covenant or agreement shall be commenced after, such date. In the event that notice of any claim for indemnification under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has been given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as the case may be, within the applicable survival period, the representations, warranties, covenants or agreements that are the subject of such indemnification claim (and the right to pursue such claim) shall survive with respect to such claim until such time as such claim is finally resolved.</w:t>
      </w:r>
    </w:p>
    <w:p>
      <w:pPr>
        <w:spacing w:after="0" w:line="85" w:lineRule="exact"/>
        <w:rPr>
          <w:sz w:val="20"/>
          <w:szCs w:val="20"/>
          <w:color w:val="auto"/>
        </w:rPr>
      </w:pPr>
    </w:p>
    <w:p>
      <w:pPr>
        <w:ind w:left="1424" w:right="160" w:hanging="647"/>
        <w:spacing w:after="0" w:line="259"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8"/>
          <w:szCs w:val="18"/>
          <w:b w:val="1"/>
          <w:bCs w:val="1"/>
          <w:color w:val="auto"/>
        </w:rPr>
        <w:t>Exclusive Remedy</w:t>
      </w:r>
      <w:r>
        <w:rPr>
          <w:rFonts w:ascii="Times New Roman" w:cs="Times New Roman" w:eastAsia="Times New Roman" w:hAnsi="Times New Roman"/>
          <w:sz w:val="18"/>
          <w:szCs w:val="18"/>
          <w:color w:val="auto"/>
        </w:rPr>
        <w:t>. Except for any claim for Fraud, gross negligence or willful misconduct,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the exclusive monetary remedy of the Parties for any matter subject to indemnification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except (a) as set forth in </w:t>
      </w:r>
      <w:r>
        <w:rPr>
          <w:rFonts w:ascii="Times New Roman" w:cs="Times New Roman" w:eastAsia="Times New Roman" w:hAnsi="Times New Roman"/>
          <w:sz w:val="18"/>
          <w:szCs w:val="18"/>
          <w:u w:val="single" w:color="auto"/>
          <w:color w:val="auto"/>
        </w:rPr>
        <w:t>Section 18.4</w:t>
      </w:r>
      <w:r>
        <w:rPr>
          <w:rFonts w:ascii="Times New Roman" w:cs="Times New Roman" w:eastAsia="Times New Roman" w:hAnsi="Times New Roman"/>
          <w:sz w:val="18"/>
          <w:szCs w:val="18"/>
          <w:color w:val="auto"/>
        </w:rPr>
        <w:t xml:space="preserve"> and (b) to the extent the procedures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would fully mitigate Losses with respect to a breach of any representation or warranty in this Agreement, the procedures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will be the sole and exclusive remedy of the Licensee Indemnitees for any such breach.</w:t>
      </w:r>
    </w:p>
    <w:p>
      <w:pPr>
        <w:spacing w:after="0" w:line="85" w:lineRule="exact"/>
        <w:rPr>
          <w:sz w:val="20"/>
          <w:szCs w:val="20"/>
          <w:color w:val="auto"/>
        </w:rPr>
      </w:pPr>
    </w:p>
    <w:p>
      <w:pPr>
        <w:ind w:left="1424" w:hanging="647"/>
        <w:spacing w:after="0" w:line="254"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8"/>
          <w:szCs w:val="18"/>
          <w:b w:val="1"/>
          <w:bCs w:val="1"/>
          <w:color w:val="auto"/>
        </w:rPr>
        <w:t>Insurance Recovery</w:t>
      </w:r>
      <w:r>
        <w:rPr>
          <w:rFonts w:ascii="Times New Roman" w:cs="Times New Roman" w:eastAsia="Times New Roman" w:hAnsi="Times New Roman"/>
          <w:sz w:val="18"/>
          <w:szCs w:val="18"/>
          <w:color w:val="auto"/>
        </w:rPr>
        <w:t>. Notwithstanding the foregoing, the indemnifiable Losses shall be net of (a) the amount of any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actually received by the Indemnified Party (offset by any increase in premium resulting therefrom and after deducting therefrom the full amount of the out-of-pocket fees, costs and expenses incurred by it in procuring such recovery and any taxes payable or expected to be payable thereon), and each Indemnified Party agrees to file claims under each applicable insurance policy and to use commercially reasonable efforts to pursue all such insurance claims (but, shall not include an obligation to commence litigation), (b) any indemnity or contribution amounts actually recovered by such Indemnified Party from a Third Party in respect of such indemnifiable Losses (after deducting therefrom the full amount of the out-of-pocket fees, costs and expenses incurred by it in procuring such recovery and any taxes payable or expected to be payable thereon), and (c) the amount of any actual reduction in net taxes as a result of such indemnifiable Losses, solely for the taxable year of the incurrence, accrual or payment of such indemnifiable Losses (treating any such benefit as the last item of deduction for the applicable tax year).</w:t>
      </w:r>
    </w:p>
    <w:p>
      <w:pPr>
        <w:spacing w:after="0" w:line="91" w:lineRule="exact"/>
        <w:rPr>
          <w:sz w:val="20"/>
          <w:szCs w:val="20"/>
          <w:color w:val="auto"/>
        </w:rPr>
      </w:pPr>
    </w:p>
    <w:p>
      <w:pPr>
        <w:ind w:left="1424" w:right="80" w:hanging="647"/>
        <w:spacing w:after="0" w:line="268"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8"/>
          <w:szCs w:val="18"/>
          <w:b w:val="1"/>
          <w:bCs w:val="1"/>
          <w:color w:val="auto"/>
        </w:rPr>
        <w:t xml:space="preserve">No Set-Off. </w:t>
      </w:r>
      <w:r>
        <w:rPr>
          <w:rFonts w:ascii="Times New Roman" w:cs="Times New Roman" w:eastAsia="Times New Roman" w:hAnsi="Times New Roman"/>
          <w:sz w:val="18"/>
          <w:szCs w:val="18"/>
          <w:color w:val="auto"/>
        </w:rPr>
        <w:t>Notwithstanding anything to the contrary, neither Party shall set off any indemnifiable Losses against the U.S.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Milestone Payment, ROW Sales Milestone Payment, Licensee Royalties, or Pfizer Royalties, as applicable, that would otherwise be payable to the other Party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764" w:hanging="764"/>
        <w:spacing w:after="0"/>
        <w:tabs>
          <w:tab w:leader="none" w:pos="764"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TERMINATION.</w:t>
      </w:r>
    </w:p>
    <w:p>
      <w:pPr>
        <w:spacing w:after="0" w:line="130" w:lineRule="exact"/>
        <w:rPr>
          <w:rFonts w:ascii="Times New Roman" w:cs="Times New Roman" w:eastAsia="Times New Roman" w:hAnsi="Times New Roman"/>
          <w:sz w:val="18"/>
          <w:szCs w:val="18"/>
          <w:b w:val="1"/>
          <w:bCs w:val="1"/>
          <w:color w:val="auto"/>
        </w:rPr>
      </w:pPr>
    </w:p>
    <w:p>
      <w:pPr>
        <w:ind w:left="1424" w:right="60" w:hanging="648"/>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15.1 Term</w:t>
      </w:r>
      <w:r>
        <w:rPr>
          <w:rFonts w:ascii="Times New Roman" w:cs="Times New Roman" w:eastAsia="Times New Roman" w:hAnsi="Times New Roman"/>
          <w:sz w:val="18"/>
          <w:szCs w:val="18"/>
          <w:color w:val="auto"/>
        </w:rPr>
        <w:t>. The term of this Agreement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commence as of the Effective Date and shall expire, on a Product-by-Product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country-by-country basis, on the expiration of the applicable Royalty Term, unless earlier terminated, as provided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Upon expiration of the Term for any Product, the licenses granted to Licensee under this Agreement shall become fully paid-up, royalty-free, transferable, perpetual and irrevocable, with the right to grant sublicenses, through multiple tiers, with respect to such Product in the Field in the Territory.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69" w:right="459" w:bottom="1440" w:gutter="0" w:footer="0" w:header="0"/>
        </w:sectPr>
      </w:pPr>
    </w:p>
    <w:bookmarkStart w:id="552" w:name="page553"/>
    <w:bookmarkEnd w:id="552"/>
    <w:p>
      <w:pPr>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15.2</w:t>
      </w:r>
      <w:r>
        <w:rPr>
          <w:sz w:val="20"/>
          <w:szCs w:val="20"/>
          <w:color w:val="auto"/>
        </w:rPr>
        <w:tab/>
      </w: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Each Party shall have the right, without prejudice to any other remedies available to it at law or in equity,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terminate this Agreement in its entirety in the event the other Party materially breaches any of its obligations hereunder and fails to cure such breach within [***] of receiving notice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if such breach is capable of being cured, but cannot be cured within such [***] period, and breaching Party initiates actions to cure such breach within such period and thereafter diligently pursues such actions, the breaching Party shall have such additional period as is reasonable to cure such breach, but in no event will such additional period exceed [***];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event that any such material breach by the breaching Party is limited to the [***] or one or more (but not all) countries, then the non-breaching Party shall have right to terminate solely with respect to all [***] or such countries, as applicable. Any termination by a Party under this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shall be without prejudice to any damages or other legal or equitable remedies to which it may be entitled from the breaching Party.</w:t>
      </w:r>
    </w:p>
    <w:p>
      <w:pPr>
        <w:spacing w:after="0" w:line="2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b w:val="1"/>
          <w:bCs w:val="1"/>
          <w:color w:val="auto"/>
        </w:rPr>
        <w:t xml:space="preserve">Termination for Convenience. </w:t>
      </w:r>
      <w:r>
        <w:rPr>
          <w:rFonts w:ascii="Times New Roman" w:cs="Times New Roman" w:eastAsia="Times New Roman" w:hAnsi="Times New Roman"/>
          <w:sz w:val="17"/>
          <w:szCs w:val="17"/>
          <w:color w:val="auto"/>
        </w:rPr>
        <w:t>At any time, Licensee shall have the right to terminate [***].</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7"/>
          <w:szCs w:val="17"/>
          <w:b w:val="1"/>
          <w:bCs w:val="1"/>
          <w:color w:val="auto"/>
        </w:rPr>
        <w:t>Effects of Termination.</w:t>
      </w:r>
    </w:p>
    <w:p>
      <w:pPr>
        <w:spacing w:after="0" w:line="131" w:lineRule="exact"/>
        <w:rPr>
          <w:sz w:val="20"/>
          <w:szCs w:val="20"/>
          <w:color w:val="auto"/>
        </w:rPr>
      </w:pPr>
    </w:p>
    <w:p>
      <w:pPr>
        <w:ind w:left="1440" w:right="140" w:hanging="768"/>
        <w:spacing w:after="0" w:line="286"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15.4.1</w:t>
      </w:r>
      <w:r>
        <w:rPr>
          <w:sz w:val="20"/>
          <w:szCs w:val="20"/>
          <w:color w:val="auto"/>
        </w:rPr>
        <w:tab/>
      </w:r>
      <w:r>
        <w:rPr>
          <w:rFonts w:ascii="Times New Roman" w:cs="Times New Roman" w:eastAsia="Times New Roman" w:hAnsi="Times New Roman"/>
          <w:sz w:val="18"/>
          <w:szCs w:val="18"/>
          <w:b w:val="1"/>
          <w:bCs w:val="1"/>
          <w:color w:val="auto"/>
        </w:rPr>
        <w:t>Termination in its Entirety by Licensee for Cause</w:t>
      </w:r>
      <w:r>
        <w:rPr>
          <w:rFonts w:ascii="Times New Roman" w:cs="Times New Roman" w:eastAsia="Times New Roman" w:hAnsi="Times New Roman"/>
          <w:sz w:val="18"/>
          <w:szCs w:val="18"/>
          <w:color w:val="auto"/>
        </w:rPr>
        <w:t>. In the event that Licensee terminates this Agreement in its entirety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the following shall apply:</w:t>
      </w:r>
    </w:p>
    <w:p>
      <w:pPr>
        <w:spacing w:after="0" w:line="60" w:lineRule="exact"/>
        <w:rPr>
          <w:sz w:val="20"/>
          <w:szCs w:val="20"/>
          <w:color w:val="auto"/>
        </w:rPr>
      </w:pPr>
    </w:p>
    <w:p>
      <w:pPr>
        <w:ind w:left="2080" w:right="80" w:hanging="644"/>
        <w:spacing w:after="0" w:line="286" w:lineRule="auto"/>
        <w:tabs>
          <w:tab w:leader="none" w:pos="208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and Obligations</w:t>
      </w:r>
      <w:r>
        <w:rPr>
          <w:rFonts w:ascii="Times New Roman" w:cs="Times New Roman" w:eastAsia="Times New Roman" w:hAnsi="Times New Roman"/>
          <w:sz w:val="18"/>
          <w:szCs w:val="18"/>
          <w:color w:val="auto"/>
        </w:rPr>
        <w:t>. Except as otherwise provided herein, including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15.5</w:t>
      </w:r>
      <w:r>
        <w:rPr>
          <w:rFonts w:ascii="Times New Roman" w:cs="Times New Roman" w:eastAsia="Times New Roman" w:hAnsi="Times New Roman"/>
          <w:sz w:val="18"/>
          <w:szCs w:val="18"/>
          <w:color w:val="auto"/>
        </w:rPr>
        <w:t>, all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each Party hereunder shall cease, including, for clarity, all licenses granted to Pfizer hereunder.</w:t>
      </w:r>
    </w:p>
    <w:p>
      <w:pPr>
        <w:spacing w:after="0" w:line="60" w:lineRule="exact"/>
        <w:rPr>
          <w:rFonts w:ascii="Times New Roman" w:cs="Times New Roman" w:eastAsia="Times New Roman" w:hAnsi="Times New Roman"/>
          <w:sz w:val="18"/>
          <w:szCs w:val="18"/>
          <w:color w:val="auto"/>
        </w:rPr>
      </w:pPr>
    </w:p>
    <w:p>
      <w:pPr>
        <w:ind w:left="2080" w:right="420" w:hanging="644"/>
        <w:spacing w:after="0" w:line="286" w:lineRule="auto"/>
        <w:tabs>
          <w:tab w:leader="none" w:pos="208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All rights and licenses granted to Licensee hereunder shall become fully paid-up, irrevocable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perpetual.</w:t>
      </w:r>
    </w:p>
    <w:p>
      <w:pPr>
        <w:spacing w:after="0" w:line="60" w:lineRule="exact"/>
        <w:rPr>
          <w:rFonts w:ascii="Times New Roman" w:cs="Times New Roman" w:eastAsia="Times New Roman" w:hAnsi="Times New Roman"/>
          <w:sz w:val="18"/>
          <w:szCs w:val="18"/>
          <w:color w:val="auto"/>
        </w:rPr>
      </w:pPr>
    </w:p>
    <w:p>
      <w:pPr>
        <w:ind w:left="2080" w:right="120" w:hanging="644"/>
        <w:spacing w:after="0" w:line="268" w:lineRule="auto"/>
        <w:tabs>
          <w:tab w:leader="none" w:pos="208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w:t>
      </w:r>
      <w:r>
        <w:rPr>
          <w:rFonts w:ascii="Times New Roman" w:cs="Times New Roman" w:eastAsia="Times New Roman" w:hAnsi="Times New Roman"/>
          <w:sz w:val="18"/>
          <w:szCs w:val="18"/>
          <w:color w:val="auto"/>
        </w:rPr>
        <w:t>. During the notice period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at Licensee’s sole option, Licensee shall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Parties shall negotiate a transition plan that will include, at a minimum, a plan for accomplishing the activities described in this </w:t>
      </w:r>
      <w:r>
        <w:rPr>
          <w:rFonts w:ascii="Times New Roman" w:cs="Times New Roman" w:eastAsia="Times New Roman" w:hAnsi="Times New Roman"/>
          <w:sz w:val="18"/>
          <w:szCs w:val="18"/>
          <w:u w:val="single" w:color="auto"/>
          <w:color w:val="auto"/>
        </w:rPr>
        <w:t>Section 15.4.1(c)</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2860" w:right="20" w:hanging="762"/>
        <w:spacing w:after="0" w:line="259" w:lineRule="auto"/>
        <w:tabs>
          <w:tab w:leader="none" w:pos="286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Continued Exploitation</w:t>
      </w:r>
      <w:r>
        <w:rPr>
          <w:rFonts w:ascii="Times New Roman" w:cs="Times New Roman" w:eastAsia="Times New Roman" w:hAnsi="Times New Roman"/>
          <w:sz w:val="18"/>
          <w:szCs w:val="18"/>
          <w:color w:val="auto"/>
        </w:rPr>
        <w:t>. At Licensee’s request [***], Pfizer shall continue on-going Exploitation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mutually agreed-upon period following the termination of this Agreement, which period shall not be [***] unless otherwise agreed to by the Parties. For avoidance of doubt, if Licensee chooses not to continue a Clinical Trial initiated by Pfizer, [***] of winding down such Clinical Trial, including compliance with any ethical or other requirements imposed by an applicable Regulatory Authority.</w:t>
      </w:r>
    </w:p>
    <w:p>
      <w:pPr>
        <w:spacing w:after="0" w:line="1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240"/>
          </w:cols>
          <w:pgMar w:left="1200" w:top="265" w:right="459" w:bottom="1440" w:gutter="0" w:footer="0" w:header="0"/>
        </w:sectPr>
      </w:pPr>
    </w:p>
    <w:bookmarkStart w:id="553" w:name="page554"/>
    <w:bookmarkEnd w:id="553"/>
    <w:p>
      <w:pPr>
        <w:ind w:left="2620" w:right="320" w:hanging="762"/>
        <w:spacing w:after="0" w:line="262" w:lineRule="auto"/>
        <w:tabs>
          <w:tab w:leader="none" w:pos="262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Technology Transfer</w:t>
      </w:r>
      <w:r>
        <w:rPr>
          <w:rFonts w:ascii="Times New Roman" w:cs="Times New Roman" w:eastAsia="Times New Roman" w:hAnsi="Times New Roman"/>
          <w:sz w:val="18"/>
          <w:szCs w:val="18"/>
          <w:color w:val="auto"/>
        </w:rPr>
        <w:t>. At Licensee’s request, Pfizer shall make available to Licensee all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records and data which exist and are Controlled by Pfizer as of the effective date of termination and are necessary or useful for Licensee to continue Commercializing and Exploiting Compounds and Products in the Field in the Territory.</w:t>
      </w:r>
    </w:p>
    <w:p>
      <w:pPr>
        <w:spacing w:after="0" w:line="81" w:lineRule="exact"/>
        <w:rPr>
          <w:rFonts w:ascii="Times New Roman" w:cs="Times New Roman" w:eastAsia="Times New Roman" w:hAnsi="Times New Roman"/>
          <w:sz w:val="18"/>
          <w:szCs w:val="18"/>
          <w:color w:val="auto"/>
        </w:rPr>
      </w:pPr>
    </w:p>
    <w:p>
      <w:pPr>
        <w:ind w:left="2620" w:right="60" w:hanging="762"/>
        <w:spacing w:after="0" w:line="255" w:lineRule="auto"/>
        <w:tabs>
          <w:tab w:leader="none" w:pos="262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At Licensee’s request, Pfizer shall transfer and assign to Licensee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designee) all Regulatory Approvals and Regulatory Filings held by Pfizer with respect to Compounds and Products,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transfer and assignment is not permitted by the applicable Regulatory Authority, Pfizer shall permit Licensee to cross-reference and rely upon such Regulatory Approvals and Regulatory Filings. Pfizer shall make available to Licensee copies of all regulatory documentation and records related to Compounds and Products, including information contained in the regulatory and safety databases. The Parties shall cooperate to ensure the prompt transition of regulatory responsibilities for Compounds and Products from Pfizer to Licensee.</w:t>
      </w:r>
    </w:p>
    <w:p>
      <w:pPr>
        <w:spacing w:after="0" w:line="90" w:lineRule="exact"/>
        <w:rPr>
          <w:rFonts w:ascii="Times New Roman" w:cs="Times New Roman" w:eastAsia="Times New Roman" w:hAnsi="Times New Roman"/>
          <w:sz w:val="18"/>
          <w:szCs w:val="18"/>
          <w:color w:val="auto"/>
        </w:rPr>
      </w:pPr>
    </w:p>
    <w:p>
      <w:pPr>
        <w:ind w:left="2620" w:right="100" w:hanging="762"/>
        <w:spacing w:after="0" w:line="257" w:lineRule="auto"/>
        <w:tabs>
          <w:tab w:leader="none" w:pos="262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Licensee shall have, and Pfizer does hereby grant to Licensee, a fully paid-up, royalty-free, worldwide, transferable, sublicensable, perpetual and irrevocable license to use the Pfizer Product Trademarks, if any, solely for the purpose of using, Developing, Commercializing and Manufacturing the Products in the ROW and Japan. Licensee shall have a transitional license to use Pfizer’s Trademarks and promotional materials solely for the purpose of using, Developing, Commercializing and Manufacturing the Products.</w:t>
      </w:r>
    </w:p>
    <w:p>
      <w:pPr>
        <w:spacing w:after="0" w:line="87" w:lineRule="exact"/>
        <w:rPr>
          <w:rFonts w:ascii="Times New Roman" w:cs="Times New Roman" w:eastAsia="Times New Roman" w:hAnsi="Times New Roman"/>
          <w:sz w:val="18"/>
          <w:szCs w:val="18"/>
          <w:color w:val="auto"/>
        </w:rPr>
      </w:pPr>
    </w:p>
    <w:p>
      <w:pPr>
        <w:ind w:left="2620" w:hanging="762"/>
        <w:spacing w:after="0" w:line="262" w:lineRule="auto"/>
        <w:tabs>
          <w:tab w:leader="none" w:pos="262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Inventory and Supply</w:t>
      </w:r>
      <w:r>
        <w:rPr>
          <w:rFonts w:ascii="Times New Roman" w:cs="Times New Roman" w:eastAsia="Times New Roman" w:hAnsi="Times New Roman"/>
          <w:sz w:val="18"/>
          <w:szCs w:val="18"/>
          <w:color w:val="auto"/>
        </w:rPr>
        <w:t>. At Licensee’s request, Pfizer shall transfer to Licensee (or its designee)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 and Product, components and in-process inventory held by Pfizer with respect to the Manufacture of Compounds and Products as of such date of termination, if any. At Licensee’s request, if Pfizer has licensed to a CMO to Manufacture the Compounds or Products, Pfizer shall</w:t>
      </w:r>
    </w:p>
    <w:p>
      <w:pPr>
        <w:spacing w:after="0" w:line="1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000"/>
          </w:cols>
          <w:pgMar w:left="1440" w:top="265" w:right="459" w:bottom="1440" w:gutter="0" w:footer="0" w:header="0"/>
        </w:sectPr>
      </w:pPr>
    </w:p>
    <w:bookmarkStart w:id="554" w:name="page555"/>
    <w:bookmarkEnd w:id="554"/>
    <w:p>
      <w:pPr>
        <w:ind w:left="2620"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assign such license to Licensee (to the extent allowed under such license), or if not, Pfizer shall continue to Manufacture or have Manufactured the Products for a period of not less than [***], including, at Licensee’s request, a reasonable stock build. Licensee shall pay to Pfizer [***] of manufacturing associated with inventory and Compound and Product received by Licensee pursuant to this </w:t>
      </w:r>
      <w:r>
        <w:rPr>
          <w:rFonts w:ascii="Times New Roman" w:cs="Times New Roman" w:eastAsia="Times New Roman" w:hAnsi="Times New Roman"/>
          <w:sz w:val="18"/>
          <w:szCs w:val="18"/>
          <w:u w:val="single" w:color="auto"/>
          <w:color w:val="auto"/>
        </w:rPr>
        <w:t>Section 15.4.1(c)(v)</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2620" w:right="80" w:hanging="762"/>
        <w:spacing w:after="0" w:line="259" w:lineRule="auto"/>
        <w:tabs>
          <w:tab w:leader="none" w:pos="262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Party Agreements</w:t>
      </w:r>
      <w:r>
        <w:rPr>
          <w:rFonts w:ascii="Times New Roman" w:cs="Times New Roman" w:eastAsia="Times New Roman" w:hAnsi="Times New Roman"/>
          <w:sz w:val="18"/>
          <w:szCs w:val="18"/>
          <w:color w:val="auto"/>
        </w:rPr>
        <w:t>. At Licensee’s request, to the extent Pfizer is able to do so, Pfizer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to Licensee (or its designee) any agreements with Third Parties with respect to the Development, Commercialization and Manufacture of the Compounds and Products. With respect to Third Party agreements that Pfizer is not able to assign to Licensee, Pfizer shall cooperate to give Licensee the benefit of such contracts for a reasonable transitional period.</w:t>
      </w:r>
    </w:p>
    <w:p>
      <w:pPr>
        <w:spacing w:after="0" w:line="85" w:lineRule="exact"/>
        <w:rPr>
          <w:sz w:val="20"/>
          <w:szCs w:val="20"/>
          <w:color w:val="auto"/>
        </w:rPr>
      </w:pPr>
    </w:p>
    <w:p>
      <w:pPr>
        <w:ind w:left="1200" w:hanging="768"/>
        <w:spacing w:after="0" w:line="268"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15.4.2</w:t>
      </w:r>
      <w:r>
        <w:rPr>
          <w:sz w:val="20"/>
          <w:szCs w:val="20"/>
          <w:color w:val="auto"/>
        </w:rPr>
        <w:tab/>
      </w:r>
      <w:r>
        <w:rPr>
          <w:rFonts w:ascii="Times New Roman" w:cs="Times New Roman" w:eastAsia="Times New Roman" w:hAnsi="Times New Roman"/>
          <w:sz w:val="18"/>
          <w:szCs w:val="18"/>
          <w:b w:val="1"/>
          <w:bCs w:val="1"/>
          <w:color w:val="auto"/>
        </w:rPr>
        <w:t>Termination of Terminated Products or Terminated Territory by Licensee for Cause</w:t>
      </w:r>
      <w:r>
        <w:rPr>
          <w:rFonts w:ascii="Times New Roman" w:cs="Times New Roman" w:eastAsia="Times New Roman" w:hAnsi="Times New Roman"/>
          <w:sz w:val="18"/>
          <w:szCs w:val="18"/>
          <w:color w:val="auto"/>
        </w:rPr>
        <w:t>. In the event that Licensee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terminates this Agreement with respect to [***] or a Terminated Territory, as applicable, pursuant to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(but not in the case of any termination of this Agreement in its entirety), the following shall apply:</w:t>
      </w:r>
    </w:p>
    <w:p>
      <w:pPr>
        <w:spacing w:after="0" w:line="76" w:lineRule="exact"/>
        <w:rPr>
          <w:sz w:val="20"/>
          <w:szCs w:val="20"/>
          <w:color w:val="auto"/>
        </w:rPr>
      </w:pPr>
    </w:p>
    <w:p>
      <w:pPr>
        <w:ind w:left="1840" w:right="20" w:hanging="644"/>
        <w:spacing w:after="0" w:line="259" w:lineRule="auto"/>
        <w:tabs>
          <w:tab w:leader="none" w:pos="184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and Obligations</w:t>
      </w:r>
      <w:r>
        <w:rPr>
          <w:rFonts w:ascii="Times New Roman" w:cs="Times New Roman" w:eastAsia="Times New Roman" w:hAnsi="Times New Roman"/>
          <w:sz w:val="18"/>
          <w:szCs w:val="18"/>
          <w:color w:val="auto"/>
        </w:rPr>
        <w:t>. Except as otherwise provided herein, including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15.5</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automatically be deemed to be amended to exclude the rights and obligations of Pfizer hereunder with respect to such Terminated Products or Terminated Territory, as applicable, including, for clarity, all licenses granted to Pfizer hereunder with respect to such Terminated Products or Terminated Territory, as applicable.</w:t>
      </w:r>
    </w:p>
    <w:p>
      <w:pPr>
        <w:spacing w:after="0" w:line="84" w:lineRule="exact"/>
        <w:rPr>
          <w:rFonts w:ascii="Times New Roman" w:cs="Times New Roman" w:eastAsia="Times New Roman" w:hAnsi="Times New Roman"/>
          <w:sz w:val="18"/>
          <w:szCs w:val="18"/>
          <w:color w:val="auto"/>
        </w:rPr>
      </w:pPr>
    </w:p>
    <w:p>
      <w:pPr>
        <w:ind w:left="1840" w:right="380" w:hanging="644"/>
        <w:spacing w:after="0" w:line="286" w:lineRule="auto"/>
        <w:tabs>
          <w:tab w:leader="none" w:pos="184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All rights and licenses granted to Licensee hereunder shall become fully paid-up, irrevocable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perpetual with respect to such Terminated Products or Terminated Territory, as applicable.</w:t>
      </w:r>
    </w:p>
    <w:p>
      <w:pPr>
        <w:spacing w:after="0" w:line="60" w:lineRule="exact"/>
        <w:rPr>
          <w:rFonts w:ascii="Times New Roman" w:cs="Times New Roman" w:eastAsia="Times New Roman" w:hAnsi="Times New Roman"/>
          <w:sz w:val="18"/>
          <w:szCs w:val="18"/>
          <w:color w:val="auto"/>
        </w:rPr>
      </w:pPr>
    </w:p>
    <w:p>
      <w:pPr>
        <w:ind w:left="1840" w:right="80" w:hanging="644"/>
        <w:spacing w:after="0" w:line="268" w:lineRule="auto"/>
        <w:tabs>
          <w:tab w:leader="none" w:pos="184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w:t>
      </w:r>
      <w:r>
        <w:rPr>
          <w:rFonts w:ascii="Times New Roman" w:cs="Times New Roman" w:eastAsia="Times New Roman" w:hAnsi="Times New Roman"/>
          <w:sz w:val="18"/>
          <w:szCs w:val="18"/>
          <w:color w:val="auto"/>
        </w:rPr>
        <w:t>. During the notice period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at Licensee’s sole option, Licensee shall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Parties shall negotiate a transition plan that will include, at a minimum, a plan for accomplishing the activities described in this </w:t>
      </w:r>
      <w:r>
        <w:rPr>
          <w:rFonts w:ascii="Times New Roman" w:cs="Times New Roman" w:eastAsia="Times New Roman" w:hAnsi="Times New Roman"/>
          <w:sz w:val="18"/>
          <w:szCs w:val="18"/>
          <w:u w:val="single" w:color="auto"/>
          <w:color w:val="auto"/>
        </w:rPr>
        <w:t>Section 15.4.2(c)</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960"/>
          </w:cols>
          <w:pgMar w:left="1440" w:top="269" w:right="499" w:bottom="1440" w:gutter="0" w:footer="0" w:header="0"/>
        </w:sectPr>
      </w:pPr>
    </w:p>
    <w:bookmarkStart w:id="555" w:name="page556"/>
    <w:bookmarkEnd w:id="555"/>
    <w:p>
      <w:pPr>
        <w:ind w:left="2620" w:right="260" w:hanging="762"/>
        <w:spacing w:after="0" w:line="273" w:lineRule="auto"/>
        <w:tabs>
          <w:tab w:leader="none" w:pos="2620" w:val="left"/>
        </w:tabs>
        <w:numPr>
          <w:ilvl w:val="0"/>
          <w:numId w:val="4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Continued Exploitation</w:t>
      </w:r>
      <w:r>
        <w:rPr>
          <w:rFonts w:ascii="Times New Roman" w:cs="Times New Roman" w:eastAsia="Times New Roman" w:hAnsi="Times New Roman"/>
          <w:sz w:val="17"/>
          <w:szCs w:val="17"/>
          <w:color w:val="auto"/>
        </w:rPr>
        <w:t>. At Licensee’s request [***], Pfizer shall continue on-going Exploitation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respect to such Terminated Products or Terminated Territory, as applicable, for a mutually agreed-upon period following the termination of this Agreement with respect to the Terminated Products or Terminated Territory, as applicable, which period shall not be less than [***] unless otherwise agreed to by the Parties. For avoidance of doubt, if Licensee chooses not to continue a Clinical Trial initiated by Pfizer, [***] of winding down such Clinical Trial, including compliance with any ethical or other requirements imposed by an applicable Regulatory Authority.</w:t>
      </w:r>
    </w:p>
    <w:p>
      <w:pPr>
        <w:spacing w:after="0" w:line="76" w:lineRule="exact"/>
        <w:rPr>
          <w:rFonts w:ascii="Times New Roman" w:cs="Times New Roman" w:eastAsia="Times New Roman" w:hAnsi="Times New Roman"/>
          <w:sz w:val="17"/>
          <w:szCs w:val="17"/>
          <w:color w:val="auto"/>
        </w:rPr>
      </w:pPr>
    </w:p>
    <w:p>
      <w:pPr>
        <w:ind w:left="2620" w:right="140" w:hanging="762"/>
        <w:spacing w:after="0" w:line="278" w:lineRule="auto"/>
        <w:tabs>
          <w:tab w:leader="none" w:pos="2620" w:val="left"/>
        </w:tabs>
        <w:numPr>
          <w:ilvl w:val="0"/>
          <w:numId w:val="4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Technology Transfer</w:t>
      </w:r>
      <w:r>
        <w:rPr>
          <w:rFonts w:ascii="Times New Roman" w:cs="Times New Roman" w:eastAsia="Times New Roman" w:hAnsi="Times New Roman"/>
          <w:sz w:val="17"/>
          <w:szCs w:val="17"/>
          <w:color w:val="auto"/>
        </w:rPr>
        <w:t>. At Licensee’s request, Pfizer shall make available to Licensee all currently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available records and data which exist and are Controlled by Pfizer with respect to such Terminated Products or Terminated Territory, as applicable, as of the effective date of termination and are necessary or useful for Licensee to continue Commercializing and Exploiting such Terminated Products in the Field in the Territory or the Products in the such Terminated Territory, as applicable.</w:t>
      </w:r>
    </w:p>
    <w:p>
      <w:pPr>
        <w:spacing w:after="0" w:line="69" w:lineRule="exact"/>
        <w:rPr>
          <w:rFonts w:ascii="Times New Roman" w:cs="Times New Roman" w:eastAsia="Times New Roman" w:hAnsi="Times New Roman"/>
          <w:sz w:val="17"/>
          <w:szCs w:val="17"/>
          <w:color w:val="auto"/>
        </w:rPr>
      </w:pPr>
    </w:p>
    <w:p>
      <w:pPr>
        <w:ind w:left="2620" w:hanging="762"/>
        <w:spacing w:after="0" w:line="254" w:lineRule="auto"/>
        <w:tabs>
          <w:tab w:leader="none" w:pos="262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At Licensee’s request, Pfizer shall transfer and assign to Licensee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designee) all Regulatory Approvals and Regulatory Filings held by Pfizer with respect to such Terminated Products or Terminated Territory,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transfer and assignment is not permitted by the applicable Regulatory Authority, Pfizer shall permit Licensee to cross-reference and rely upon such Regulatory Approvals and Regulatory Filings. Pfizer shall make available to Licensee copies of all regulatory documentation and records related to such Terminated Products or Terminated Territory, as applicable, including information contained in the regulatory and safety databases. The Parties shall cooperate to ensure the prompt transition of regulatory responsibilities with respect to such Terminated Products or Terminated Territory, as applicable, from Pfizer to Licensee.</w:t>
      </w:r>
    </w:p>
    <w:p>
      <w:pPr>
        <w:spacing w:after="0" w:line="90" w:lineRule="exact"/>
        <w:rPr>
          <w:rFonts w:ascii="Times New Roman" w:cs="Times New Roman" w:eastAsia="Times New Roman" w:hAnsi="Times New Roman"/>
          <w:sz w:val="18"/>
          <w:szCs w:val="18"/>
          <w:color w:val="auto"/>
        </w:rPr>
      </w:pPr>
    </w:p>
    <w:p>
      <w:pPr>
        <w:ind w:left="2620" w:right="60" w:hanging="762"/>
        <w:spacing w:after="0" w:line="259" w:lineRule="auto"/>
        <w:tabs>
          <w:tab w:leader="none" w:pos="262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Licensee shall have, and Pfizer does hereby grant to Licensee, a fully paid-up, royalty-free, worldwide (except in the event that Licensee terminates this Agreement with respect to a Terminated Territory, and such Terminated Territory is in the ROW or Japan, in which case, such license shall be solely for the Terminated Territory), transferable, sublicensable, perpetual and irrevocable license to use the Pfizer Product Trademarks</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9960"/>
          </w:cols>
          <w:pgMar w:left="1440" w:top="265" w:right="499" w:bottom="1440" w:gutter="0" w:footer="0" w:header="0"/>
        </w:sectPr>
      </w:pPr>
    </w:p>
    <w:bookmarkStart w:id="556" w:name="page557"/>
    <w:bookmarkEnd w:id="556"/>
    <w:p>
      <w:pPr>
        <w:ind w:left="26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associated with the Terminated Products, or all Products with respect to the Terminated Territory, as applicable, if any, solely for the purpose of using, Developing, Commercializing and Manufacturing with respect to the Terminated Products or Terminated Territory, as applicable. Licensee shall have a transitional license to use Pfizer’s Trademarks and promotional materials solely for the purpose of using, Developing, Commercializing and Manufacturing the Terminated Products, or all Products with respect to the Terminated Territory, as applicable.</w:t>
      </w:r>
    </w:p>
    <w:p>
      <w:pPr>
        <w:spacing w:after="0" w:line="89" w:lineRule="exact"/>
        <w:rPr>
          <w:sz w:val="20"/>
          <w:szCs w:val="20"/>
          <w:color w:val="auto"/>
        </w:rPr>
      </w:pPr>
    </w:p>
    <w:p>
      <w:pPr>
        <w:ind w:left="2620" w:right="100" w:hanging="762"/>
        <w:spacing w:after="0" w:line="254" w:lineRule="auto"/>
        <w:tabs>
          <w:tab w:leader="none" w:pos="262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Inventory and Supply</w:t>
      </w:r>
      <w:r>
        <w:rPr>
          <w:rFonts w:ascii="Times New Roman" w:cs="Times New Roman" w:eastAsia="Times New Roman" w:hAnsi="Times New Roman"/>
          <w:sz w:val="18"/>
          <w:szCs w:val="18"/>
          <w:color w:val="auto"/>
        </w:rPr>
        <w:t>. At Licensee’s request, Pfizer shall transfer to Licensee (or its designee)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Compound and Product, components and in-process inventory held by Pfizer with respect to the Terminated Products or Terminated Territory, as applicable, as of such date of termination, if any. At Licensee’s request, if Pfizer has licensed to a CMO to Manufacture a Terminated Product, or any Products with respect to the Terminated Territory, as applicable, and if Pfizer is able to do so, Pfizer shall promptly assign such license to Licensee, or if not, Pfizer shall continue to Manufacture or have Manufactured such Terminated Product or any Products with respect to the Terminated Territory, as applicable, for a period of not less than [***], including, at Licensee’s request, a reasonable stock build. Licensee shall pay to Pfizer [***] of manufacturing associated with inventory and Compound and Product received by Licensee pursuant to this </w:t>
      </w:r>
      <w:r>
        <w:rPr>
          <w:rFonts w:ascii="Times New Roman" w:cs="Times New Roman" w:eastAsia="Times New Roman" w:hAnsi="Times New Roman"/>
          <w:sz w:val="18"/>
          <w:szCs w:val="18"/>
          <w:u w:val="single" w:color="auto"/>
          <w:color w:val="auto"/>
        </w:rPr>
        <w:t>Section 15.4.2(c)(v)</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2620" w:right="20" w:hanging="762"/>
        <w:spacing w:after="0" w:line="259" w:lineRule="auto"/>
        <w:tabs>
          <w:tab w:leader="none" w:pos="262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Party Agreements</w:t>
      </w:r>
      <w:r>
        <w:rPr>
          <w:rFonts w:ascii="Times New Roman" w:cs="Times New Roman" w:eastAsia="Times New Roman" w:hAnsi="Times New Roman"/>
          <w:sz w:val="18"/>
          <w:szCs w:val="18"/>
          <w:color w:val="auto"/>
        </w:rPr>
        <w:t>. At Licensee’s request, to the extent Pfizer is able to do so, Pfizer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to Licensee (or its designee) any agreements with Third Parties with respect to such Terminated Products or Terminated Territory, as applicable. With respect to Third Party agreements that Pfizer is not able to assign to Licensee, Pfizer shall cooperate to give Licensee the benefit of such contracts for a reasonable transitional period.</w:t>
      </w:r>
    </w:p>
    <w:p>
      <w:pPr>
        <w:spacing w:after="0" w:line="85" w:lineRule="exact"/>
        <w:rPr>
          <w:sz w:val="20"/>
          <w:szCs w:val="20"/>
          <w:color w:val="auto"/>
        </w:rPr>
      </w:pPr>
    </w:p>
    <w:p>
      <w:pPr>
        <w:jc w:val="both"/>
        <w:ind w:left="1200" w:right="340" w:hanging="768"/>
        <w:spacing w:after="0" w:line="268"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15.4.3</w:t>
      </w:r>
      <w:r>
        <w:rPr>
          <w:sz w:val="20"/>
          <w:szCs w:val="20"/>
          <w:color w:val="auto"/>
        </w:rPr>
        <w:tab/>
      </w:r>
      <w:r>
        <w:rPr>
          <w:rFonts w:ascii="Times New Roman" w:cs="Times New Roman" w:eastAsia="Times New Roman" w:hAnsi="Times New Roman"/>
          <w:sz w:val="18"/>
          <w:szCs w:val="18"/>
          <w:b w:val="1"/>
          <w:bCs w:val="1"/>
          <w:color w:val="auto"/>
        </w:rPr>
        <w:t>Termination in its Entirety by Pfizer for Cause; Termination in its Entirety for Convenience by Licensee</w:t>
      </w:r>
      <w:r>
        <w:rPr>
          <w:rFonts w:ascii="Times New Roman" w:cs="Times New Roman" w:eastAsia="Times New Roman" w:hAnsi="Times New Roman"/>
          <w:sz w:val="18"/>
          <w:szCs w:val="18"/>
          <w:color w:val="auto"/>
        </w:rPr>
        <w: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event that (i) Pfizer terminates this Agreement in its entirety pursuant to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or (ii) Licensee terminates this Agreement in its entirety pursuant to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 the following shall apply:</w:t>
      </w:r>
    </w:p>
    <w:p>
      <w:pPr>
        <w:spacing w:after="0" w:line="1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020"/>
          </w:cols>
          <w:pgMar w:left="1440" w:top="269" w:right="439" w:bottom="1440" w:gutter="0" w:footer="0" w:header="0"/>
        </w:sectPr>
      </w:pPr>
    </w:p>
    <w:bookmarkStart w:id="557" w:name="page558"/>
    <w:bookmarkEnd w:id="557"/>
    <w:p>
      <w:pPr>
        <w:jc w:val="both"/>
        <w:ind w:left="1840" w:right="80" w:hanging="644"/>
        <w:spacing w:after="0" w:line="286" w:lineRule="auto"/>
        <w:tabs>
          <w:tab w:leader="none" w:pos="18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and Obligations</w:t>
      </w:r>
      <w:r>
        <w:rPr>
          <w:rFonts w:ascii="Times New Roman" w:cs="Times New Roman" w:eastAsia="Times New Roman" w:hAnsi="Times New Roman"/>
          <w:sz w:val="18"/>
          <w:szCs w:val="18"/>
          <w:color w:val="auto"/>
        </w:rPr>
        <w:t>. Except as otherwise provided herein, including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15.5</w:t>
      </w:r>
      <w:r>
        <w:rPr>
          <w:rFonts w:ascii="Times New Roman" w:cs="Times New Roman" w:eastAsia="Times New Roman" w:hAnsi="Times New Roman"/>
          <w:sz w:val="18"/>
          <w:szCs w:val="18"/>
          <w:color w:val="auto"/>
        </w:rPr>
        <w:t>, all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each Party hereunder shall cease, including, for clarity all licenses granted to Licensee hereunder.</w:t>
      </w:r>
    </w:p>
    <w:p>
      <w:pPr>
        <w:spacing w:after="0" w:line="60" w:lineRule="exact"/>
        <w:rPr>
          <w:rFonts w:ascii="Times New Roman" w:cs="Times New Roman" w:eastAsia="Times New Roman" w:hAnsi="Times New Roman"/>
          <w:sz w:val="18"/>
          <w:szCs w:val="18"/>
          <w:color w:val="auto"/>
        </w:rPr>
      </w:pPr>
    </w:p>
    <w:p>
      <w:pPr>
        <w:ind w:left="1840" w:right="100" w:hanging="644"/>
        <w:spacing w:after="0" w:line="262" w:lineRule="auto"/>
        <w:tabs>
          <w:tab w:leader="none" w:pos="18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Licensee hereby grants to Pfizer and its Affiliates, an exclusive, sublicensable, royalty-free,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paid-up, irrevocable, worldwide and perpetual right and license, with the right to assign and grant sublicenses, under the Developed IP, as it exists as of the effective date of termination, to Exploit the Products in the Field in the Territory.</w:t>
      </w:r>
    </w:p>
    <w:p>
      <w:pPr>
        <w:spacing w:after="0" w:line="81" w:lineRule="exact"/>
        <w:rPr>
          <w:rFonts w:ascii="Times New Roman" w:cs="Times New Roman" w:eastAsia="Times New Roman" w:hAnsi="Times New Roman"/>
          <w:sz w:val="18"/>
          <w:szCs w:val="18"/>
          <w:color w:val="auto"/>
        </w:rPr>
      </w:pPr>
    </w:p>
    <w:p>
      <w:pPr>
        <w:ind w:left="1840" w:right="140" w:hanging="644"/>
        <w:spacing w:after="0" w:line="268" w:lineRule="auto"/>
        <w:tabs>
          <w:tab w:leader="none" w:pos="18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w:t>
      </w:r>
      <w:r>
        <w:rPr>
          <w:rFonts w:ascii="Times New Roman" w:cs="Times New Roman" w:eastAsia="Times New Roman" w:hAnsi="Times New Roman"/>
          <w:sz w:val="18"/>
          <w:szCs w:val="18"/>
          <w:color w:val="auto"/>
        </w:rPr>
        <w:t>. During the notice period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 as applicable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termination, at Pfizer’s sole option, Pfizer shall prepare and the Parties shall negotiate a transition plan that will include, at a minimum, a plan for accomplishing the activities described in this </w:t>
      </w:r>
      <w:r>
        <w:rPr>
          <w:rFonts w:ascii="Times New Roman" w:cs="Times New Roman" w:eastAsia="Times New Roman" w:hAnsi="Times New Roman"/>
          <w:sz w:val="18"/>
          <w:szCs w:val="18"/>
          <w:u w:val="single" w:color="auto"/>
          <w:color w:val="auto"/>
        </w:rPr>
        <w:t>Section 15.4.3(c)</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jc w:val="both"/>
        <w:ind w:left="2620" w:hanging="762"/>
        <w:spacing w:after="0" w:line="278" w:lineRule="auto"/>
        <w:tabs>
          <w:tab w:leader="none" w:pos="2620" w:val="left"/>
        </w:tabs>
        <w:numPr>
          <w:ilvl w:val="1"/>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Continued Exploitation</w:t>
      </w:r>
      <w:r>
        <w:rPr>
          <w:rFonts w:ascii="Times New Roman" w:cs="Times New Roman" w:eastAsia="Times New Roman" w:hAnsi="Times New Roman"/>
          <w:sz w:val="17"/>
          <w:szCs w:val="17"/>
          <w:color w:val="auto"/>
        </w:rPr>
        <w:t>. At Pfizer’s request [***], Licensee shall continue on-going Exploitation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mutually agreed-upon period following the termination of this Agreement, which period shall not be less than [***] unless otherwise agreed to by the Parties. For avoidance of doubt, if Pfizer chooses not to continue a Clinical Trial initiated by Licensee, [***] of winding down such Clinical Trial, including compliance with any ethical or other requirements imposed by an applicable Regulatory Authority.</w:t>
      </w:r>
    </w:p>
    <w:p>
      <w:pPr>
        <w:spacing w:after="0" w:line="69" w:lineRule="exact"/>
        <w:rPr>
          <w:rFonts w:ascii="Times New Roman" w:cs="Times New Roman" w:eastAsia="Times New Roman" w:hAnsi="Times New Roman"/>
          <w:sz w:val="17"/>
          <w:szCs w:val="17"/>
          <w:color w:val="auto"/>
        </w:rPr>
      </w:pPr>
    </w:p>
    <w:p>
      <w:pPr>
        <w:ind w:left="2620" w:right="80" w:hanging="762"/>
        <w:spacing w:after="0" w:line="262" w:lineRule="auto"/>
        <w:tabs>
          <w:tab w:leader="none" w:pos="262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Technology Transfer</w:t>
      </w:r>
      <w:r>
        <w:rPr>
          <w:rFonts w:ascii="Times New Roman" w:cs="Times New Roman" w:eastAsia="Times New Roman" w:hAnsi="Times New Roman"/>
          <w:sz w:val="18"/>
          <w:szCs w:val="18"/>
          <w:color w:val="auto"/>
        </w:rPr>
        <w:t>. At Pfizer’s request, Licensee shall make available to Pfizer all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records and data which exist and are Controlled by Licensee as of the effective date of termination and are necessary or useful for Pfizer to continue Exploiting Compounds and Products in the Field in the Territory.</w:t>
      </w:r>
    </w:p>
    <w:p>
      <w:pPr>
        <w:spacing w:after="0" w:line="81" w:lineRule="exact"/>
        <w:rPr>
          <w:rFonts w:ascii="Times New Roman" w:cs="Times New Roman" w:eastAsia="Times New Roman" w:hAnsi="Times New Roman"/>
          <w:sz w:val="18"/>
          <w:szCs w:val="18"/>
          <w:color w:val="auto"/>
        </w:rPr>
      </w:pPr>
    </w:p>
    <w:p>
      <w:pPr>
        <w:ind w:left="2620" w:hanging="762"/>
        <w:spacing w:after="0" w:line="255" w:lineRule="auto"/>
        <w:tabs>
          <w:tab w:leader="none" w:pos="262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At Pfizer’s request, Licensee shall transfer and assign to Pfizer (or its designee)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Regulatory Approvals and Regulatory Filings held by Licensee with respect to Compounds and Products,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transfer and assignment is not permitted by the applicable Regulatory Authority, Licensee shall permit Pfizer to cross-reference and rely upon such Regulatory Approvals and Regulatory Filings. Licensee shall make available to Pfizer copies of all regulatory documentation and records related to Compounds and Products, including information contained in the regulatory and safety databases. The Parties shall cooperate to ensure the prompt transition of regulatory responsibilities for Compounds and Products from Licensee to Pfizer.</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000"/>
          </w:cols>
          <w:pgMar w:left="1440" w:top="265" w:right="459" w:bottom="1440" w:gutter="0" w:footer="0" w:header="0"/>
        </w:sectPr>
      </w:pPr>
    </w:p>
    <w:bookmarkStart w:id="558" w:name="page559"/>
    <w:bookmarkEnd w:id="558"/>
    <w:p>
      <w:pPr>
        <w:ind w:left="2620" w:hanging="762"/>
        <w:spacing w:after="0" w:line="257" w:lineRule="auto"/>
        <w:tabs>
          <w:tab w:leader="none" w:pos="26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Trademarks</w:t>
      </w:r>
      <w:r>
        <w:rPr>
          <w:rFonts w:ascii="Times New Roman" w:cs="Times New Roman" w:eastAsia="Times New Roman" w:hAnsi="Times New Roman"/>
          <w:sz w:val="18"/>
          <w:szCs w:val="18"/>
          <w:color w:val="auto"/>
        </w:rPr>
        <w:t>. Pfizer shall have, and Licensee does hereby grant to Pfizer, a fully paid-up, royalty-free,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worldwide, transferable, sublicensable, perpetual and irrevocable license to use the Licensee Product Trademarks solely for the purpose of using, Developing, Commercializing and Manufacturing the Products in the U.S. and Japan. Pfizer shall have a transitional license to use Licensee’s Trademarks and promotional materials solely for the purpose of using, Developing, Commercializing and Manufacturing the Products.</w:t>
      </w:r>
    </w:p>
    <w:p>
      <w:pPr>
        <w:spacing w:after="0" w:line="87" w:lineRule="exact"/>
        <w:rPr>
          <w:rFonts w:ascii="Times New Roman" w:cs="Times New Roman" w:eastAsia="Times New Roman" w:hAnsi="Times New Roman"/>
          <w:sz w:val="18"/>
          <w:szCs w:val="18"/>
          <w:color w:val="auto"/>
        </w:rPr>
      </w:pPr>
    </w:p>
    <w:p>
      <w:pPr>
        <w:ind w:left="2620" w:right="80" w:hanging="762"/>
        <w:spacing w:after="0" w:line="255" w:lineRule="auto"/>
        <w:tabs>
          <w:tab w:leader="none" w:pos="26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Inventory and Supply</w:t>
      </w:r>
      <w:r>
        <w:rPr>
          <w:rFonts w:ascii="Times New Roman" w:cs="Times New Roman" w:eastAsia="Times New Roman" w:hAnsi="Times New Roman"/>
          <w:sz w:val="18"/>
          <w:szCs w:val="18"/>
          <w:color w:val="auto"/>
        </w:rPr>
        <w:t>. At Pfizer’s request, Licensee shall transfer to Pfizer (or its designee)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Compound and Product, components and in-process inventory held by Licensee with respect to the Manufacture of Compounds and Products as of such date of termination. At Pfizer’s request, if Licensee has sublicensed to a CMO to Manufacture the Compounds or Products, Licensee shall promptly assign such sublicense to Pfizer, or if not, Licensee shall continue to Manufacture or have Manufactured the Products for a period of not less than [***], including, at Pfizer’s request, a reasonable stock build. Pfizer shall pay to Licensee [***] of manufacturing associated with inventory and Compound and Product received by Pfizer pursuant to this </w:t>
      </w:r>
      <w:r>
        <w:rPr>
          <w:rFonts w:ascii="Times New Roman" w:cs="Times New Roman" w:eastAsia="Times New Roman" w:hAnsi="Times New Roman"/>
          <w:sz w:val="18"/>
          <w:szCs w:val="18"/>
          <w:u w:val="single" w:color="auto"/>
          <w:color w:val="auto"/>
        </w:rPr>
        <w:t>Section 15.4.3(c)(v)</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2620" w:right="120" w:hanging="762"/>
        <w:spacing w:after="0" w:line="259" w:lineRule="auto"/>
        <w:tabs>
          <w:tab w:leader="none" w:pos="26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Party Agreements</w:t>
      </w:r>
      <w:r>
        <w:rPr>
          <w:rFonts w:ascii="Times New Roman" w:cs="Times New Roman" w:eastAsia="Times New Roman" w:hAnsi="Times New Roman"/>
          <w:sz w:val="18"/>
          <w:szCs w:val="18"/>
          <w:color w:val="auto"/>
        </w:rPr>
        <w:t>. At Pfizer’s request, to the extent Licensee is able to do so, Licensee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to Pfizer (or its designee) any agreements with Third Parties with respect to the Development, Commercialization and Manufacture of the Compounds and Products. With respect to Third Party agreements that Licensee is not able to assign to Pfizer, Licensee shall cooperate to give Pfizer the benefit of such contracts for a reasonable transitional period.</w:t>
      </w:r>
    </w:p>
    <w:p>
      <w:pPr>
        <w:spacing w:after="0" w:line="85" w:lineRule="exact"/>
        <w:rPr>
          <w:sz w:val="20"/>
          <w:szCs w:val="20"/>
          <w:color w:val="auto"/>
        </w:rPr>
      </w:pPr>
    </w:p>
    <w:p>
      <w:pPr>
        <w:jc w:val="both"/>
        <w:ind w:left="1200" w:right="80" w:hanging="768"/>
        <w:spacing w:after="0" w:line="268"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15.4.4</w:t>
      </w:r>
      <w:r>
        <w:rPr>
          <w:sz w:val="20"/>
          <w:szCs w:val="20"/>
          <w:color w:val="auto"/>
        </w:rPr>
        <w:tab/>
      </w:r>
      <w:r>
        <w:rPr>
          <w:rFonts w:ascii="Times New Roman" w:cs="Times New Roman" w:eastAsia="Times New Roman" w:hAnsi="Times New Roman"/>
          <w:sz w:val="18"/>
          <w:szCs w:val="18"/>
          <w:b w:val="1"/>
          <w:bCs w:val="1"/>
          <w:color w:val="auto"/>
        </w:rPr>
        <w:t>Termination Terminated Products or a Terminated Territory by Pfizer for Cause</w:t>
      </w:r>
      <w:r>
        <w:rPr>
          <w:rFonts w:ascii="Times New Roman" w:cs="Times New Roman" w:eastAsia="Times New Roman" w:hAnsi="Times New Roman"/>
          <w:sz w:val="18"/>
          <w:szCs w:val="18"/>
          <w:color w:val="auto"/>
        </w:rPr>
        <w:t>. In the event that Pfizer terminates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with respect to all [***] or a Terminated Territory, as applicable, pursuant to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(but not in the case of any termination of this Agreement in its entirety), the following shall apply:</w:t>
      </w:r>
    </w:p>
    <w:p>
      <w:pPr>
        <w:spacing w:after="0" w:line="1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000"/>
          </w:cols>
          <w:pgMar w:left="1440" w:top="265" w:right="459" w:bottom="1440" w:gutter="0" w:footer="0" w:header="0"/>
        </w:sectPr>
      </w:pPr>
    </w:p>
    <w:bookmarkStart w:id="559" w:name="page560"/>
    <w:bookmarkEnd w:id="559"/>
    <w:p>
      <w:pPr>
        <w:ind w:left="1840" w:right="80" w:hanging="644"/>
        <w:spacing w:after="0" w:line="259" w:lineRule="auto"/>
        <w:tabs>
          <w:tab w:leader="none" w:pos="184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and Obligations</w:t>
      </w:r>
      <w:r>
        <w:rPr>
          <w:rFonts w:ascii="Times New Roman" w:cs="Times New Roman" w:eastAsia="Times New Roman" w:hAnsi="Times New Roman"/>
          <w:sz w:val="18"/>
          <w:szCs w:val="18"/>
          <w:color w:val="auto"/>
        </w:rPr>
        <w:t>. Except as otherwise provided herein, including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15.5</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automatically be deemed to be amended to exclude the rights and obligations of Licensee hereunder with respect to such Terminated Products or Terminated Territory, as applicable, including for clarity, all licenses granted to Licensee hereunder with respect to such Terminated Products or Terminated Territory, as applicable.</w:t>
      </w:r>
    </w:p>
    <w:p>
      <w:pPr>
        <w:spacing w:after="0" w:line="84" w:lineRule="exact"/>
        <w:rPr>
          <w:rFonts w:ascii="Times New Roman" w:cs="Times New Roman" w:eastAsia="Times New Roman" w:hAnsi="Times New Roman"/>
          <w:sz w:val="18"/>
          <w:szCs w:val="18"/>
          <w:color w:val="auto"/>
        </w:rPr>
      </w:pPr>
    </w:p>
    <w:p>
      <w:pPr>
        <w:ind w:left="1840" w:hanging="644"/>
        <w:spacing w:after="0"/>
        <w:tabs>
          <w:tab w:leader="none" w:pos="184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620" w:right="560" w:hanging="762"/>
        <w:spacing w:after="0" w:line="282" w:lineRule="auto"/>
        <w:tabs>
          <w:tab w:leader="none" w:pos="26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and licenses granted to Pfizer hereunder shall become fully paid-up, irrevocable and perpetual with respect to such Terminated Products or Terminated Territory, as applicable.</w:t>
      </w:r>
    </w:p>
    <w:p>
      <w:pPr>
        <w:spacing w:after="0" w:line="67" w:lineRule="exact"/>
        <w:rPr>
          <w:rFonts w:ascii="Times New Roman" w:cs="Times New Roman" w:eastAsia="Times New Roman" w:hAnsi="Times New Roman"/>
          <w:sz w:val="18"/>
          <w:szCs w:val="18"/>
          <w:color w:val="auto"/>
        </w:rPr>
      </w:pPr>
    </w:p>
    <w:p>
      <w:pPr>
        <w:ind w:left="2620" w:right="120" w:hanging="762"/>
        <w:spacing w:after="0" w:line="258" w:lineRule="auto"/>
        <w:tabs>
          <w:tab w:leader="none" w:pos="26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Pfizer terminates this Agreement with respect to Terminated Products, Licensee hereby grants to Pfizer and its Affiliates, an exclusive, sublicensable, royalty-free, full paid-up, irrevocable, and perpetual right and license, with the right to assign and grant sublicenses, under the Developed IP, as it exists as of the effective date of termination, to Exploit the Terminated Products in the Field in the Territory.</w:t>
      </w:r>
    </w:p>
    <w:p>
      <w:pPr>
        <w:spacing w:after="0" w:line="88" w:lineRule="exact"/>
        <w:rPr>
          <w:rFonts w:ascii="Times New Roman" w:cs="Times New Roman" w:eastAsia="Times New Roman" w:hAnsi="Times New Roman"/>
          <w:sz w:val="18"/>
          <w:szCs w:val="18"/>
          <w:color w:val="auto"/>
        </w:rPr>
      </w:pPr>
    </w:p>
    <w:p>
      <w:pPr>
        <w:ind w:left="2620" w:right="120" w:hanging="762"/>
        <w:spacing w:after="0" w:line="258" w:lineRule="auto"/>
        <w:tabs>
          <w:tab w:leader="none" w:pos="26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Pfizer terminates this Agreement with respect to a Terminated Territory, Licensee hereby grants to Pfizer and its Affiliates, an exclusive, sublicensable, royalty-free, full paid-up, irrevocable, and perpetual right and license, with the right to assign and grant sublicenses, under the Developed IP, as it exists as of the effective date of termination, to Exploit the Terminated Products in the Field in the Terminated Territory.</w:t>
      </w:r>
    </w:p>
    <w:p>
      <w:pPr>
        <w:spacing w:after="0" w:line="84" w:lineRule="exact"/>
        <w:rPr>
          <w:rFonts w:ascii="Times New Roman" w:cs="Times New Roman" w:eastAsia="Times New Roman" w:hAnsi="Times New Roman"/>
          <w:sz w:val="18"/>
          <w:szCs w:val="18"/>
          <w:color w:val="auto"/>
        </w:rPr>
      </w:pPr>
    </w:p>
    <w:p>
      <w:pPr>
        <w:ind w:left="1840" w:right="220" w:hanging="644"/>
        <w:spacing w:after="0" w:line="268" w:lineRule="auto"/>
        <w:tabs>
          <w:tab w:leader="none" w:pos="184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w:t>
      </w:r>
      <w:r>
        <w:rPr>
          <w:rFonts w:ascii="Times New Roman" w:cs="Times New Roman" w:eastAsia="Times New Roman" w:hAnsi="Times New Roman"/>
          <w:sz w:val="18"/>
          <w:szCs w:val="18"/>
          <w:color w:val="auto"/>
        </w:rPr>
        <w:t>. During the notice period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at Pfizer’s sole option, Pfizer shall prepare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Parties shall negotiate a transition plan that will include, at a minimum, a plan for accomplishing the activities described in this </w:t>
      </w:r>
      <w:r>
        <w:rPr>
          <w:rFonts w:ascii="Times New Roman" w:cs="Times New Roman" w:eastAsia="Times New Roman" w:hAnsi="Times New Roman"/>
          <w:sz w:val="18"/>
          <w:szCs w:val="18"/>
          <w:u w:val="single" w:color="auto"/>
          <w:color w:val="auto"/>
        </w:rPr>
        <w:t>Section 15.4.4(c)</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2620" w:hanging="762"/>
        <w:spacing w:after="0" w:line="255" w:lineRule="auto"/>
        <w:tabs>
          <w:tab w:leader="none" w:pos="26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Continued Exploitation</w:t>
      </w:r>
      <w:r>
        <w:rPr>
          <w:rFonts w:ascii="Times New Roman" w:cs="Times New Roman" w:eastAsia="Times New Roman" w:hAnsi="Times New Roman"/>
          <w:sz w:val="18"/>
          <w:szCs w:val="18"/>
          <w:color w:val="auto"/>
        </w:rPr>
        <w:t>. At Pfizer’s request [***], Licensee shall continue on-going Exploitation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respect to such Terminated Products or Terminated Territory, as applicable, for a mutually agreed-upon period following the termination of this Agreement with respect to the Terminated Products or Terminated Territory, as applicable, which period shall not be less than [***] unless otherwise agreed to by the Parties. For avoidance of doubt, if Pfizer chooses not to continue a Clinical Trial initiated by Licensee pursuant to this </w:t>
      </w:r>
      <w:r>
        <w:rPr>
          <w:rFonts w:ascii="Times New Roman" w:cs="Times New Roman" w:eastAsia="Times New Roman" w:hAnsi="Times New Roman"/>
          <w:sz w:val="18"/>
          <w:szCs w:val="18"/>
          <w:u w:val="single" w:color="auto"/>
          <w:color w:val="auto"/>
        </w:rPr>
        <w:t>Section 15.4.4(c)(i)</w:t>
      </w:r>
      <w:r>
        <w:rPr>
          <w:rFonts w:ascii="Times New Roman" w:cs="Times New Roman" w:eastAsia="Times New Roman" w:hAnsi="Times New Roman"/>
          <w:sz w:val="18"/>
          <w:szCs w:val="18"/>
          <w:color w:val="auto"/>
        </w:rPr>
        <w:t>, [***] of winding down such Clinical Trial, including compliance with any ethical or other requirements imposed by an applicable Regulatory Authority.</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9980"/>
          </w:cols>
          <w:pgMar w:left="1440" w:top="265" w:right="479" w:bottom="1440" w:gutter="0" w:footer="0" w:header="0"/>
        </w:sectPr>
      </w:pPr>
    </w:p>
    <w:bookmarkStart w:id="560" w:name="page561"/>
    <w:bookmarkEnd w:id="560"/>
    <w:p>
      <w:pPr>
        <w:ind w:left="2620" w:hanging="762"/>
        <w:spacing w:after="0" w:line="259" w:lineRule="auto"/>
        <w:tabs>
          <w:tab w:leader="none" w:pos="262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Technology Transfer</w:t>
      </w:r>
      <w:r>
        <w:rPr>
          <w:rFonts w:ascii="Times New Roman" w:cs="Times New Roman" w:eastAsia="Times New Roman" w:hAnsi="Times New Roman"/>
          <w:sz w:val="18"/>
          <w:szCs w:val="18"/>
          <w:color w:val="auto"/>
        </w:rPr>
        <w:t>. At Pfizer’s request, Licensee shall make available to Pfizer all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records and data which exist and are Controlled by Licensee with respect to such Terminated Products or Terminated Territory, as applicable, as of the effective date of termination, and are necessary or useful for Pfizer to continue Exploiting such Terminated Products in the Field in the Territory or the Products in the such Terminated Territory, as applicable.</w:t>
      </w:r>
    </w:p>
    <w:p>
      <w:pPr>
        <w:spacing w:after="0" w:line="84" w:lineRule="exact"/>
        <w:rPr>
          <w:rFonts w:ascii="Times New Roman" w:cs="Times New Roman" w:eastAsia="Times New Roman" w:hAnsi="Times New Roman"/>
          <w:sz w:val="18"/>
          <w:szCs w:val="18"/>
          <w:color w:val="auto"/>
        </w:rPr>
      </w:pPr>
    </w:p>
    <w:p>
      <w:pPr>
        <w:ind w:left="2620" w:right="40" w:hanging="762"/>
        <w:spacing w:after="0" w:line="271" w:lineRule="auto"/>
        <w:tabs>
          <w:tab w:leader="none" w:pos="2620" w:val="left"/>
        </w:tabs>
        <w:numPr>
          <w:ilvl w:val="0"/>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Regulatory Matters</w:t>
      </w:r>
      <w:r>
        <w:rPr>
          <w:rFonts w:ascii="Times New Roman" w:cs="Times New Roman" w:eastAsia="Times New Roman" w:hAnsi="Times New Roman"/>
          <w:sz w:val="17"/>
          <w:szCs w:val="17"/>
          <w:color w:val="auto"/>
        </w:rPr>
        <w:t>. At Pfizer’s request, Licensee shall transfer and assign to Pfizer (or its designee)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all Regulatory Approvals and Regulatory Filings held by Licensee with respect to such Terminated Products or Terminated Territory, as 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such transfer and assignment is not permitted by the applicable Regulatory Authority, Licensee shall permit Pfizer to cross-reference and rely upon such Regulatory Approvals and Regulatory Filings. Licensee shall make available to Pfizer copies of all regulatory documentation and records related to such Terminated Products or Terminated Territory, as applicable, including information contained in the regulatory and safety databases. The Parties shall cooperate to ensure the prompt transition of regulatory responsibilities with respect to such Terminated Products or Terminated Territory, as applicable, from Licensee to Pfizer.</w:t>
      </w:r>
    </w:p>
    <w:p>
      <w:pPr>
        <w:spacing w:after="0" w:line="78" w:lineRule="exact"/>
        <w:rPr>
          <w:rFonts w:ascii="Times New Roman" w:cs="Times New Roman" w:eastAsia="Times New Roman" w:hAnsi="Times New Roman"/>
          <w:sz w:val="17"/>
          <w:szCs w:val="17"/>
          <w:color w:val="auto"/>
        </w:rPr>
      </w:pPr>
    </w:p>
    <w:p>
      <w:pPr>
        <w:ind w:left="2620" w:hanging="762"/>
        <w:spacing w:after="0" w:line="271" w:lineRule="auto"/>
        <w:tabs>
          <w:tab w:leader="none" w:pos="2620" w:val="left"/>
        </w:tabs>
        <w:numPr>
          <w:ilvl w:val="0"/>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Trademarks</w:t>
      </w:r>
      <w:r>
        <w:rPr>
          <w:rFonts w:ascii="Times New Roman" w:cs="Times New Roman" w:eastAsia="Times New Roman" w:hAnsi="Times New Roman"/>
          <w:sz w:val="17"/>
          <w:szCs w:val="17"/>
          <w:color w:val="auto"/>
        </w:rPr>
        <w:t>. Pfizer shall have, and Licensee does hereby grant to Pfizer, a fully paid-up, royalty-free,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worldwide (except in the event that Pfizer terminates this Agreement with respect to a Terminated Territory, and such Terminated Territory is in the U.S. or Japan, in which case, such license shall be solely for the Terminated Territory) transferable, sublicensable, perpetual and irrevocable license to use the Licensee Product Trademarks associated with the Terminated Products, or all Products with respect to the Terminated Territory, as applicable, solely for the purpose of using, Developing, Commercializing and Manufacturing with respect to the Terminated Products or Terminated Territory, as applicable. Pfizer shall have a transitional license to use Licensee’s Trademarks and promotional materials solely for the purpose of using, Developing, Commercializing and Manufacturing the Terminated Products, or all Products with respect to a Terminated Territory, as applicable.</w:t>
      </w:r>
    </w:p>
    <w:p>
      <w:pPr>
        <w:spacing w:after="0" w:line="1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000"/>
          </w:cols>
          <w:pgMar w:left="1440" w:top="265" w:right="459" w:bottom="1440" w:gutter="0" w:footer="0" w:header="0"/>
        </w:sectPr>
      </w:pPr>
    </w:p>
    <w:bookmarkStart w:id="561" w:name="page562"/>
    <w:bookmarkEnd w:id="561"/>
    <w:p>
      <w:pPr>
        <w:ind w:left="2620" w:right="20" w:hanging="762"/>
        <w:spacing w:after="0" w:line="254" w:lineRule="auto"/>
        <w:tabs>
          <w:tab w:leader="none" w:pos="262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Inventory and Supply</w:t>
      </w:r>
      <w:r>
        <w:rPr>
          <w:rFonts w:ascii="Times New Roman" w:cs="Times New Roman" w:eastAsia="Times New Roman" w:hAnsi="Times New Roman"/>
          <w:sz w:val="18"/>
          <w:szCs w:val="18"/>
          <w:color w:val="auto"/>
        </w:rPr>
        <w:t>. At Pfizer’s request, Licensee shall transfer to Pfizer (or its designee)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Compound and Product, components and in-process inventory held by Licensee with respect to the Terminated Products or Terminated Territory, as applicable, as of such date of termination. At Pfizer’s request, if Licensee has sublicensed to a CMO to Manufacture a Terminated Product, or any Products with respect to the Terminated Territory, as applicable, Licensee shall promptly assign such sublicense to Pfizer, or if not, Licensee shall continue to Manufacture or have Manufactured with respect to such Terminated Product or any Products with respect to the Terminated Territory, for a period of not less than [***], including, at Pfizer’s request, a reasonable stock build. Pfizer shall pay to Licensee [***] of manufacturing associated with inventory and Compound and Product received by Pfizer pursuant to this </w:t>
      </w:r>
      <w:r>
        <w:rPr>
          <w:rFonts w:ascii="Times New Roman" w:cs="Times New Roman" w:eastAsia="Times New Roman" w:hAnsi="Times New Roman"/>
          <w:sz w:val="18"/>
          <w:szCs w:val="18"/>
          <w:u w:val="single" w:color="auto"/>
          <w:color w:val="auto"/>
        </w:rPr>
        <w:t>Section 15.4.4(c)(v)</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2620" w:right="140" w:hanging="762"/>
        <w:spacing w:after="0" w:line="257" w:lineRule="auto"/>
        <w:tabs>
          <w:tab w:leader="none" w:pos="262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Party Agreements</w:t>
      </w:r>
      <w:r>
        <w:rPr>
          <w:rFonts w:ascii="Times New Roman" w:cs="Times New Roman" w:eastAsia="Times New Roman" w:hAnsi="Times New Roman"/>
          <w:sz w:val="18"/>
          <w:szCs w:val="18"/>
          <w:color w:val="auto"/>
        </w:rPr>
        <w:t>. At Pfizer’s request, to the extent Licensee is able to do so, Licensee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to Pfizer (or its designee) any agreements with Third Parties with respect to the Development, Commercialization and Manufacture of the Terminated Products or Terminated Territory, as applicable. With respect to Third Party agreements that Licensee is not able to assign to Pfizer, Licensee shall cooperate to give Pfizer the benefit of such contracts for a reasonable transitional period.</w:t>
      </w:r>
    </w:p>
    <w:p>
      <w:pPr>
        <w:spacing w:after="0" w:line="88" w:lineRule="exact"/>
        <w:rPr>
          <w:sz w:val="20"/>
          <w:szCs w:val="20"/>
          <w:color w:val="auto"/>
        </w:rPr>
      </w:pPr>
    </w:p>
    <w:p>
      <w:pPr>
        <w:ind w:left="420" w:hanging="647"/>
        <w:spacing w:after="0" w:line="254"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15.5</w:t>
      </w:r>
      <w:r>
        <w:rPr>
          <w:sz w:val="20"/>
          <w:szCs w:val="20"/>
          <w:color w:val="auto"/>
        </w:rPr>
        <w:tab/>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Expiration or termination of this Agreement shall not relieve the Parties of any obligation accruing hereunder prior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expiration or termination. Without limiting the foregoing, (a) the provisions of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(Definitions),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(Records; Audit Rights), </w:t>
      </w:r>
      <w:r>
        <w:rPr>
          <w:rFonts w:ascii="Times New Roman" w:cs="Times New Roman" w:eastAsia="Times New Roman" w:hAnsi="Times New Roman"/>
          <w:sz w:val="18"/>
          <w:szCs w:val="18"/>
          <w:u w:val="single" w:color="auto"/>
          <w:color w:val="auto"/>
        </w:rPr>
        <w:t>9.1</w:t>
      </w:r>
      <w:r>
        <w:rPr>
          <w:rFonts w:ascii="Times New Roman" w:cs="Times New Roman" w:eastAsia="Times New Roman" w:hAnsi="Times New Roman"/>
          <w:sz w:val="18"/>
          <w:szCs w:val="18"/>
          <w:color w:val="auto"/>
        </w:rPr>
        <w:t xml:space="preserve"> (Pre-existing IP),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(Indemnification),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(Limitation of Liability) </w:t>
      </w:r>
      <w:r>
        <w:rPr>
          <w:rFonts w:ascii="Times New Roman" w:cs="Times New Roman" w:eastAsia="Times New Roman" w:hAnsi="Times New Roman"/>
          <w:sz w:val="18"/>
          <w:szCs w:val="18"/>
          <w:u w:val="single" w:color="auto"/>
          <w:color w:val="auto"/>
        </w:rPr>
        <w:t>15.4</w:t>
      </w:r>
      <w:r>
        <w:rPr>
          <w:rFonts w:ascii="Times New Roman" w:cs="Times New Roman" w:eastAsia="Times New Roman" w:hAnsi="Times New Roman"/>
          <w:sz w:val="18"/>
          <w:szCs w:val="18"/>
          <w:color w:val="auto"/>
        </w:rPr>
        <w:t xml:space="preserve"> (Effects of Termination), </w:t>
      </w:r>
      <w:r>
        <w:rPr>
          <w:rFonts w:ascii="Times New Roman" w:cs="Times New Roman" w:eastAsia="Times New Roman" w:hAnsi="Times New Roman"/>
          <w:sz w:val="18"/>
          <w:szCs w:val="18"/>
          <w:u w:val="single" w:color="auto"/>
          <w:color w:val="auto"/>
        </w:rPr>
        <w:t>15.5</w:t>
      </w:r>
      <w:r>
        <w:rPr>
          <w:rFonts w:ascii="Times New Roman" w:cs="Times New Roman" w:eastAsia="Times New Roman" w:hAnsi="Times New Roman"/>
          <w:sz w:val="18"/>
          <w:szCs w:val="18"/>
          <w:color w:val="auto"/>
        </w:rPr>
        <w:t xml:space="preserve"> (Survival),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(Licensee Insurance)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(General Provisions) shall survive expiration or termination of this Agreement and [***]. If this Agreement is terminated with respect to a Terminated Product or Terminated Territory, as applicable, but not in its entirety, then following such termination the foregoing provisions of this Agreement shall remain in effect with respect to such Terminated Product or Terminated Territory (to the extent they would survive and apply in the event the Agreement expires or is terminated in its entirety or as otherwise necessary for any of Pfizer and its Affiliates and its and their sublicensees to exercise their rights to such Terminated Product or Terminated Territory) and all provisions not surviving in accordance with the foregoing shall terminate upon termination of this Agreement with respect to the Terminated Product or Terminated Territory and be of no further force and effect.</w:t>
      </w:r>
    </w:p>
    <w:p>
      <w:pPr>
        <w:spacing w:after="0" w:line="1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020"/>
          </w:cols>
          <w:pgMar w:left="1440" w:top="265" w:right="439" w:bottom="1440" w:gutter="0" w:footer="0" w:header="0"/>
        </w:sectPr>
      </w:pPr>
    </w:p>
    <w:bookmarkStart w:id="562" w:name="page563"/>
    <w:bookmarkEnd w:id="562"/>
    <w:p>
      <w:pPr>
        <w:ind w:left="1424" w:right="20" w:hanging="647"/>
        <w:spacing w:after="0" w:line="253"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15.6</w:t>
      </w:r>
      <w:r>
        <w:rPr>
          <w:sz w:val="20"/>
          <w:szCs w:val="20"/>
          <w:color w:val="auto"/>
        </w:rPr>
        <w:tab/>
      </w:r>
      <w:r>
        <w:rPr>
          <w:rFonts w:ascii="Times New Roman" w:cs="Times New Roman" w:eastAsia="Times New Roman" w:hAnsi="Times New Roman"/>
          <w:sz w:val="18"/>
          <w:szCs w:val="18"/>
          <w:b w:val="1"/>
          <w:bCs w:val="1"/>
          <w:color w:val="auto"/>
        </w:rPr>
        <w:t xml:space="preserve">365(n) Rights. </w:t>
      </w:r>
      <w:r>
        <w:rPr>
          <w:rFonts w:ascii="Times New Roman" w:cs="Times New Roman" w:eastAsia="Times New Roman" w:hAnsi="Times New Roman"/>
          <w:sz w:val="18"/>
          <w:szCs w:val="18"/>
          <w:color w:val="auto"/>
        </w:rPr>
        <w:t>All rights and licenses now or hereafter granted to Licensee under or pursuant to this Agreement,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are rights to “intellectual property” as defined in Section 101(35A) of Title 11 of the United States Bankruptcy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Pfizer hereby grants to Licensee a right of access and to obtain possession of and to benefit from the Licensed Know-How, which constitute “embodiments” of intellectual property pursuant to Section 365(n) of the Bankruptcy Code. Pfizer agrees not to interfere with Licensee’s exercise of rights and licenses to intellectual property licensed hereunder and embodiments thereof in accordance with this Agreement and agrees to use commercially reasonable efforts to assist Licensee to obtain such intellectual property and embodiments thereof in the possession or control of Affiliates or Third Parties as reasonably necessary or desirable for Licensee to exercise such rights and licenses in accordance with this Agreement. The Parties acknowledge and agree that all payments by Licensee to Pfizer under this Agreement, other than U.S. Sales Milestone Payments and Licensee Royalties, do not constitute “royalties” within the meaning of Bankruptcy Code § 365(n) or relate to licenses of intellectual property hereunder. Conditioned upon satisfaction of the requirements of Section 365(b) of the Bankruptcy Code, Pfizer hereby consents to assumption of this Agreement in a case filed by or against Licensee under the Bankruptcy Code.</w:t>
      </w:r>
    </w:p>
    <w:p>
      <w:pPr>
        <w:spacing w:after="0" w:line="95" w:lineRule="exact"/>
        <w:rPr>
          <w:sz w:val="20"/>
          <w:szCs w:val="20"/>
          <w:color w:val="auto"/>
        </w:rPr>
      </w:pPr>
    </w:p>
    <w:p>
      <w:pPr>
        <w:ind w:left="764" w:hanging="764"/>
        <w:spacing w:after="0"/>
        <w:tabs>
          <w:tab w:leader="none" w:pos="764" w:val="left"/>
        </w:tabs>
        <w:numPr>
          <w:ilvl w:val="0"/>
          <w:numId w:val="4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PUBLICITY; PUBLICATIONS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424" w:hanging="648"/>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16.1 Use of Names. </w:t>
      </w:r>
      <w:r>
        <w:rPr>
          <w:rFonts w:ascii="Times New Roman" w:cs="Times New Roman" w:eastAsia="Times New Roman" w:hAnsi="Times New Roman"/>
          <w:sz w:val="18"/>
          <w:szCs w:val="18"/>
          <w:color w:val="auto"/>
        </w:rPr>
        <w:t>Subject to Pfizer’s rights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15.4.3(c)(iv)</w:t>
      </w:r>
      <w:r>
        <w:rPr>
          <w:rFonts w:ascii="Times New Roman" w:cs="Times New Roman" w:eastAsia="Times New Roman" w:hAnsi="Times New Roman"/>
          <w:sz w:val="18"/>
          <w:szCs w:val="18"/>
          <w:color w:val="auto"/>
        </w:rPr>
        <w:t>, neither Party (nor any of its Affiliates or agents) shall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registered or unregistered Trademarks of the other Party or its Affiliates in any press release, publication or other form of promotional disclosure without the prior written consent of the other Party in each instance;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Licensee and any of its Affiliates or sublicensees may state publicly that Licensee has received, or been sublicensed under, a license from Pfizer to Exploit the Compounds and Products.</w:t>
      </w:r>
    </w:p>
    <w:p>
      <w:pPr>
        <w:spacing w:after="0" w:line="84" w:lineRule="exact"/>
        <w:rPr>
          <w:rFonts w:ascii="Times New Roman" w:cs="Times New Roman" w:eastAsia="Times New Roman" w:hAnsi="Times New Roman"/>
          <w:sz w:val="18"/>
          <w:szCs w:val="18"/>
          <w:b w:val="1"/>
          <w:bCs w:val="1"/>
          <w:color w:val="auto"/>
        </w:rPr>
      </w:pPr>
    </w:p>
    <w:p>
      <w:pPr>
        <w:ind w:left="1424" w:right="2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16.2 Press Releases. </w:t>
      </w:r>
      <w:r>
        <w:rPr>
          <w:rFonts w:ascii="Times New Roman" w:cs="Times New Roman" w:eastAsia="Times New Roman" w:hAnsi="Times New Roman"/>
          <w:sz w:val="18"/>
          <w:szCs w:val="18"/>
          <w:color w:val="auto"/>
        </w:rPr>
        <w:t>The Parties acknowledge that one or both Parties, either singly or jointly, may desire to publish one or more press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releases relating to this Agreement, the rights granted hereunder, and developments made thereto. However, each Party agrees not to issue any press release or other public statement, whether written, electronic, oral or otherwise, disclosing the existence of this Agreement, the terms hereof or any information relating to this Agreement without the prior written consent of the other Party,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Party desiring to make such public disclosure may issue such press release or public announcement without such prior written consent by the other Party if (a) the entire contents of such press release or public announcement have previously been made public other than through a breach of this Agreement by such Party, and (b) such press release or public</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4"/>
          </w:cols>
          <w:pgMar w:left="436" w:top="265" w:right="479" w:bottom="1440" w:gutter="0" w:footer="0" w:header="0"/>
        </w:sectPr>
      </w:pPr>
    </w:p>
    <w:bookmarkStart w:id="563" w:name="page564"/>
    <w:bookmarkEnd w:id="563"/>
    <w:p>
      <w:pPr>
        <w:ind w:left="142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announcement does not materially differ from a previously issued press release or other publicly available information. Neither Party will be prevented from complying with any duty of disclosure it may have pursuant to Applicable Law or the rules of any recognized stock exchange so long as the disclosing Party provides the other Party at least [***] prior written notice to the extent practicable and only discloses information to the extent required by Applicable Law or the rules of any recognized stock exchange.</w:t>
      </w:r>
    </w:p>
    <w:p>
      <w:pPr>
        <w:spacing w:after="0" w:line="81" w:lineRule="exact"/>
        <w:rPr>
          <w:sz w:val="20"/>
          <w:szCs w:val="20"/>
          <w:color w:val="auto"/>
        </w:rPr>
      </w:pPr>
    </w:p>
    <w:p>
      <w:pPr>
        <w:ind w:left="1424" w:right="100" w:hanging="647"/>
        <w:spacing w:after="0" w:line="262" w:lineRule="auto"/>
        <w:tabs>
          <w:tab w:leader="none" w:pos="1404"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8"/>
          <w:szCs w:val="18"/>
          <w:b w:val="1"/>
          <w:bCs w:val="1"/>
          <w:color w:val="auto"/>
        </w:rPr>
        <w:t xml:space="preserve">Publications. </w:t>
      </w:r>
      <w:r>
        <w:rPr>
          <w:rFonts w:ascii="Times New Roman" w:cs="Times New Roman" w:eastAsia="Times New Roman" w:hAnsi="Times New Roman"/>
          <w:sz w:val="18"/>
          <w:szCs w:val="18"/>
          <w:color w:val="auto"/>
        </w:rPr>
        <w:t>During the Term, subject to the final sentence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Licensee shall have the sole right to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academic, scientific or medical publication or public presentation related to the Compounds and Products;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written copies of such proposed publication or presentation shall be submitted to Pfizer for review no later than [***] before submission for publication or presentation (the “</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w:t>
      </w:r>
    </w:p>
    <w:p>
      <w:pPr>
        <w:spacing w:after="0" w:line="82" w:lineRule="exact"/>
        <w:rPr>
          <w:sz w:val="20"/>
          <w:szCs w:val="20"/>
          <w:color w:val="auto"/>
        </w:rPr>
      </w:pPr>
    </w:p>
    <w:p>
      <w:pPr>
        <w:ind w:left="764" w:hanging="764"/>
        <w:spacing w:after="0"/>
        <w:tabs>
          <w:tab w:leader="none" w:pos="764"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424" w:right="1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17.1 Licensee Insurance Requirements. </w:t>
      </w:r>
      <w:r>
        <w:rPr>
          <w:rFonts w:ascii="Times New Roman" w:cs="Times New Roman" w:eastAsia="Times New Roman" w:hAnsi="Times New Roman"/>
          <w:sz w:val="18"/>
          <w:szCs w:val="18"/>
          <w:color w:val="auto"/>
        </w:rPr>
        <w:t>Licensee will maintain during the Term and until the later of (a) [***] after termination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this Agreement, or (b) the date that all statutes of limitation covering claims or suits that may be instituted for personal injury based on the sale or use of the Products have expired, commercial general liability insurance from a minimum “A-” AM Best rated insurance company, including contractual liability and product liability or clinical trials, if applicable, with coverage limits of not less than [***] U.S. Dollars per occurrence and [***] U.S. Dollars in the aggregate. Licensee has the right to provide the total limits required by any combination of primary and umbrella/excess coverage. The minimum level of insurance set forth herein shall not be construed to create a limit on Licensee’s liability hereunder. Such policies shall name Pfizer and its Affiliates as additional insured via form CG20101185 or its equivalent (usually for US, Canada and Puerto Rico exposures) or indemnify Pfizer and its Affiliates, as principal (usually for rest of world exposures) and provide a waiver of subrogation in favor of Pfizer and its Affiliates. Licensee shall also maintain statutory workers’ compensation and employers liability with a minimum of [***] U.S. Dollars per occurrence. Such insurance policies shall be primary and non-contributing with respect to any other similar insurance policies available to Pfizer or its Affiliates. Any deductibles or retentions for such insurance shall be assumed by Licensee.</w:t>
      </w:r>
    </w:p>
    <w:p>
      <w:pPr>
        <w:spacing w:after="0" w:line="95" w:lineRule="exact"/>
        <w:rPr>
          <w:rFonts w:ascii="Times New Roman" w:cs="Times New Roman" w:eastAsia="Times New Roman" w:hAnsi="Times New Roman"/>
          <w:sz w:val="18"/>
          <w:szCs w:val="18"/>
          <w:b w:val="1"/>
          <w:bCs w:val="1"/>
          <w:color w:val="auto"/>
        </w:rPr>
      </w:pPr>
    </w:p>
    <w:p>
      <w:pPr>
        <w:ind w:left="1424" w:right="180" w:hanging="648"/>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17.2 Licensee Policy Notification</w:t>
      </w:r>
      <w:r>
        <w:rPr>
          <w:rFonts w:ascii="Times New Roman" w:cs="Times New Roman" w:eastAsia="Times New Roman" w:hAnsi="Times New Roman"/>
          <w:sz w:val="18"/>
          <w:szCs w:val="18"/>
          <w:color w:val="auto"/>
        </w:rPr>
        <w:t>. Licensee shall provide Pfizer with certified copies of such policies or original (electronic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certificates of insurance evidencing such insurance (a) prior to execution by both Parties of this Agreement, and (b) the earlier of annually thereafter or prior to expiration of any one coverage. Licensee shall provide that Pfizer shall be given at least</w:t>
      </w:r>
    </w:p>
    <w:p>
      <w:pPr>
        <w:ind w:left="1844" w:hanging="427"/>
        <w:spacing w:after="0"/>
        <w:tabs>
          <w:tab w:leader="none" w:pos="1844"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prior to cancellation, termination or any material change to restrict the coverage or reduce the limits afforded.</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4"/>
          </w:cols>
          <w:pgMar w:left="436" w:top="269" w:right="439" w:bottom="1440" w:gutter="0" w:footer="0" w:header="0"/>
        </w:sectPr>
      </w:pPr>
    </w:p>
    <w:bookmarkStart w:id="564" w:name="page565"/>
    <w:bookmarkEnd w:id="564"/>
    <w:p>
      <w:pPr>
        <w:ind w:left="76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17.3</w:t>
      </w:r>
      <w:r>
        <w:rPr>
          <w:sz w:val="20"/>
          <w:szCs w:val="20"/>
          <w:color w:val="auto"/>
        </w:rPr>
        <w:tab/>
      </w:r>
      <w:r>
        <w:rPr>
          <w:rFonts w:ascii="Times New Roman" w:cs="Times New Roman" w:eastAsia="Times New Roman" w:hAnsi="Times New Roman"/>
          <w:sz w:val="17"/>
          <w:szCs w:val="17"/>
          <w:b w:val="1"/>
          <w:bCs w:val="1"/>
          <w:color w:val="auto"/>
        </w:rPr>
        <w:t>Pfizer Insurance Requirements</w:t>
      </w:r>
      <w:r>
        <w:rPr>
          <w:rFonts w:ascii="Times New Roman" w:cs="Times New Roman" w:eastAsia="Times New Roman" w:hAnsi="Times New Roman"/>
          <w:sz w:val="17"/>
          <w:szCs w:val="17"/>
          <w:color w:val="auto"/>
        </w:rPr>
        <w:t>. Pfizer, as sponsor of the</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will maintain during the Term and until the later of (a)</w:t>
      </w:r>
    </w:p>
    <w:p>
      <w:pPr>
        <w:spacing w:after="0" w:line="31" w:lineRule="exact"/>
        <w:rPr>
          <w:sz w:val="20"/>
          <w:szCs w:val="20"/>
          <w:color w:val="auto"/>
        </w:rPr>
      </w:pPr>
    </w:p>
    <w:p>
      <w:pPr>
        <w:ind w:left="1424" w:right="20" w:hanging="7"/>
        <w:spacing w:after="0" w:line="265" w:lineRule="auto"/>
        <w:tabs>
          <w:tab w:leader="none" w:pos="1859" w:val="left"/>
        </w:tabs>
        <w:numPr>
          <w:ilvl w:val="0"/>
          <w:numId w:val="4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after termination or expiration of this Agreement, or (b) the date that all statutes of limitation covering claims or suits that may be instituted for personal injury based on the sale or use of the Products have expired, commercial general liability insurance from a minimum “A-” AM Best rated insurance company, including contractual liability and product liability or clinical trials, if applicable, with coverage limits of not less than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U.S. Dollars per occurrence and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U.S. Dollars in the aggregate. Pfizer has the right to provide the total limits required by any combination of primary and umbrella/excess coverage. The minimum level of insurance set forth herein shall not be construed to create a limit on Pfizer’s liability hereunder. Such policies shall name Licensee and its Affiliates as additional insured via form CG20101185 or its equivalent (usually for US, Canada and Puerto Rico exposures) or indemnify Licensee and its Affiliates, as principal (usually for rest of world exposures) and provide a waiver of subrogation in favor of Licensee and its Affiliates. Pfizer shall also maintain statutory workers’ compensation and employers liability with a minimum of</w:t>
      </w:r>
    </w:p>
    <w:p>
      <w:pPr>
        <w:spacing w:after="0" w:line="1" w:lineRule="exact"/>
        <w:rPr>
          <w:rFonts w:ascii="Times New Roman" w:cs="Times New Roman" w:eastAsia="Times New Roman" w:hAnsi="Times New Roman"/>
          <w:sz w:val="17"/>
          <w:szCs w:val="17"/>
          <w:b w:val="1"/>
          <w:bCs w:val="1"/>
          <w:color w:val="auto"/>
        </w:rPr>
      </w:pPr>
    </w:p>
    <w:p>
      <w:pPr>
        <w:ind w:left="1424" w:hanging="7"/>
        <w:spacing w:after="0" w:line="255" w:lineRule="auto"/>
        <w:tabs>
          <w:tab w:leader="none" w:pos="1859"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per occurrence. Such insurance policies shall be primary and non-contributing with respect to any other similar insurance policies available to Licensee or its Affiliates. Any deductibles or retentions for such insurance shall be assumed by Pfizer. Pfizer’s insurance obligations can be met through a combination of insurance and/or self-insurance.</w:t>
      </w:r>
    </w:p>
    <w:p>
      <w:pPr>
        <w:spacing w:after="0" w:line="87" w:lineRule="exact"/>
        <w:rPr>
          <w:sz w:val="20"/>
          <w:szCs w:val="20"/>
          <w:color w:val="auto"/>
        </w:rPr>
      </w:pPr>
    </w:p>
    <w:p>
      <w:pPr>
        <w:jc w:val="center"/>
        <w:ind w:left="68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7"/>
          <w:szCs w:val="17"/>
          <w:b w:val="1"/>
          <w:bCs w:val="1"/>
          <w:color w:val="auto"/>
        </w:rPr>
        <w:t>Pfizer Policy Notification</w:t>
      </w:r>
      <w:r>
        <w:rPr>
          <w:rFonts w:ascii="Times New Roman" w:cs="Times New Roman" w:eastAsia="Times New Roman" w:hAnsi="Times New Roman"/>
          <w:sz w:val="17"/>
          <w:szCs w:val="17"/>
          <w:color w:val="auto"/>
        </w:rPr>
        <w:t>. Pfizer shall provide Licensee with original (electronic is acceptable) certificates of insurance evidencing</w:t>
      </w:r>
    </w:p>
    <w:p>
      <w:pPr>
        <w:spacing w:after="0" w:line="31" w:lineRule="exact"/>
        <w:rPr>
          <w:sz w:val="20"/>
          <w:szCs w:val="20"/>
          <w:color w:val="auto"/>
        </w:rPr>
      </w:pPr>
    </w:p>
    <w:p>
      <w:pPr>
        <w:ind w:left="1424" w:right="240"/>
        <w:spacing w:after="0" w:line="255" w:lineRule="auto"/>
        <w:rPr>
          <w:sz w:val="20"/>
          <w:szCs w:val="20"/>
          <w:color w:val="auto"/>
        </w:rPr>
      </w:pPr>
      <w:r>
        <w:rPr>
          <w:rFonts w:ascii="Times New Roman" w:cs="Times New Roman" w:eastAsia="Times New Roman" w:hAnsi="Times New Roman"/>
          <w:sz w:val="18"/>
          <w:szCs w:val="18"/>
          <w:color w:val="auto"/>
        </w:rPr>
        <w:t>such insurance (a) prior to execution by both Parties of this Agreement, and (b) the earlier of annually thereafter or prior to expiration of any one coverage. Pfizer shall provide that Licensee shall be given at least [***] written notice prior to cancellation, termination or any material change to restrict the coverage or reduce the limits afforded.</w:t>
      </w:r>
    </w:p>
    <w:p>
      <w:pPr>
        <w:spacing w:after="0" w:line="87" w:lineRule="exact"/>
        <w:rPr>
          <w:sz w:val="20"/>
          <w:szCs w:val="20"/>
          <w:color w:val="auto"/>
        </w:rPr>
      </w:pPr>
    </w:p>
    <w:p>
      <w:pPr>
        <w:ind w:left="764" w:hanging="764"/>
        <w:spacing w:after="0"/>
        <w:tabs>
          <w:tab w:leader="none" w:pos="764" w:val="left"/>
        </w:tabs>
        <w:numPr>
          <w:ilvl w:val="0"/>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424" w:hanging="648"/>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18.1 Assignment. </w:t>
      </w:r>
      <w:r>
        <w:rPr>
          <w:rFonts w:ascii="Times New Roman" w:cs="Times New Roman" w:eastAsia="Times New Roman" w:hAnsi="Times New Roman"/>
          <w:sz w:val="17"/>
          <w:szCs w:val="17"/>
          <w:color w:val="auto"/>
        </w:rPr>
        <w:t>For purposes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18.1</w:t>
      </w:r>
      <w:r>
        <w:rPr>
          <w:rFonts w:ascii="Times New Roman" w:cs="Times New Roman" w:eastAsia="Times New Roman" w:hAnsi="Times New Roman"/>
          <w:sz w:val="17"/>
          <w:szCs w:val="17"/>
          <w:color w:val="auto"/>
        </w:rPr>
        <w:t>, any Change of Control shall be deemed an assignment. Neither Party may assign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rights and obligations under this Agreement without the other Party’s prior written consent, except that: (a) either Party may assign to a Third Party such Party’s rights to receive some or all of the Fees payable hereunder, (b) either Party may assign its rights and obligations under this Agreement or any part hereof to one or more of its Affiliates without the consent of other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Licensee shall not assign all or substantially all of its rights and obligations hereunder to one or more of its Affiliates (other than Priovant Holdings, Inc. or any direct or indirect wholly owned subsidiary of Priovant Holdings, Inc.) without the prior written consent of Pfizer; and (c) either Party may assign this Agreement in connection with a Change of Control of such Party. The assigning Party shall provide the other Party with prompt written notice of any such assignment. Any permitted assignee pursuant to clauses (b) and (c) above shall assume all obligations of its assignor under this Agreement, and no permitted assignment shall relieve the assignor of liability for its obligations hereunder. Any attempted assignment in contravention of the foregoing shall be void.</w:t>
      </w:r>
    </w:p>
    <w:p>
      <w:pPr>
        <w:spacing w:after="0" w:line="10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4"/>
          </w:cols>
          <w:pgMar w:left="436" w:top="265" w:right="479" w:bottom="1440" w:gutter="0" w:footer="0" w:header="0"/>
        </w:sectPr>
      </w:pPr>
    </w:p>
    <w:bookmarkStart w:id="565" w:name="page566"/>
    <w:bookmarkEnd w:id="565"/>
    <w:p>
      <w:pPr>
        <w:ind w:left="660" w:right="20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18.2</w:t>
      </w:r>
      <w:r>
        <w:rPr>
          <w:sz w:val="20"/>
          <w:szCs w:val="20"/>
          <w:color w:val="auto"/>
        </w:rPr>
        <w:tab/>
      </w: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Should one or more of the provisions of this Agreement become void or unenforceable as a matter of law, then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will be ineffective only to the extent of such prohibition or invalidity, without invalidating the remainder of this Agreement, and the Parties agree to substitute a valid and enforceable provision therefor which, as nearly as possible, achieves the desired economic effect and mutual understanding of the Parties under this Agreement.</w:t>
      </w:r>
    </w:p>
    <w:p>
      <w:pPr>
        <w:spacing w:after="0" w:line="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7"/>
          <w:szCs w:val="17"/>
          <w:b w:val="1"/>
          <w:bCs w:val="1"/>
          <w:color w:val="auto"/>
        </w:rPr>
        <w:t>Governing Law; Dispute Resolution</w:t>
      </w:r>
    </w:p>
    <w:p>
      <w:pPr>
        <w:spacing w:after="0" w:line="131" w:lineRule="exact"/>
        <w:rPr>
          <w:sz w:val="20"/>
          <w:szCs w:val="20"/>
          <w:color w:val="auto"/>
        </w:rPr>
      </w:pPr>
    </w:p>
    <w:p>
      <w:pPr>
        <w:ind w:left="1440" w:right="100" w:hanging="768"/>
        <w:spacing w:after="0" w:line="266"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18.3.1</w:t>
      </w:r>
      <w:r>
        <w:rPr>
          <w:sz w:val="20"/>
          <w:szCs w:val="20"/>
          <w:color w:val="auto"/>
        </w:rPr>
        <w:tab/>
      </w:r>
      <w:r>
        <w:rPr>
          <w:rFonts w:ascii="Times New Roman" w:cs="Times New Roman" w:eastAsia="Times New Roman" w:hAnsi="Times New Roman"/>
          <w:sz w:val="18"/>
          <w:szCs w:val="18"/>
          <w:color w:val="auto"/>
        </w:rPr>
        <w:t>This Agreement shall be governed by and construed in all respects in accordance with the internal laws of the State of New York, as such laws are applied to agreements among New York residents entered into and performed entirely within New York, without giving effect to conflict-of-law principles thereof.</w:t>
      </w:r>
    </w:p>
    <w:p>
      <w:pPr>
        <w:spacing w:after="0" w:line="81" w:lineRule="exact"/>
        <w:rPr>
          <w:sz w:val="20"/>
          <w:szCs w:val="20"/>
          <w:color w:val="auto"/>
        </w:rPr>
      </w:pPr>
    </w:p>
    <w:p>
      <w:pPr>
        <w:ind w:left="1440" w:hanging="768"/>
        <w:spacing w:after="0" w:line="253"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18.3.2</w:t>
      </w:r>
      <w:r>
        <w:rPr>
          <w:sz w:val="20"/>
          <w:szCs w:val="20"/>
          <w:color w:val="auto"/>
        </w:rPr>
        <w:tab/>
      </w:r>
      <w:r>
        <w:rPr>
          <w:rFonts w:ascii="Times New Roman" w:cs="Times New Roman" w:eastAsia="Times New Roman" w:hAnsi="Times New Roman"/>
          <w:sz w:val="18"/>
          <w:szCs w:val="18"/>
          <w:color w:val="auto"/>
        </w:rPr>
        <w:t xml:space="preserve">With support from the Alliance Managers, the Parties shall negotiate in good faith and use reasonable efforts to settle any dispute, controversy or action arising from or related to this Agreement or the breach thereof. Subject to </w:t>
      </w:r>
      <w:r>
        <w:rPr>
          <w:rFonts w:ascii="Times New Roman" w:cs="Times New Roman" w:eastAsia="Times New Roman" w:hAnsi="Times New Roman"/>
          <w:sz w:val="18"/>
          <w:szCs w:val="18"/>
          <w:u w:val="single" w:color="auto"/>
          <w:color w:val="auto"/>
        </w:rPr>
        <w:t>Section 18.3.8</w:t>
      </w:r>
      <w:r>
        <w:rPr>
          <w:rFonts w:ascii="Times New Roman" w:cs="Times New Roman" w:eastAsia="Times New Roman" w:hAnsi="Times New Roman"/>
          <w:sz w:val="18"/>
          <w:szCs w:val="18"/>
          <w:color w:val="auto"/>
        </w:rPr>
        <w:t>, in the event that the Parties cannot resolve such dispute, controversy or action within a period of [***] from when the dispute, controversy or action is first identified in writing by the Party raising or asserting such dispute, controversy or action, then the matter shall be referred to designated senior executives of the Parties for resolution by the sending of a notice of dispute(s) for executive resolution (a “</w:t>
      </w:r>
      <w:r>
        <w:rPr>
          <w:rFonts w:ascii="Times New Roman" w:cs="Times New Roman" w:eastAsia="Times New Roman" w:hAnsi="Times New Roman"/>
          <w:sz w:val="18"/>
          <w:szCs w:val="18"/>
          <w:b w:val="1"/>
          <w:bCs w:val="1"/>
          <w:color w:val="auto"/>
        </w:rPr>
        <w:t>Notice of Dispute(s) for Executive Resolution</w:t>
      </w:r>
      <w:r>
        <w:rPr>
          <w:rFonts w:ascii="Times New Roman" w:cs="Times New Roman" w:eastAsia="Times New Roman" w:hAnsi="Times New Roman"/>
          <w:sz w:val="18"/>
          <w:szCs w:val="18"/>
          <w:color w:val="auto"/>
        </w:rPr>
        <w:t>”). The designated senior executives shall endeavor to meet in person or by means of telephone conference, video conference or similar communications equipment by means of which all Persons participating in the meeting can hear and speak to each other, and where such participation by the Parties’ designated senior executives shall constitute presence in person at the meeting, within [***] following transmittal of the Notice of Dispute(s) for Executive Resolution. Each Party shall be entitled to name substitute senior executives upon written notice to the other Party. The foregoing duties may be delegated to the extent the person delegated with such duties is duly authorized to enter into the foregoing resolution without seeking any additional approval within the respective Party.</w:t>
      </w:r>
    </w:p>
    <w:p>
      <w:pPr>
        <w:spacing w:after="0" w:line="93" w:lineRule="exact"/>
        <w:rPr>
          <w:sz w:val="20"/>
          <w:szCs w:val="20"/>
          <w:color w:val="auto"/>
        </w:rPr>
      </w:pPr>
    </w:p>
    <w:p>
      <w:pPr>
        <w:ind w:left="1440" w:right="20" w:hanging="768"/>
        <w:spacing w:after="0" w:line="258"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18.3.3</w:t>
      </w:r>
      <w:r>
        <w:rPr>
          <w:sz w:val="20"/>
          <w:szCs w:val="20"/>
          <w:color w:val="auto"/>
        </w:rPr>
        <w:tab/>
      </w:r>
      <w:r>
        <w:rPr>
          <w:rFonts w:ascii="Times New Roman" w:cs="Times New Roman" w:eastAsia="Times New Roman" w:hAnsi="Times New Roman"/>
          <w:sz w:val="18"/>
          <w:szCs w:val="18"/>
          <w:color w:val="auto"/>
        </w:rPr>
        <w:t xml:space="preserve">Except as expressly set forth in </w:t>
      </w:r>
      <w:r>
        <w:rPr>
          <w:rFonts w:ascii="Times New Roman" w:cs="Times New Roman" w:eastAsia="Times New Roman" w:hAnsi="Times New Roman"/>
          <w:sz w:val="18"/>
          <w:szCs w:val="18"/>
          <w:u w:val="single" w:color="auto"/>
          <w:color w:val="auto"/>
        </w:rPr>
        <w:t>Section 18.3.8</w:t>
      </w:r>
      <w:r>
        <w:rPr>
          <w:rFonts w:ascii="Times New Roman" w:cs="Times New Roman" w:eastAsia="Times New Roman" w:hAnsi="Times New Roman"/>
          <w:sz w:val="18"/>
          <w:szCs w:val="18"/>
          <w:color w:val="auto"/>
        </w:rPr>
        <w:t>, if the Parties do not fully settle any dispute, controversy or action referred to the senior executives of the Parties within [***] of it being referred to them, and a Party wishes to pursue the matter, then such dispute, controversy or action that is not an Excluded Action shall be finally resolved by binding arbitration administered by the American Arbitration Association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pursuant to AAA’s Commercial Arbitration Rules then in effect.</w:t>
      </w:r>
    </w:p>
    <w:p>
      <w:pPr>
        <w:spacing w:after="0" w:line="1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240"/>
          </w:cols>
          <w:pgMar w:left="1200" w:top="265" w:right="459" w:bottom="1440" w:gutter="0" w:footer="0" w:header="0"/>
        </w:sectPr>
      </w:pPr>
    </w:p>
    <w:bookmarkStart w:id="566" w:name="page567"/>
    <w:bookmarkEnd w:id="566"/>
    <w:p>
      <w:pPr>
        <w:ind w:left="1200" w:right="80" w:hanging="768"/>
        <w:spacing w:after="0" w:line="269"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18.3.4</w:t>
      </w:r>
      <w:r>
        <w:rPr>
          <w:sz w:val="20"/>
          <w:szCs w:val="20"/>
          <w:color w:val="auto"/>
        </w:rPr>
        <w:tab/>
      </w:r>
      <w:r>
        <w:rPr>
          <w:rFonts w:ascii="Times New Roman" w:cs="Times New Roman" w:eastAsia="Times New Roman" w:hAnsi="Times New Roman"/>
          <w:sz w:val="17"/>
          <w:szCs w:val="17"/>
          <w:color w:val="auto"/>
        </w:rPr>
        <w:t>The arbitration shall be conducted by a panel of three (3) neutral arbitrators, each of whom shall have significant legal or business experience in the pharmaceutical industry, and none of whom shall be a current or former employee or director, or a current significant shareholder, of either Party or any of their respective Affiliates or sublicensees; and within [***] after initiation of arbitration, each Party shall select one (1) person to act as arbitrator and the two (2) Party-selected arbitrators shall select a third (3rd) arbitrator within [***] of their appointment. If the arbitrators selected by the Parties are unable or fail to agree upon the third (3rd) arbitrator, then on the [***] after the initiation of arbitration, the two</w:t>
      </w:r>
    </w:p>
    <w:p>
      <w:pPr>
        <w:spacing w:after="0" w:line="4" w:lineRule="exact"/>
        <w:rPr>
          <w:sz w:val="20"/>
          <w:szCs w:val="20"/>
          <w:color w:val="auto"/>
        </w:rPr>
      </w:pPr>
    </w:p>
    <w:p>
      <w:pPr>
        <w:ind w:left="1200" w:right="80" w:hanging="4"/>
        <w:spacing w:after="0" w:line="253" w:lineRule="auto"/>
        <w:tabs>
          <w:tab w:leader="none" w:pos="145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Party-selected arbitrators shall make a written request to AAA to appoint a third (3rd) arbitrator. AAA shall appoint such third (3rd) arbitrator within [***] of being notified by the two (2) Party-selected arbitrators. The place of arbitration shall be New York, New York, and all proceedings and communications shall be in English. The award rendered by the arbitrators shall be final, binding and non-appealable, and judgment may be entered upon it in any court of competent jurisdiction.</w:t>
      </w:r>
    </w:p>
    <w:p>
      <w:pPr>
        <w:spacing w:after="0" w:line="88" w:lineRule="exact"/>
        <w:rPr>
          <w:sz w:val="20"/>
          <w:szCs w:val="20"/>
          <w:color w:val="auto"/>
        </w:rPr>
      </w:pPr>
    </w:p>
    <w:p>
      <w:pPr>
        <w:ind w:left="1200" w:right="20" w:hanging="768"/>
        <w:spacing w:after="0" w:line="258"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18.3.5</w:t>
      </w:r>
      <w:r>
        <w:rPr>
          <w:sz w:val="20"/>
          <w:szCs w:val="20"/>
          <w:color w:val="auto"/>
        </w:rPr>
        <w:tab/>
      </w:r>
      <w:r>
        <w:rPr>
          <w:rFonts w:ascii="Times New Roman" w:cs="Times New Roman" w:eastAsia="Times New Roman" w:hAnsi="Times New Roman"/>
          <w:sz w:val="18"/>
          <w:szCs w:val="18"/>
          <w:color w:val="auto"/>
        </w:rPr>
        <w:t xml:space="preserve">Either Party may apply to the arbitrators for interim injunctive relief until the arbitration award is rendered or the controversy is otherwise resolved. Either Party has the right to file an early dispositive motion seeking a determination on the issue of whether a material breach has occurred under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and the arbitrators will promptly rule on such motion. The arbitrators’ authority to award punitive or any other type of damages not measured by a Party’s compensatory damages shall be subject to the limitation set forth in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w:t>
      </w:r>
    </w:p>
    <w:p>
      <w:pPr>
        <w:spacing w:after="0" w:line="89" w:lineRule="exact"/>
        <w:rPr>
          <w:sz w:val="20"/>
          <w:szCs w:val="20"/>
          <w:color w:val="auto"/>
        </w:rPr>
      </w:pPr>
    </w:p>
    <w:p>
      <w:pPr>
        <w:ind w:left="1200" w:right="20" w:hanging="768"/>
        <w:spacing w:after="0" w:line="261"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18.3.6</w:t>
      </w:r>
      <w:r>
        <w:rPr>
          <w:sz w:val="20"/>
          <w:szCs w:val="20"/>
          <w:color w:val="auto"/>
        </w:rPr>
        <w:tab/>
      </w:r>
      <w:r>
        <w:rPr>
          <w:rFonts w:ascii="Times New Roman" w:cs="Times New Roman" w:eastAsia="Times New Roman" w:hAnsi="Times New Roman"/>
          <w:sz w:val="18"/>
          <w:szCs w:val="18"/>
          <w:color w:val="auto"/>
        </w:rPr>
        <w:t>Except to the extent necessary to confirm or enforce an award or as may be required by Applicable Law, neither Party nor an arbitrator may disclose the existence, content or results of an arbitration without the prior written consent of the other Party. In no event shall an arbitration be initiated after the date when commencement of a legal or equitable action based on the dispute, controversy or action would be barred by the applicable statute of limitations in New York.</w:t>
      </w:r>
    </w:p>
    <w:p>
      <w:pPr>
        <w:spacing w:after="0" w:line="85" w:lineRule="exact"/>
        <w:rPr>
          <w:sz w:val="20"/>
          <w:szCs w:val="20"/>
          <w:color w:val="auto"/>
        </w:rPr>
      </w:pPr>
    </w:p>
    <w:p>
      <w:pPr>
        <w:jc w:val="both"/>
        <w:ind w:left="1200" w:right="240" w:hanging="768"/>
        <w:spacing w:after="0" w:line="268"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18.3.7</w:t>
      </w:r>
      <w:r>
        <w:rPr>
          <w:sz w:val="20"/>
          <w:szCs w:val="20"/>
          <w:color w:val="auto"/>
        </w:rPr>
        <w:tab/>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Excluded Action</w:t>
      </w:r>
      <w:r>
        <w:rPr>
          <w:rFonts w:ascii="Times New Roman" w:cs="Times New Roman" w:eastAsia="Times New Roman" w:hAnsi="Times New Roman"/>
          <w:sz w:val="18"/>
          <w:szCs w:val="18"/>
          <w:color w:val="auto"/>
        </w:rPr>
        <w:t>” means a dispute, controversy or action that concerns (i) the construction, scope, validity, enforceability, inventorship or infringement, misappropriation or other violation of any Intellectual Property Rights; or (ii) any antitrust, anti-monopoly or competition law or regulation, whether or not statutory.</w:t>
      </w:r>
    </w:p>
    <w:p>
      <w:pPr>
        <w:spacing w:after="0" w:line="76" w:lineRule="exact"/>
        <w:rPr>
          <w:sz w:val="20"/>
          <w:szCs w:val="20"/>
          <w:color w:val="auto"/>
        </w:rPr>
      </w:pPr>
    </w:p>
    <w:p>
      <w:pPr>
        <w:ind w:left="1200" w:hanging="768"/>
        <w:spacing w:after="0" w:line="25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18.3.8</w:t>
      </w:r>
      <w:r>
        <w:rPr>
          <w:sz w:val="20"/>
          <w:szCs w:val="20"/>
          <w:color w:val="auto"/>
        </w:rPr>
        <w:tab/>
      </w:r>
      <w:r>
        <w:rPr>
          <w:rFonts w:ascii="Times New Roman" w:cs="Times New Roman" w:eastAsia="Times New Roman" w:hAnsi="Times New Roman"/>
          <w:sz w:val="18"/>
          <w:szCs w:val="18"/>
          <w:color w:val="auto"/>
        </w:rPr>
        <w:t xml:space="preserve">Either Party may bring an action in any court of competent jurisdiction to resolve any Excluded Action, and no Excluded Action shall be subject to arbitration pursuant to </w:t>
      </w:r>
      <w:r>
        <w:rPr>
          <w:rFonts w:ascii="Times New Roman" w:cs="Times New Roman" w:eastAsia="Times New Roman" w:hAnsi="Times New Roman"/>
          <w:sz w:val="18"/>
          <w:szCs w:val="18"/>
          <w:u w:val="single" w:color="auto"/>
          <w:color w:val="auto"/>
        </w:rPr>
        <w:t>Sections 18.3.3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18.3.4</w:t>
      </w:r>
      <w:r>
        <w:rPr>
          <w:rFonts w:ascii="Times New Roman" w:cs="Times New Roman" w:eastAsia="Times New Roman" w:hAnsi="Times New Roman"/>
          <w:sz w:val="18"/>
          <w:szCs w:val="18"/>
          <w:color w:val="auto"/>
        </w:rPr>
        <w:t xml:space="preserve">. Any Excluded Action brought by either Party pursuant to this </w:t>
      </w:r>
      <w:r>
        <w:rPr>
          <w:rFonts w:ascii="Times New Roman" w:cs="Times New Roman" w:eastAsia="Times New Roman" w:hAnsi="Times New Roman"/>
          <w:sz w:val="18"/>
          <w:szCs w:val="18"/>
          <w:u w:val="single" w:color="auto"/>
          <w:color w:val="auto"/>
        </w:rPr>
        <w:t>Section 18.3.8</w:t>
      </w:r>
      <w:r>
        <w:rPr>
          <w:rFonts w:ascii="Times New Roman" w:cs="Times New Roman" w:eastAsia="Times New Roman" w:hAnsi="Times New Roman"/>
          <w:sz w:val="18"/>
          <w:szCs w:val="18"/>
          <w:color w:val="auto"/>
        </w:rPr>
        <w:t xml:space="preserve"> shall be venued exclusively in the United States District Court for the Southern District of New York (“</w:t>
      </w:r>
      <w:r>
        <w:rPr>
          <w:rFonts w:ascii="Times New Roman" w:cs="Times New Roman" w:eastAsia="Times New Roman" w:hAnsi="Times New Roman"/>
          <w:sz w:val="18"/>
          <w:szCs w:val="18"/>
          <w:b w:val="1"/>
          <w:bCs w:val="1"/>
          <w:color w:val="auto"/>
        </w:rPr>
        <w:t>SDNY</w:t>
      </w:r>
      <w:r>
        <w:rPr>
          <w:rFonts w:ascii="Times New Roman" w:cs="Times New Roman" w:eastAsia="Times New Roman" w:hAnsi="Times New Roman"/>
          <w:sz w:val="18"/>
          <w:szCs w:val="18"/>
          <w:color w:val="auto"/>
        </w:rPr>
        <w:t>”), or if the SDNY does not have the jurisdiction to hear such Excluded Action, in a state court located in New York county, and each Party expressly and irrevocably consents and submits to the jurisdiction of such courts having appropriate jurisdiction in connection with any such legal action.</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9980"/>
          </w:cols>
          <w:pgMar w:left="1440" w:top="265" w:right="479" w:bottom="1440" w:gutter="0" w:footer="0" w:header="0"/>
        </w:sectPr>
      </w:pPr>
    </w:p>
    <w:bookmarkStart w:id="567" w:name="page568"/>
    <w:bookmarkEnd w:id="567"/>
    <w:p>
      <w:pPr>
        <w:ind w:left="1200" w:hanging="768"/>
        <w:spacing w:after="0" w:line="253"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18.3.9</w:t>
      </w:r>
      <w:r>
        <w:rPr>
          <w:sz w:val="20"/>
          <w:szCs w:val="20"/>
          <w:color w:val="auto"/>
        </w:rPr>
        <w:tab/>
      </w:r>
      <w:r>
        <w:rPr>
          <w:rFonts w:ascii="Times New Roman" w:cs="Times New Roman" w:eastAsia="Times New Roman" w:hAnsi="Times New Roman"/>
          <w:sz w:val="18"/>
          <w:szCs w:val="18"/>
          <w:color w:val="auto"/>
        </w:rPr>
        <w:t>EACH PARTY HEREBY WAIVES ITS RIGHTS TO A JURY TRIAL OF ANY CLAIM OR CAUSE OF ACTION ARISING FROM OR RELATED TO THIS AGREEMENT OR THE BREACH THEREOF. THE SCOPE OF THIS WAIVER IS INTENDED TO BE ALL-ENCOMPASSING OF ANY AND ALL DISPUTES THAT MAY BE FILED IN ANY COURT AND THAT ARISE FROM OR RELATE TO THIS AGREEMENT OR THE BREACH THEREOF,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97" w:lineRule="exact"/>
        <w:rPr>
          <w:sz w:val="20"/>
          <w:szCs w:val="20"/>
          <w:color w:val="auto"/>
        </w:rPr>
      </w:pPr>
    </w:p>
    <w:p>
      <w:pPr>
        <w:ind w:left="420" w:right="60" w:hanging="647"/>
        <w:spacing w:after="0" w:line="254"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8"/>
          <w:szCs w:val="18"/>
          <w:b w:val="1"/>
          <w:bCs w:val="1"/>
          <w:color w:val="auto"/>
        </w:rPr>
        <w:t>Equitable Relief</w:t>
      </w:r>
      <w:r>
        <w:rPr>
          <w:rFonts w:ascii="Times New Roman" w:cs="Times New Roman" w:eastAsia="Times New Roman" w:hAnsi="Times New Roman"/>
          <w:sz w:val="18"/>
          <w:szCs w:val="18"/>
          <w:color w:val="auto"/>
        </w:rPr>
        <w:t>. The Parties agree that irreparable damage would occur in the event that any of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 each case, is not performed in accordance with its specific terms of this Agreement or is otherwise breached. It is accordingly agreed that either Party shall be entitled to an injunction or injunctions to prevent breaches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to enforce specifically the terms and provisions of such section of this Agreement in any court of the United States or any state having jurisdiction, this being in addition to any other remedy to which such Party is entitled at law or in equity. Each Party hereby waives (a) any requirement that the other Party post a bond or other security as a condition for obtaining any such relief and (b) any defenses in any action for specific performance, including the defense that a remedy at law would be adequate. The Parties acknowledge and agree that damages, to the extent incurred by and awarded to, a Party are an appropriate remedy for any breach or violation of any other provision of this Agreement and that the Parties do not intend for any other provision of this Agreement to be specifically enforceable.</w:t>
      </w:r>
    </w:p>
    <w:p>
      <w:pPr>
        <w:spacing w:after="0" w:line="91" w:lineRule="exact"/>
        <w:rPr>
          <w:sz w:val="20"/>
          <w:szCs w:val="20"/>
          <w:color w:val="auto"/>
        </w:rPr>
      </w:pPr>
    </w:p>
    <w:p>
      <w:pPr>
        <w:jc w:val="both"/>
        <w:ind w:left="420" w:right="80" w:hanging="647"/>
        <w:spacing w:after="0" w:line="262"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Except with respect to delays or nonperformance caused by the negligent or intentional act or omission of a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delay or nonperformance by such Party (other than payment obligations under this Agreement) will not be considered a breach of this Agreement to the extent such delay or nonperformance is caused by acts of God, natural disasters, acts of any Governmental Authority or civil or military authority, fire, floods, epidemics, quarantine, energy crises, war or</w:t>
      </w:r>
    </w:p>
    <w:p>
      <w:pPr>
        <w:spacing w:after="0" w:line="1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9960"/>
          </w:cols>
          <w:pgMar w:left="1440" w:top="265" w:right="499" w:bottom="1440" w:gutter="0" w:footer="0" w:header="0"/>
        </w:sectPr>
      </w:pPr>
    </w:p>
    <w:bookmarkStart w:id="568" w:name="page569"/>
    <w:bookmarkEnd w:id="568"/>
    <w:p>
      <w:pPr>
        <w:ind w:left="420" w:right="1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riots or any other cause outside of the reasonable control of such Party (each, a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provided that the Party affected by such Force Majeure Event will promptly begin or resume performance as soon as reasonably practicable after the event has abated. If the Force Majeure Event prevents a Party from performing any of its obligations under this Agreement for three hundred sixty five (365) days or more, then the other Party may terminate this Agreement immediately upon written notice to the non-performing Party.</w:t>
      </w:r>
    </w:p>
    <w:p>
      <w:pPr>
        <w:spacing w:after="0" w:line="85" w:lineRule="exact"/>
        <w:rPr>
          <w:sz w:val="20"/>
          <w:szCs w:val="20"/>
          <w:color w:val="auto"/>
        </w:rPr>
      </w:pPr>
    </w:p>
    <w:p>
      <w:pPr>
        <w:ind w:left="420" w:right="140" w:hanging="647"/>
        <w:spacing w:after="0" w:line="259"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8"/>
          <w:szCs w:val="18"/>
          <w:b w:val="1"/>
          <w:bCs w:val="1"/>
          <w:color w:val="auto"/>
        </w:rPr>
        <w:t>Waivers and Amendments</w:t>
      </w:r>
      <w:r>
        <w:rPr>
          <w:rFonts w:ascii="Times New Roman" w:cs="Times New Roman" w:eastAsia="Times New Roman" w:hAnsi="Times New Roman"/>
          <w:sz w:val="18"/>
          <w:szCs w:val="18"/>
          <w:color w:val="auto"/>
        </w:rPr>
        <w:t>. The failure of any Party to assert a right hereunder or to insist upon compliance with any term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of this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other than by a written document signed by authorized representatives of each Party.</w:t>
      </w:r>
    </w:p>
    <w:p>
      <w:pPr>
        <w:spacing w:after="0" w:line="85" w:lineRule="exact"/>
        <w:rPr>
          <w:sz w:val="20"/>
          <w:szCs w:val="20"/>
          <w:color w:val="auto"/>
        </w:rPr>
      </w:pPr>
    </w:p>
    <w:p>
      <w:pPr>
        <w:ind w:left="420" w:hanging="647"/>
        <w:spacing w:after="0" w:line="259"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18.7</w:t>
      </w:r>
      <w:r>
        <w:rPr>
          <w:sz w:val="20"/>
          <w:szCs w:val="20"/>
          <w:color w:val="auto"/>
        </w:rPr>
        <w:tab/>
      </w:r>
      <w:r>
        <w:rPr>
          <w:rFonts w:ascii="Times New Roman" w:cs="Times New Roman" w:eastAsia="Times New Roman" w:hAnsi="Times New Roman"/>
          <w:sz w:val="18"/>
          <w:szCs w:val="18"/>
          <w:b w:val="1"/>
          <w:bCs w:val="1"/>
          <w:color w:val="auto"/>
        </w:rPr>
        <w:t>Relationship of the Parties</w:t>
      </w:r>
      <w:r>
        <w:rPr>
          <w:rFonts w:ascii="Times New Roman" w:cs="Times New Roman" w:eastAsia="Times New Roman" w:hAnsi="Times New Roman"/>
          <w:sz w:val="18"/>
          <w:szCs w:val="18"/>
          <w:color w:val="auto"/>
        </w:rPr>
        <w:t>. Nothing contained in this Agreement shall be deemed to constitute a partnership, joint venture, or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of any type between Pfizer and Licensee, or to constitute one Party as the agent of the other. Moreover, each Party agrees not to construe this Agreement, or any of the transactions contemplated hereby, as a partnership, joint venture, employment, franchise, agency or fiduciary or similar relationship for any tax purposes. Each Party shall act solely as an independent contractor, and nothing in this Agreement shall be construed to give any Party the power or authority to act for, bind, or commit the other Party.</w:t>
      </w:r>
    </w:p>
    <w:p>
      <w:pPr>
        <w:spacing w:after="0" w:line="85" w:lineRule="exact"/>
        <w:rPr>
          <w:sz w:val="20"/>
          <w:szCs w:val="20"/>
          <w:color w:val="auto"/>
        </w:rPr>
      </w:pPr>
    </w:p>
    <w:p>
      <w:pPr>
        <w:ind w:left="420" w:right="280" w:hanging="647"/>
        <w:spacing w:after="0" w:line="286"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18.8</w:t>
      </w:r>
      <w:r>
        <w:rPr>
          <w:sz w:val="20"/>
          <w:szCs w:val="20"/>
          <w:color w:val="auto"/>
        </w:rPr>
        <w:tab/>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hereto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permitted assigns.</w:t>
      </w:r>
    </w:p>
    <w:p>
      <w:pPr>
        <w:spacing w:after="0" w:line="60" w:lineRule="exact"/>
        <w:rPr>
          <w:sz w:val="20"/>
          <w:szCs w:val="20"/>
          <w:color w:val="auto"/>
        </w:rPr>
      </w:pPr>
    </w:p>
    <w:p>
      <w:pPr>
        <w:ind w:left="420" w:right="160" w:hanging="647"/>
        <w:spacing w:after="0" w:line="278"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18.9</w:t>
      </w:r>
      <w:r>
        <w:rPr>
          <w:sz w:val="20"/>
          <w:szCs w:val="20"/>
          <w:color w:val="auto"/>
        </w:rPr>
        <w:tab/>
      </w: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All notices, consents, waivers, and other communications required or permitted to be given hereunder shall in all cases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delivered by email (with receipt of such email acknowledged by a non-automated response by the applicable recipient within two</w:t>
      </w:r>
    </w:p>
    <w:p>
      <w:pPr>
        <w:spacing w:after="0" w:line="1" w:lineRule="exact"/>
        <w:rPr>
          <w:sz w:val="20"/>
          <w:szCs w:val="20"/>
          <w:color w:val="auto"/>
        </w:rPr>
      </w:pPr>
    </w:p>
    <w:p>
      <w:pPr>
        <w:ind w:left="420" w:right="120" w:hanging="7"/>
        <w:spacing w:after="0" w:line="252" w:lineRule="auto"/>
        <w:tabs>
          <w:tab w:leader="none" w:pos="67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of receipt, or, in the event that receipt is not so acknowledged by the applicable recipient, with delivery by an internationally recognized courier service of a confirmatory hardcopy without undue delay) and shall be deemed given when sent,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there is no “bounce back” message and (b) such email is sent on a Business Day prior to 6:00 pm local time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 and on the next Business Day if sent at any other time, but may, as a second method of delivery, also be delivered (i) by personal delivery or (ii) by an internationally recognized overnight courier service, to the applicable address set forth below, unless another address has been previously specified in writing by such Party in the manner set forth above.</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to Pfizer: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Pfizer Inc.</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9980"/>
          </w:cols>
          <w:pgMar w:left="1440" w:top="265" w:right="479" w:bottom="1440" w:gutter="0" w:footer="0" w:header="0"/>
        </w:sectPr>
      </w:pPr>
    </w:p>
    <w:bookmarkStart w:id="569" w:name="page570"/>
    <w:bookmarkEnd w:id="569"/>
    <w:p>
      <w:pPr>
        <w:ind w:left="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Licensee: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Priovant,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Roivant: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Roivant Sciences Ltd.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660" w:right="10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18.10</w:t>
        <w:tab/>
        <w:t>Further Assurances</w:t>
      </w:r>
      <w:r>
        <w:rPr>
          <w:rFonts w:ascii="Times New Roman" w:cs="Times New Roman" w:eastAsia="Times New Roman" w:hAnsi="Times New Roman"/>
          <w:sz w:val="18"/>
          <w:szCs w:val="18"/>
          <w:color w:val="auto"/>
        </w:rPr>
        <w:t>. Licensee and Pfizer hereby covenant and agree without the necessity of any further consideration, to execute,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and deliver any and all such other documents and take any such other action as may be reasonably necessary or appropriate to carry out the intent and purposes of this Agreement.</w:t>
      </w:r>
    </w:p>
    <w:p>
      <w:pPr>
        <w:spacing w:after="0" w:line="76" w:lineRule="exact"/>
        <w:rPr>
          <w:sz w:val="20"/>
          <w:szCs w:val="20"/>
          <w:color w:val="auto"/>
        </w:rPr>
      </w:pPr>
    </w:p>
    <w:p>
      <w:pPr>
        <w:ind w:left="660" w:right="20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18.11</w:t>
        <w:tab/>
        <w:t>No Third Party Beneficiary Rights</w:t>
      </w:r>
      <w:r>
        <w:rPr>
          <w:rFonts w:ascii="Times New Roman" w:cs="Times New Roman" w:eastAsia="Times New Roman" w:hAnsi="Times New Roman"/>
          <w:sz w:val="18"/>
          <w:szCs w:val="18"/>
          <w:color w:val="auto"/>
        </w:rPr>
        <w:t>. This Agreement is not intended to and shall not be construed to give any Third Party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 or rights (including any third party beneficiary rights) with respect to or in connection with any agreement or provision contained herein or contemplated hereby, except for (a) the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which shall be for the benefit of the Licensee Indemnitees and the Pfizer Indemnitees, (b) the provisions of </w:t>
      </w:r>
      <w:r>
        <w:rPr>
          <w:rFonts w:ascii="Times New Roman" w:cs="Times New Roman" w:eastAsia="Times New Roman" w:hAnsi="Times New Roman"/>
          <w:sz w:val="18"/>
          <w:szCs w:val="18"/>
          <w:u w:val="single" w:color="auto"/>
          <w:color w:val="auto"/>
        </w:rPr>
        <w:t>Section 18.1</w:t>
      </w:r>
      <w:r>
        <w:rPr>
          <w:rFonts w:ascii="Times New Roman" w:cs="Times New Roman" w:eastAsia="Times New Roman" w:hAnsi="Times New Roman"/>
          <w:sz w:val="18"/>
          <w:szCs w:val="18"/>
          <w:color w:val="auto"/>
        </w:rPr>
        <w:t xml:space="preserve">, which shall be for the benefit of the Persons contemplated thereby, and (c) this </w:t>
      </w:r>
      <w:r>
        <w:rPr>
          <w:rFonts w:ascii="Times New Roman" w:cs="Times New Roman" w:eastAsia="Times New Roman" w:hAnsi="Times New Roman"/>
          <w:sz w:val="18"/>
          <w:szCs w:val="18"/>
          <w:u w:val="single" w:color="auto"/>
          <w:color w:val="auto"/>
        </w:rPr>
        <w:t>Section 18.11</w:t>
      </w:r>
      <w:r>
        <w:rPr>
          <w:rFonts w:ascii="Times New Roman" w:cs="Times New Roman" w:eastAsia="Times New Roman" w:hAnsi="Times New Roman"/>
          <w:sz w:val="18"/>
          <w:szCs w:val="18"/>
          <w:color w:val="auto"/>
        </w:rPr>
        <w:t xml:space="preserve"> in respect of the sections set forth under the foregoing clauses (a) and (b).</w:t>
      </w:r>
    </w:p>
    <w:p>
      <w:pPr>
        <w:spacing w:after="0" w:line="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18.12</w:t>
      </w:r>
      <w:r>
        <w:rPr>
          <w:sz w:val="20"/>
          <w:szCs w:val="20"/>
          <w:color w:val="auto"/>
        </w:rPr>
        <w:tab/>
      </w:r>
      <w:r>
        <w:rPr>
          <w:rFonts w:ascii="Times New Roman" w:cs="Times New Roman" w:eastAsia="Times New Roman" w:hAnsi="Times New Roman"/>
          <w:sz w:val="17"/>
          <w:szCs w:val="17"/>
          <w:b w:val="1"/>
          <w:bCs w:val="1"/>
          <w:color w:val="auto"/>
        </w:rPr>
        <w:t>Entire Agreement; Confidentiality Agreement.</w:t>
      </w:r>
    </w:p>
    <w:p>
      <w:pPr>
        <w:spacing w:after="0" w:line="131" w:lineRule="exact"/>
        <w:rPr>
          <w:sz w:val="20"/>
          <w:szCs w:val="20"/>
          <w:color w:val="auto"/>
        </w:rPr>
      </w:pPr>
    </w:p>
    <w:p>
      <w:pPr>
        <w:ind w:left="1440" w:right="20" w:hanging="768"/>
        <w:spacing w:after="0" w:line="258"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18.12.1</w:t>
      </w:r>
      <w:r>
        <w:rPr>
          <w:sz w:val="20"/>
          <w:szCs w:val="20"/>
          <w:color w:val="auto"/>
        </w:rPr>
        <w:tab/>
      </w:r>
      <w:r>
        <w:rPr>
          <w:rFonts w:ascii="Times New Roman" w:cs="Times New Roman" w:eastAsia="Times New Roman" w:hAnsi="Times New Roman"/>
          <w:sz w:val="18"/>
          <w:szCs w:val="18"/>
          <w:color w:val="auto"/>
        </w:rPr>
        <w:t>This Agreement, together with its Schedules, sets forth the entire agreement and understanding of the Parties as to the subject matter hereof and supersedes all proposals, oral or written, and all other prior communications between the Parties with respect to such subject matter, including the CDA. The Parties acknowledge and agree that, as of the Effective Date, all Confidential Information (as defined in the CDA) disclosed by Pfizer or its Affiliates pursuant to the CDA shall be considered Pfizer’s Confidential Information and subject to the terms set forth in this Agreement.</w:t>
      </w:r>
    </w:p>
    <w:p>
      <w:pPr>
        <w:spacing w:after="0" w:line="89" w:lineRule="exact"/>
        <w:rPr>
          <w:sz w:val="20"/>
          <w:szCs w:val="20"/>
          <w:color w:val="auto"/>
        </w:rPr>
      </w:pPr>
    </w:p>
    <w:p>
      <w:pPr>
        <w:ind w:left="1440" w:right="40" w:hanging="768"/>
        <w:spacing w:after="0" w:line="28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18.12.2</w:t>
      </w:r>
      <w:r>
        <w:rPr>
          <w:sz w:val="20"/>
          <w:szCs w:val="20"/>
          <w:color w:val="auto"/>
        </w:rPr>
        <w:tab/>
      </w:r>
      <w:r>
        <w:rPr>
          <w:rFonts w:ascii="Times New Roman" w:cs="Times New Roman" w:eastAsia="Times New Roman" w:hAnsi="Times New Roman"/>
          <w:sz w:val="18"/>
          <w:szCs w:val="18"/>
          <w:color w:val="auto"/>
        </w:rPr>
        <w:t>In the event of any conflict between a material provision of this Agreement and any Schedule hereto, the Agreement shall control.</w:t>
      </w:r>
    </w:p>
    <w:p>
      <w:pPr>
        <w:spacing w:after="0" w:line="67" w:lineRule="exact"/>
        <w:rPr>
          <w:sz w:val="20"/>
          <w:szCs w:val="20"/>
          <w:color w:val="auto"/>
        </w:rPr>
      </w:pPr>
    </w:p>
    <w:p>
      <w:pPr>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18.13</w:t>
        <w:tab/>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shall constitute one and the same instrument. The Parties agree that execution of this Agreement by industry standard electronic signature software or by exchanging executed signature pages in .pdf format via e-mail shall have the same legal force and effect as the exchange of original signatures, and that in any proceeding arising under or related to this Agreement, each Party hereby waives any right to raise any defense or waiver based upon execution of this Agreement by means of such electronic signatures or maintenance of the executed agreement electronically.</w:t>
      </w:r>
    </w:p>
    <w:p>
      <w:pPr>
        <w:spacing w:after="0" w:line="1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240"/>
          </w:cols>
          <w:pgMar w:left="1200" w:top="269" w:right="459" w:bottom="1440" w:gutter="0" w:footer="0" w:header="0"/>
        </w:sectPr>
      </w:pPr>
    </w:p>
    <w:bookmarkStart w:id="570" w:name="page571"/>
    <w:bookmarkEnd w:id="570"/>
    <w:p>
      <w:pPr>
        <w:ind w:left="660" w:right="28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18.14</w:t>
        <w:tab/>
        <w:t>Cumulative Remedies</w:t>
      </w:r>
      <w:r>
        <w:rPr>
          <w:rFonts w:ascii="Times New Roman" w:cs="Times New Roman" w:eastAsia="Times New Roman" w:hAnsi="Times New Roman"/>
          <w:sz w:val="18"/>
          <w:szCs w:val="18"/>
          <w:color w:val="auto"/>
        </w:rPr>
        <w:t>. No remedy referred to in this Agreement is intended to be exclusive, but each shall be cumulative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any other remedy referred to in this Agreement or otherwise available under law.</w:t>
      </w:r>
    </w:p>
    <w:p>
      <w:pPr>
        <w:spacing w:after="0" w:line="60" w:lineRule="exact"/>
        <w:rPr>
          <w:sz w:val="20"/>
          <w:szCs w:val="20"/>
          <w:color w:val="auto"/>
        </w:rPr>
      </w:pPr>
    </w:p>
    <w:p>
      <w:pPr>
        <w:ind w:left="660" w:right="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18.15</w:t>
        <w:tab/>
        <w:t>Performance by Affiliates</w:t>
      </w:r>
      <w:r>
        <w:rPr>
          <w:rFonts w:ascii="Times New Roman" w:cs="Times New Roman" w:eastAsia="Times New Roman" w:hAnsi="Times New Roman"/>
          <w:sz w:val="18"/>
          <w:szCs w:val="18"/>
          <w:color w:val="auto"/>
        </w:rPr>
        <w:t>. Any obligation of either Party under or pursuant to this Agreement may be satisfied, met or fulfilled,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whole or in part, at such Party’s sole and exclusive option, by any Affiliate of such Party that it causes to satisfy, meet or fulfill such obligation,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Party shall remain liable hereunder for the performance by its Affiliates of any such obligations.</w:t>
      </w:r>
    </w:p>
    <w:p>
      <w:pPr>
        <w:spacing w:after="0" w:line="82" w:lineRule="exact"/>
        <w:rPr>
          <w:sz w:val="20"/>
          <w:szCs w:val="20"/>
          <w:color w:val="auto"/>
        </w:rPr>
      </w:pPr>
    </w:p>
    <w:p>
      <w:pPr>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18.16</w:t>
        <w:tab/>
        <w:t>Waiver of Rule of Construction</w:t>
      </w:r>
      <w:r>
        <w:rPr>
          <w:rFonts w:ascii="Times New Roman" w:cs="Times New Roman" w:eastAsia="Times New Roman" w:hAnsi="Times New Roman"/>
          <w:sz w:val="18"/>
          <w:szCs w:val="18"/>
          <w:color w:val="auto"/>
        </w:rPr>
        <w:t>. Each Party has had the opportunity to consult with counsel in connection with the review, drafting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negotiation of this Agreement. Accordingly, any rule of construction that any ambiguity in this Agreement shall be construed against the drafting Party shall not apply.</w:t>
      </w:r>
    </w:p>
    <w:p>
      <w:pPr>
        <w:spacing w:after="0" w:line="38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[Signature pages to follow]</w:t>
      </w:r>
    </w:p>
    <w:p>
      <w:pPr>
        <w:spacing w:after="0" w:line="16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220"/>
          </w:cols>
          <w:pgMar w:left="1200" w:top="265" w:right="479" w:bottom="1440" w:gutter="0" w:footer="0" w:header="0"/>
        </w:sectPr>
      </w:pPr>
    </w:p>
    <w:bookmarkStart w:id="571" w:name="page572"/>
    <w:bookmarkEnd w:id="57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intending to be bound have caused this Agreement to be executed by their duly authorized representatives as of the Effective Date.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PFIZER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Young</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Business Officer</w:t>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License and Collaboration Agreement</w:t>
      </w:r>
      <w:r>
        <w:rPr>
          <w:rFonts w:ascii="Times New Roman" w:cs="Times New Roman" w:eastAsia="Times New Roman" w:hAnsi="Times New Roman"/>
          <w:sz w:val="18"/>
          <w:szCs w:val="18"/>
          <w:color w:val="auto"/>
        </w:rPr>
        <w:t>]</w:t>
      </w:r>
    </w:p>
    <w:p>
      <w:pPr>
        <w:sectPr>
          <w:pgSz w:w="11900" w:h="16838" w:orient="portrait"/>
          <w:cols w:equalWidth="0" w:num="1">
            <w:col w:w="10860"/>
          </w:cols>
          <w:pgMar w:left="440" w:top="269" w:right="599" w:bottom="1440" w:gutter="0" w:footer="0" w:header="0"/>
        </w:sectPr>
      </w:pPr>
    </w:p>
    <w:bookmarkStart w:id="572" w:name="page573"/>
    <w:bookmarkEnd w:id="57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intending to be bound have caused this Agreement to be executed by their duly authorized representatives as of the Effective Date.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PRIOVANT,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Zimmer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9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Benjamin Zimmer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And solely with respect to Section 11.4:</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Maisak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 Maisak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Operating Officer, Roivant Platforms</w:t>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License and Collaboration Agreement</w:t>
      </w:r>
      <w:r>
        <w:rPr>
          <w:rFonts w:ascii="Times New Roman" w:cs="Times New Roman" w:eastAsia="Times New Roman" w:hAnsi="Times New Roman"/>
          <w:sz w:val="18"/>
          <w:szCs w:val="18"/>
          <w:color w:val="auto"/>
        </w:rPr>
        <w:t>]</w:t>
      </w:r>
    </w:p>
    <w:p>
      <w:pPr>
        <w:sectPr>
          <w:pgSz w:w="11900" w:h="16838" w:orient="portrait"/>
          <w:cols w:equalWidth="0" w:num="1">
            <w:col w:w="10860"/>
          </w:cols>
          <w:pgMar w:left="440" w:top="269" w:right="599" w:bottom="1440" w:gutter="0" w:footer="0" w:header="0"/>
        </w:sectPr>
      </w:pPr>
    </w:p>
    <w:bookmarkStart w:id="573" w:name="page574"/>
    <w:bookmarkEnd w:id="573"/>
    <w:p>
      <w:pPr>
        <w:ind w:left="10004"/>
        <w:spacing w:after="0"/>
        <w:rPr>
          <w:sz w:val="20"/>
          <w:szCs w:val="20"/>
          <w:color w:val="auto"/>
        </w:rPr>
      </w:pPr>
      <w:r>
        <w:rPr>
          <w:rFonts w:ascii="Times New Roman" w:cs="Times New Roman" w:eastAsia="Times New Roman" w:hAnsi="Times New Roman"/>
          <w:sz w:val="17"/>
          <w:szCs w:val="17"/>
          <w:b w:val="1"/>
          <w:bCs w:val="1"/>
          <w:color w:val="auto"/>
        </w:rPr>
        <w:t>Exhibit 10.38</w:t>
      </w:r>
    </w:p>
    <w:p>
      <w:pPr>
        <w:spacing w:after="0" w:line="237" w:lineRule="exact"/>
        <w:rPr>
          <w:sz w:val="20"/>
          <w:szCs w:val="20"/>
          <w:color w:val="auto"/>
        </w:rPr>
      </w:pPr>
    </w:p>
    <w:p>
      <w:pPr>
        <w:jc w:val="center"/>
        <w:ind w:right="16"/>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FIRST AMENDMENT TO LICENSE AND COLLABORATION AGREEMENT</w:t>
      </w:r>
    </w:p>
    <w:p>
      <w:pPr>
        <w:spacing w:after="0" w:line="225" w:lineRule="exact"/>
        <w:rPr>
          <w:sz w:val="20"/>
          <w:szCs w:val="20"/>
          <w:color w:val="auto"/>
        </w:rPr>
      </w:pPr>
    </w:p>
    <w:p>
      <w:pPr>
        <w:ind w:left="4" w:right="60" w:firstLine="991"/>
        <w:spacing w:after="0" w:line="257" w:lineRule="auto"/>
        <w:rPr>
          <w:sz w:val="20"/>
          <w:szCs w:val="20"/>
          <w:color w:val="auto"/>
        </w:rPr>
      </w:pPr>
      <w:r>
        <w:rPr>
          <w:rFonts w:ascii="Times New Roman" w:cs="Times New Roman" w:eastAsia="Times New Roman" w:hAnsi="Times New Roman"/>
          <w:sz w:val="18"/>
          <w:szCs w:val="18"/>
          <w:color w:val="auto"/>
        </w:rPr>
        <w:t>THIS FIRST AMENDMENT TO LICENSE AND COLLABORATION AGREEMENT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is dated as of the 10th day of June, 2022 (the “</w:t>
      </w:r>
      <w:r>
        <w:rPr>
          <w:rFonts w:ascii="Times New Roman" w:cs="Times New Roman" w:eastAsia="Times New Roman" w:hAnsi="Times New Roman"/>
          <w:sz w:val="18"/>
          <w:szCs w:val="18"/>
          <w:b w:val="1"/>
          <w:bCs w:val="1"/>
          <w:color w:val="auto"/>
        </w:rPr>
        <w:t>First Amendment Effective Date</w:t>
      </w:r>
      <w:r>
        <w:rPr>
          <w:rFonts w:ascii="Times New Roman" w:cs="Times New Roman" w:eastAsia="Times New Roman" w:hAnsi="Times New Roman"/>
          <w:sz w:val="18"/>
          <w:szCs w:val="18"/>
          <w:color w:val="auto"/>
        </w:rPr>
        <w:t>”), by and between Pfizer Inc., a corporation organized and existing under the laws of Delaware with offices at [***] (“</w:t>
      </w:r>
      <w:r>
        <w:rPr>
          <w:rFonts w:ascii="Times New Roman" w:cs="Times New Roman" w:eastAsia="Times New Roman" w:hAnsi="Times New Roman"/>
          <w:sz w:val="18"/>
          <w:szCs w:val="18"/>
          <w:b w:val="1"/>
          <w:bCs w:val="1"/>
          <w:color w:val="auto"/>
        </w:rPr>
        <w:t>Pfizer</w:t>
      </w:r>
      <w:r>
        <w:rPr>
          <w:rFonts w:ascii="Times New Roman" w:cs="Times New Roman" w:eastAsia="Times New Roman" w:hAnsi="Times New Roman"/>
          <w:sz w:val="18"/>
          <w:szCs w:val="18"/>
          <w:color w:val="auto"/>
        </w:rPr>
        <w:t>”), and Priovant Therapeutics, Inc., formerly known as Priovant, Inc., a corporation organized and existing under the laws of Delaware with offices at [***]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Licensee and Pfizer may be individually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such terms in the Original Agreement (as defined below).</w:t>
      </w:r>
    </w:p>
    <w:p>
      <w:pPr>
        <w:spacing w:after="0" w:line="182" w:lineRule="exact"/>
        <w:rPr>
          <w:sz w:val="20"/>
          <w:szCs w:val="20"/>
          <w:color w:val="auto"/>
        </w:rPr>
      </w:pPr>
    </w:p>
    <w:p>
      <w:pPr>
        <w:ind w:left="4" w:right="280" w:firstLine="991"/>
        <w:spacing w:after="0" w:line="286" w:lineRule="auto"/>
        <w:rPr>
          <w:sz w:val="20"/>
          <w:szCs w:val="20"/>
          <w:color w:val="auto"/>
        </w:rPr>
      </w:pPr>
      <w:r>
        <w:rPr>
          <w:rFonts w:ascii="Times New Roman" w:cs="Times New Roman" w:eastAsia="Times New Roman" w:hAnsi="Times New Roman"/>
          <w:sz w:val="18"/>
          <w:szCs w:val="18"/>
          <w:color w:val="auto"/>
        </w:rPr>
        <w:t>WHEREAS, the Parties entered into a License and Collaboration Agreement dated September 13, 2021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as amended by this First Amendment,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w:t>
      </w:r>
    </w:p>
    <w:p>
      <w:pPr>
        <w:spacing w:after="0" w:line="15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WHEREAS, the Parties have agreed to amend the[***] to [***]; and</w:t>
      </w:r>
    </w:p>
    <w:p>
      <w:pPr>
        <w:spacing w:after="0" w:line="225"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desire to amend certain portions of Section 5.9.2 of the Original Agreement relating to the [***], and certain related definitional provisions, in light of the planned amendment to the [***];</w:t>
      </w:r>
    </w:p>
    <w:p>
      <w:pPr>
        <w:spacing w:after="0" w:line="162"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in this First Amendment, and for other good and valuable consideration, the receipt and sufficiency of which are hereby acknowledged, the Parties, intending to be legally bound, hereby agree as follows:</w:t>
      </w:r>
    </w:p>
    <w:p>
      <w:pPr>
        <w:spacing w:after="0" w:line="81" w:lineRule="exact"/>
        <w:rPr>
          <w:sz w:val="20"/>
          <w:szCs w:val="20"/>
          <w:color w:val="auto"/>
        </w:rPr>
      </w:pPr>
    </w:p>
    <w:p>
      <w:pPr>
        <w:ind w:left="424" w:right="260" w:hanging="424"/>
        <w:spacing w:after="0" w:line="282" w:lineRule="auto"/>
        <w:tabs>
          <w:tab w:leader="none" w:pos="424"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the first paragraph of Section 5.9.2 of the Original Agreement is hereby amended by deleting the text beginning with “(a)” and ending before “(b)” and inserting in lieu thereof the following:</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right="80" w:hanging="424"/>
        <w:spacing w:after="0" w:line="312" w:lineRule="auto"/>
        <w:tabs>
          <w:tab w:leader="none" w:pos="424" w:val="left"/>
        </w:tabs>
        <w:numPr>
          <w:ilvl w:val="0"/>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Original Agreement is hereby further amended by deleting Section 5.9.2(b) in its entirety. In addition, Section 1.76, Section 1.153 and Section 1.154 of the Original Agreement are each hereby deleted in their entirety and replaced with the following text: “Intentionally Left Blank.”</w:t>
      </w:r>
    </w:p>
    <w:p>
      <w:pPr>
        <w:spacing w:after="0" w:line="45" w:lineRule="exact"/>
        <w:rPr>
          <w:rFonts w:ascii="Times New Roman" w:cs="Times New Roman" w:eastAsia="Times New Roman" w:hAnsi="Times New Roman"/>
          <w:sz w:val="17"/>
          <w:szCs w:val="17"/>
          <w:color w:val="auto"/>
        </w:rPr>
      </w:pPr>
    </w:p>
    <w:p>
      <w:pPr>
        <w:ind w:left="424" w:right="200" w:hanging="424"/>
        <w:spacing w:after="0" w:line="282" w:lineRule="auto"/>
        <w:tabs>
          <w:tab w:leader="none" w:pos="424"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First Amendment, all terms and conditions of the Original Agreement are hereby ratified and shall remain in full force and effect. Amendments made pursuant to this First Amendment shall be effective as of the First Amendment Effective Date.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574" w:name="page575"/>
    <w:bookmarkEnd w:id="574"/>
    <w:p>
      <w:pPr>
        <w:ind w:left="424" w:hanging="424"/>
        <w:spacing w:after="0" w:line="282" w:lineRule="auto"/>
        <w:tabs>
          <w:tab w:leader="none" w:pos="42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conflict between a provision of the Original Agreement and a provision of this First Amendment, the provisions of this First Amendment will control to the extent of such conflict.</w:t>
      </w:r>
    </w:p>
    <w:p>
      <w:pPr>
        <w:spacing w:after="0" w:line="67"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First Amendment may be executed in counterparts (including by facsimile or other electronic transmission), all of which together shall constitute an agreement binding on the Parties.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IN WITNESS WHEREOF, the Parties have duly executed this First Amendment as of the First Amendment Effective Date.</w:t>
      </w: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PFIZER INC.</w:t>
      </w:r>
    </w:p>
    <w:p>
      <w:pPr>
        <w:spacing w:after="0" w:line="229"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Vincent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Michael Vincent</w:t>
      </w:r>
    </w:p>
    <w:p>
      <w:pPr>
        <w:spacing w:after="0" w:line="27"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SVP &amp; CSO - I&amp;I</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PRIOVANT THERAPEUTICS, INC.</w:t>
      </w:r>
    </w:p>
    <w:p>
      <w:pPr>
        <w:spacing w:after="0" w:line="229"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Zimmer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Benjamin Zimmer</w:t>
      </w:r>
    </w:p>
    <w:p>
      <w:pPr>
        <w:spacing w:after="0" w:line="27"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CEO</w:t>
      </w:r>
    </w:p>
    <w:p>
      <w:pPr>
        <w:spacing w:after="0" w:line="139"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4"/>
          </w:cols>
          <w:pgMar w:left="436" w:top="269" w:right="899" w:bottom="1440" w:gutter="0" w:footer="0" w:header="0"/>
        </w:sectPr>
      </w:pPr>
    </w:p>
    <w:bookmarkStart w:id="575" w:name="page576"/>
    <w:bookmarkEnd w:id="57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List of Subsidiaries of Roivant Sciences Ltd.</w:t>
      </w:r>
    </w:p>
    <w:p>
      <w:pPr>
        <w:spacing w:after="0" w:line="229" w:lineRule="exact"/>
        <w:rPr>
          <w:sz w:val="20"/>
          <w:szCs w:val="20"/>
          <w:color w:val="auto"/>
        </w:rPr>
      </w:pPr>
    </w:p>
    <w:p>
      <w:pPr>
        <w:ind w:left="4" w:right="660" w:hanging="4"/>
        <w:spacing w:after="0" w:line="282" w:lineRule="auto"/>
        <w:tabs>
          <w:tab w:leader="none" w:pos="139"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certain other subsidiaries of Roivant Sciences Ltd. are omitted because, considered in the aggregate, they would not constitute a “significant subsidiary.”</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380" w:type="dxa"/>
            <w:vAlign w:val="bottom"/>
            <w:gridSpan w:val="2"/>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Jurisdiction of Incorporation or</w:t>
            </w:r>
          </w:p>
        </w:tc>
        <w:tc>
          <w:tcPr>
            <w:tcW w:w="0" w:type="dxa"/>
            <w:vAlign w:val="bottom"/>
          </w:tcPr>
          <w:p>
            <w:pPr>
              <w:spacing w:after="0"/>
              <w:rPr>
                <w:sz w:val="1"/>
                <w:szCs w:val="1"/>
                <w:color w:val="auto"/>
              </w:rPr>
            </w:pPr>
          </w:p>
        </w:tc>
      </w:tr>
      <w:tr>
        <w:trPr>
          <w:trHeight w:val="173"/>
        </w:trPr>
        <w:tc>
          <w:tcPr>
            <w:tcW w:w="5980" w:type="dxa"/>
            <w:vAlign w:val="bottom"/>
            <w:gridSpan w:val="2"/>
            <w:vMerge w:val="continue"/>
          </w:tcPr>
          <w:p>
            <w:pPr>
              <w:spacing w:after="0"/>
              <w:rPr>
                <w:sz w:val="15"/>
                <w:szCs w:val="15"/>
                <w:color w:val="auto"/>
              </w:rPr>
            </w:pPr>
          </w:p>
        </w:tc>
        <w:tc>
          <w:tcPr>
            <w:tcW w:w="14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0" w:type="dxa"/>
            <w:vAlign w:val="bottom"/>
          </w:tcPr>
          <w:p>
            <w:pPr>
              <w:spacing w:after="0"/>
              <w:rPr>
                <w:sz w:val="1"/>
                <w:szCs w:val="1"/>
                <w:color w:val="auto"/>
              </w:rPr>
            </w:pPr>
          </w:p>
        </w:tc>
      </w:tr>
      <w:tr>
        <w:trPr>
          <w:trHeight w:val="191"/>
        </w:trPr>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5"/>
              </w:rPr>
              <w:t>Affivant</w:t>
            </w:r>
          </w:p>
        </w:tc>
        <w:tc>
          <w:tcPr>
            <w:tcW w:w="53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Sciences GmbH</w:t>
            </w:r>
          </w:p>
        </w:tc>
        <w:tc>
          <w:tcPr>
            <w:tcW w:w="1420" w:type="dxa"/>
            <w:vAlign w:val="bottom"/>
          </w:tcPr>
          <w:p>
            <w:pPr>
              <w:spacing w:after="0"/>
              <w:rPr>
                <w:sz w:val="16"/>
                <w:szCs w:val="16"/>
                <w:color w:val="auto"/>
              </w:rPr>
            </w:pPr>
          </w:p>
        </w:tc>
        <w:tc>
          <w:tcPr>
            <w:tcW w:w="1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Switzerland</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Affivant Sciences Ltd.</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Affivant Sciences,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Alyvant GmbH</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Alyvant Holdings,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Alyvant Ltd.</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Alyvant,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Aruvant Sciences GmbH</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Aruvant Sciences Ltd.</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Aruvant Sciences,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Dermavant Sciences GmbH</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Dermavant Sciences Ltd.</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Dermavant Sciences,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DSL Treasury Holdings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DSL Treasury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Genevant Sciences BioVentures GmbH</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Genevant Sciences Corporation</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Genevant Sciences GmbH</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Genevant Sciences Ltd.</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Genevant Sciences,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Hemavant Sciences Ltd.</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Hemavant Sciences GmbH</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Hemavant Sciences,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 Sciences GmbH</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 Sciences Ltd.</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IMVT Corporation</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Izana Bioscience Limited</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Kinevant Ltd.</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Kinevant Sciences GmbH</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Kinevant Sciences Ltd.</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Kinevant Sciences,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Lokavant Holdings,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Lokavant,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Oncopia Therapeutics, Inc. d/b/a/ Proteovant Therapeutics, Inc.</w:t>
            </w:r>
          </w:p>
        </w:tc>
        <w:tc>
          <w:tcPr>
            <w:tcW w:w="14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 Delaware</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Pharmavant 3 GmbH</w:t>
            </w:r>
          </w:p>
        </w:tc>
        <w:tc>
          <w:tcPr>
            <w:tcW w:w="14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0" w:type="dxa"/>
            <w:vAlign w:val="bottom"/>
          </w:tcPr>
          <w:p>
            <w:pPr>
              <w:spacing w:after="0"/>
              <w:rPr>
                <w:sz w:val="1"/>
                <w:szCs w:val="1"/>
                <w:color w:val="auto"/>
              </w:rPr>
            </w:pPr>
          </w:p>
        </w:tc>
      </w:tr>
    </w:tbl>
    <w:p>
      <w:pPr>
        <w:sectPr>
          <w:pgSz w:w="11900" w:h="16838" w:orient="portrait"/>
          <w:cols w:equalWidth="0" w:num="1">
            <w:col w:w="11024"/>
          </w:cols>
          <w:pgMar w:left="436" w:top="117" w:right="439" w:bottom="1440" w:gutter="0" w:footer="0" w:header="0"/>
        </w:sectPr>
      </w:pPr>
    </w:p>
    <w:bookmarkStart w:id="576" w:name="page577"/>
    <w:bookmarkEnd w:id="5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Priovant Holdings, Inc.</w:t>
            </w:r>
          </w:p>
        </w:tc>
        <w:tc>
          <w:tcPr>
            <w:tcW w:w="440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Priovant Therapeutics, Inc.</w:t>
            </w:r>
          </w:p>
        </w:tc>
        <w:tc>
          <w:tcPr>
            <w:tcW w:w="440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Proteovant Sciences, Inc.</w:t>
            </w:r>
          </w:p>
        </w:tc>
        <w:tc>
          <w:tcPr>
            <w:tcW w:w="440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Roivant Discovery, Inc.</w:t>
            </w:r>
          </w:p>
        </w:tc>
        <w:tc>
          <w:tcPr>
            <w:tcW w:w="440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Roivant Rhine Holdings, Inc.</w:t>
            </w:r>
          </w:p>
        </w:tc>
        <w:tc>
          <w:tcPr>
            <w:tcW w:w="440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Roivant Sciences GmbH</w:t>
            </w:r>
          </w:p>
        </w:tc>
        <w:tc>
          <w:tcPr>
            <w:tcW w:w="440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Roivant Sciences, Inc.</w:t>
            </w:r>
          </w:p>
        </w:tc>
        <w:tc>
          <w:tcPr>
            <w:tcW w:w="440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Roivant Treasury Holdings, Inc.</w:t>
            </w:r>
          </w:p>
        </w:tc>
        <w:tc>
          <w:tcPr>
            <w:tcW w:w="440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Roivant Treasury, Inc.</w:t>
            </w:r>
          </w:p>
        </w:tc>
        <w:tc>
          <w:tcPr>
            <w:tcW w:w="440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VantAI Holdings, Inc.</w:t>
            </w:r>
          </w:p>
        </w:tc>
        <w:tc>
          <w:tcPr>
            <w:tcW w:w="440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United States – Delaware</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VantAI, Inc.</w:t>
            </w:r>
          </w:p>
        </w:tc>
        <w:tc>
          <w:tcPr>
            <w:tcW w:w="440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United States – Delaware</w:t>
            </w:r>
          </w:p>
        </w:tc>
      </w:tr>
    </w:tbl>
    <w:p>
      <w:pPr>
        <w:sectPr>
          <w:pgSz w:w="11900" w:h="16838" w:orient="portrait"/>
          <w:cols w:equalWidth="0" w:num="1">
            <w:col w:w="10019"/>
          </w:cols>
          <w:pgMar w:left="440" w:top="269" w:right="1440" w:bottom="1440" w:gutter="0" w:footer="0" w:header="0"/>
        </w:sectPr>
      </w:pPr>
    </w:p>
    <w:bookmarkStart w:id="577" w:name="page578"/>
    <w:bookmarkEnd w:id="57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 of Roivant Sciences Ltd.:</w:t>
      </w:r>
    </w:p>
    <w:p>
      <w:pPr>
        <w:spacing w:after="0" w:line="131" w:lineRule="exact"/>
        <w:rPr>
          <w:sz w:val="20"/>
          <w:szCs w:val="20"/>
          <w:color w:val="auto"/>
        </w:rPr>
      </w:pPr>
    </w:p>
    <w:p>
      <w:pPr>
        <w:ind w:left="960" w:right="540" w:hanging="532"/>
        <w:spacing w:after="0" w:line="282" w:lineRule="auto"/>
        <w:tabs>
          <w:tab w:leader="none" w:pos="96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333-260173) pertaining to the Roivant Sciences Ltd. 2021 Equity Incentive Plan, the Roivant Sciences Ltd. Employee Stock Purchase Plan and the Roivant Sciences Ltd. Amended and Restated 2015 Equity Incentive Plan;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of our report dated June 28, 2022, with respect to the consolidated financial statements of Roivant Sciences Ltd. included in this Annual Report (Form 10-K) of Roivant Sciences Ltd. for the year ended March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2022</w:t>
      </w:r>
    </w:p>
    <w:p>
      <w:pPr>
        <w:sectPr>
          <w:pgSz w:w="11900" w:h="16838" w:orient="portrait"/>
          <w:cols w:equalWidth="0" w:num="1">
            <w:col w:w="11020"/>
          </w:cols>
          <w:pgMar w:left="440" w:top="117" w:right="439" w:bottom="1440" w:gutter="0" w:footer="0" w:header="0"/>
        </w:sectPr>
      </w:pPr>
    </w:p>
    <w:bookmarkStart w:id="578" w:name="page579"/>
    <w:bookmarkEnd w:id="5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Matthew Gline, certify that:</w:t>
      </w:r>
    </w:p>
    <w:p>
      <w:pPr>
        <w:spacing w:after="0" w:line="131" w:lineRule="exact"/>
        <w:rPr>
          <w:sz w:val="20"/>
          <w:szCs w:val="20"/>
          <w:color w:val="auto"/>
        </w:rPr>
      </w:pPr>
    </w:p>
    <w:p>
      <w:pPr>
        <w:ind w:left="424" w:hanging="424"/>
        <w:spacing w:after="0"/>
        <w:tabs>
          <w:tab w:leader="none" w:pos="42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Roivant Sciences Ltd.;</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June 28,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Matthew Gline</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4"/>
          </w:cols>
          <w:pgMar w:left="436" w:top="117" w:right="439" w:bottom="1440" w:gutter="0" w:footer="0" w:header="0"/>
        </w:sectPr>
      </w:pPr>
    </w:p>
    <w:bookmarkStart w:id="579" w:name="page580"/>
    <w:bookmarkEnd w:id="5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Richard Pulik, certify that:</w:t>
      </w:r>
    </w:p>
    <w:p>
      <w:pPr>
        <w:spacing w:after="0" w:line="131" w:lineRule="exact"/>
        <w:rPr>
          <w:sz w:val="20"/>
          <w:szCs w:val="20"/>
          <w:color w:val="auto"/>
        </w:rPr>
      </w:pPr>
    </w:p>
    <w:p>
      <w:pPr>
        <w:ind w:left="424" w:hanging="424"/>
        <w:spacing w:after="0"/>
        <w:tabs>
          <w:tab w:leader="none" w:pos="424"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Roivant Sciences Ltd.;</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June 28,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Richard Pulik</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024"/>
          </w:cols>
          <w:pgMar w:left="436" w:top="117" w:right="439" w:bottom="1440" w:gutter="0" w:footer="0" w:header="0"/>
        </w:sectPr>
      </w:pPr>
    </w:p>
    <w:bookmarkStart w:id="580" w:name="page581"/>
    <w:bookmarkEnd w:id="5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Matthew Gline, Principal Executive Officer of Roivant Sciences Ltd. (the “Company”), hereby certifies that, to the best of his knowledge:</w:t>
      </w:r>
    </w:p>
    <w:p>
      <w:pPr>
        <w:spacing w:after="0" w:line="81" w:lineRule="exact"/>
        <w:rPr>
          <w:sz w:val="20"/>
          <w:szCs w:val="20"/>
          <w:color w:val="auto"/>
        </w:rPr>
      </w:pPr>
    </w:p>
    <w:p>
      <w:pPr>
        <w:ind w:left="424" w:right="480" w:hanging="424"/>
        <w:spacing w:after="0" w:line="282" w:lineRule="auto"/>
        <w:tabs>
          <w:tab w:leader="none" w:pos="424"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year ended March 31, 2022, to which this Certification is attached as Exhibit 32.1 (the “Annual Report”), fully complies with the requirements of Section 13(a) or Section 15(d) of the Exchange Act; and</w:t>
      </w:r>
    </w:p>
    <w:p>
      <w:pPr>
        <w:spacing w:after="0" w:line="67" w:lineRule="exact"/>
        <w:rPr>
          <w:rFonts w:ascii="Times New Roman" w:cs="Times New Roman" w:eastAsia="Times New Roman" w:hAnsi="Times New Roman"/>
          <w:sz w:val="18"/>
          <w:szCs w:val="18"/>
          <w:b w:val="1"/>
          <w:bCs w:val="1"/>
          <w:color w:val="auto"/>
        </w:rPr>
      </w:pPr>
    </w:p>
    <w:p>
      <w:pPr>
        <w:ind w:left="424" w:right="360" w:hanging="424"/>
        <w:spacing w:after="0" w:line="282" w:lineRule="auto"/>
        <w:tabs>
          <w:tab w:leader="none" w:pos="424"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June 28,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Matthew Gline</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sectPr>
          <w:pgSz w:w="11900" w:h="16838" w:orient="portrait"/>
          <w:cols w:equalWidth="0" w:num="1">
            <w:col w:w="11024"/>
          </w:cols>
          <w:pgMar w:left="436" w:top="117" w:right="439" w:bottom="1440" w:gutter="0" w:footer="0" w:header="0"/>
        </w:sectPr>
      </w:pPr>
    </w:p>
    <w:bookmarkStart w:id="581" w:name="page582"/>
    <w:bookmarkEnd w:id="5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Richard Pulik, Principal Financial Officer of Roivant Sciences Ltd. (the “Company”), hereby certifies that, to the best of his knowledge:</w:t>
      </w:r>
    </w:p>
    <w:p>
      <w:pPr>
        <w:spacing w:after="0" w:line="81" w:lineRule="exact"/>
        <w:rPr>
          <w:sz w:val="20"/>
          <w:szCs w:val="20"/>
          <w:color w:val="auto"/>
        </w:rPr>
      </w:pPr>
    </w:p>
    <w:p>
      <w:pPr>
        <w:ind w:left="424" w:right="480" w:hanging="424"/>
        <w:spacing w:after="0" w:line="282" w:lineRule="auto"/>
        <w:tabs>
          <w:tab w:leader="none" w:pos="424"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March 31, 2022, to which this Certification is attached as Exhibit 32.2 (the “Annual Report”), fully complies with the requirements of Section 13(a) or Section 15(d) of the Exchange Act; and</w:t>
      </w:r>
    </w:p>
    <w:p>
      <w:pPr>
        <w:spacing w:after="0" w:line="67" w:lineRule="exact"/>
        <w:rPr>
          <w:rFonts w:ascii="Times New Roman" w:cs="Times New Roman" w:eastAsia="Times New Roman" w:hAnsi="Times New Roman"/>
          <w:sz w:val="18"/>
          <w:szCs w:val="18"/>
          <w:color w:val="auto"/>
        </w:rPr>
      </w:pPr>
    </w:p>
    <w:p>
      <w:pPr>
        <w:ind w:left="424" w:right="360" w:hanging="424"/>
        <w:spacing w:after="0" w:line="282" w:lineRule="auto"/>
        <w:tabs>
          <w:tab w:leader="none" w:pos="424"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June 28,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Richard Pulik</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636063"/>
    <w:multiLevelType w:val="hybridMultilevel"/>
    <w:lvl w:ilvl="0">
      <w:lvlJc w:val="left"/>
      <w:lvlText w:val="☒"/>
      <w:numFmt w:val="bullet"/>
      <w:start w:val="1"/>
    </w:lvl>
  </w:abstractNum>
  <w:abstractNum w:abstractNumId="1">
    <w:nsid w:val="215641AF"/>
    <w:multiLevelType w:val="hybridMultilevel"/>
    <w:lvl w:ilvl="0">
      <w:lvlJc w:val="left"/>
      <w:lvlText w:val="☐"/>
      <w:numFmt w:val="bullet"/>
      <w:start w:val="1"/>
    </w:lvl>
  </w:abstractNum>
  <w:abstractNum w:abstractNumId="2">
    <w:nsid w:val="53280662"/>
    <w:multiLevelType w:val="hybridMultilevel"/>
    <w:lvl w:ilvl="0">
      <w:lvlJc w:val="left"/>
      <w:lvlText w:val="•"/>
      <w:numFmt w:val="bullet"/>
      <w:start w:val="1"/>
    </w:lvl>
  </w:abstractNum>
  <w:abstractNum w:abstractNumId="3">
    <w:nsid w:val="46B24DBC"/>
    <w:multiLevelType w:val="hybridMultilevel"/>
    <w:lvl w:ilvl="0">
      <w:lvlJc w:val="left"/>
      <w:lvlText w:val="•"/>
      <w:numFmt w:val="bullet"/>
      <w:start w:val="1"/>
    </w:lvl>
  </w:abstractNum>
  <w:abstractNum w:abstractNumId="4">
    <w:nsid w:val="75B52783"/>
    <w:multiLevelType w:val="hybridMultilevel"/>
    <w:lvl w:ilvl="0">
      <w:lvlJc w:val="left"/>
      <w:lvlText w:val="•"/>
      <w:numFmt w:val="bullet"/>
      <w:start w:val="1"/>
    </w:lvl>
  </w:abstractNum>
  <w:abstractNum w:abstractNumId="5">
    <w:nsid w:val="57CE66B4"/>
    <w:multiLevelType w:val="hybridMultilevel"/>
    <w:lvl w:ilvl="0">
      <w:lvlJc w:val="left"/>
      <w:lvlText w:val="•"/>
      <w:numFmt w:val="bullet"/>
      <w:start w:val="1"/>
    </w:lvl>
  </w:abstractNum>
  <w:abstractNum w:abstractNumId="6">
    <w:nsid w:val="67A70B69"/>
    <w:multiLevelType w:val="hybridMultilevel"/>
    <w:lvl w:ilvl="0">
      <w:lvlJc w:val="left"/>
      <w:lvlText w:val="•"/>
      <w:numFmt w:val="bullet"/>
      <w:start w:val="1"/>
    </w:lvl>
  </w:abstractNum>
  <w:abstractNum w:abstractNumId="7">
    <w:nsid w:val="5953172F"/>
    <w:multiLevelType w:val="hybridMultilevel"/>
    <w:lvl w:ilvl="0">
      <w:lvlJc w:val="left"/>
      <w:lvlText w:val="•"/>
      <w:numFmt w:val="bullet"/>
      <w:start w:val="1"/>
    </w:lvl>
  </w:abstractNum>
  <w:abstractNum w:abstractNumId="8">
    <w:nsid w:val="27EDFE3A"/>
    <w:multiLevelType w:val="hybridMultilevel"/>
    <w:lvl w:ilvl="0">
      <w:lvlJc w:val="left"/>
      <w:lvlText w:val="•"/>
      <w:numFmt w:val="bullet"/>
      <w:start w:val="1"/>
    </w:lvl>
  </w:abstractNum>
  <w:abstractNum w:abstractNumId="9">
    <w:nsid w:val="52AC7DFF"/>
    <w:multiLevelType w:val="hybridMultilevel"/>
    <w:lvl w:ilvl="0">
      <w:lvlJc w:val="left"/>
      <w:lvlText w:val="•"/>
      <w:numFmt w:val="bullet"/>
      <w:start w:val="1"/>
    </w:lvl>
  </w:abstractNum>
  <w:abstractNum w:abstractNumId="10">
    <w:nsid w:val="C4C3AF"/>
    <w:multiLevelType w:val="hybridMultilevel"/>
    <w:lvl w:ilvl="0">
      <w:lvlJc w:val="left"/>
      <w:lvlText w:val="•"/>
      <w:numFmt w:val="bullet"/>
      <w:start w:val="1"/>
    </w:lvl>
  </w:abstractNum>
  <w:abstractNum w:abstractNumId="11">
    <w:nsid w:val="44380727"/>
    <w:multiLevelType w:val="hybridMultilevel"/>
    <w:lvl w:ilvl="0">
      <w:lvlJc w:val="left"/>
      <w:lvlText w:val="•"/>
      <w:numFmt w:val="bullet"/>
      <w:start w:val="1"/>
    </w:lvl>
  </w:abstractNum>
  <w:abstractNum w:abstractNumId="12">
    <w:nsid w:val="6C053B16"/>
    <w:multiLevelType w:val="hybridMultilevel"/>
    <w:lvl w:ilvl="0">
      <w:lvlJc w:val="left"/>
      <w:lvlText w:val="•"/>
      <w:numFmt w:val="bullet"/>
      <w:start w:val="1"/>
    </w:lvl>
  </w:abstractNum>
  <w:abstractNum w:abstractNumId="13">
    <w:nsid w:val="4F294393"/>
    <w:multiLevelType w:val="hybridMultilevel"/>
    <w:lvl w:ilvl="0">
      <w:lvlJc w:val="left"/>
      <w:lvlText w:val="%1."/>
      <w:numFmt w:val="decimal"/>
      <w:start w:val="1"/>
    </w:lvl>
  </w:abstractNum>
  <w:abstractNum w:abstractNumId="14">
    <w:nsid w:val="5243BFA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
    <w:nsid w:val="425EB207"/>
    <w:multiLevelType w:val="hybridMultilevel"/>
    <w:lvl w:ilvl="0">
      <w:lvlJc w:val="left"/>
      <w:lvlText w:val="•"/>
      <w:numFmt w:val="bullet"/>
      <w:start w:val="1"/>
    </w:lvl>
    <w:lvl w:ilvl="1">
      <w:lvlJc w:val="left"/>
      <w:lvlText w:val="•"/>
      <w:numFmt w:val="bullet"/>
      <w:start w:val="1"/>
    </w:lvl>
  </w:abstractNum>
  <w:abstractNum w:abstractNumId="16">
    <w:nsid w:val="334A6F1F"/>
    <w:multiLevelType w:val="hybridMultilevel"/>
    <w:lvl w:ilvl="0">
      <w:lvlJc w:val="left"/>
      <w:lvlText w:val="*"/>
      <w:numFmt w:val="bullet"/>
      <w:start w:val="1"/>
    </w:lvl>
  </w:abstractNum>
  <w:abstractNum w:abstractNumId="17">
    <w:nsid w:val="2E5B12B8"/>
    <w:multiLevelType w:val="hybridMultilevel"/>
    <w:lvl w:ilvl="0">
      <w:lvlJc w:val="left"/>
      <w:lvlText w:val="*"/>
      <w:numFmt w:val="bullet"/>
      <w:start w:val="1"/>
    </w:lvl>
  </w:abstractNum>
  <w:abstractNum w:abstractNumId="18">
    <w:nsid w:val="5C03D76D"/>
    <w:multiLevelType w:val="hybridMultilevel"/>
    <w:lvl w:ilvl="0">
      <w:lvlJc w:val="left"/>
      <w:lvlText w:val="•"/>
      <w:numFmt w:val="bullet"/>
      <w:start w:val="1"/>
    </w:lvl>
    <w:lvl w:ilvl="1">
      <w:lvlJc w:val="left"/>
      <w:lvlText w:val="•"/>
      <w:numFmt w:val="bullet"/>
      <w:start w:val="1"/>
    </w:lvl>
  </w:abstractNum>
  <w:abstractNum w:abstractNumId="19">
    <w:nsid w:val="66A48D11"/>
    <w:multiLevelType w:val="hybridMultilevel"/>
    <w:lvl w:ilvl="0">
      <w:lvlJc w:val="left"/>
      <w:lvlText w:val="•"/>
      <w:numFmt w:val="bullet"/>
      <w:start w:val="1"/>
    </w:lvl>
    <w:lvl w:ilvl="1">
      <w:lvlJc w:val="left"/>
      <w:lvlText w:val="•"/>
      <w:numFmt w:val="bullet"/>
      <w:start w:val="1"/>
    </w:lvl>
  </w:abstractNum>
  <w:abstractNum w:abstractNumId="20">
    <w:nsid w:val="56C28E34"/>
    <w:multiLevelType w:val="hybridMultilevel"/>
    <w:lvl w:ilvl="0">
      <w:lvlJc w:val="left"/>
      <w:lvlText w:val="•"/>
      <w:numFmt w:val="bullet"/>
      <w:start w:val="1"/>
    </w:lvl>
  </w:abstractNum>
  <w:abstractNum w:abstractNumId="21">
    <w:nsid w:val="13916F2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435D38D"/>
    <w:multiLevelType w:val="hybridMultilevel"/>
    <w:lvl w:ilvl="0">
      <w:lvlJc w:val="left"/>
      <w:lvlText w:val="•"/>
      <w:numFmt w:val="bullet"/>
      <w:start w:val="1"/>
    </w:lvl>
    <w:lvl w:ilvl="1">
      <w:lvlJc w:val="left"/>
      <w:lvlText w:val="•"/>
      <w:numFmt w:val="bullet"/>
      <w:start w:val="1"/>
    </w:lvl>
  </w:abstractNum>
  <w:abstractNum w:abstractNumId="23">
    <w:nsid w:val="822C0E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57C5BB4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5">
    <w:nsid w:val="1803D089"/>
    <w:multiLevelType w:val="hybridMultilevel"/>
    <w:lvl w:ilvl="0">
      <w:lvlJc w:val="left"/>
      <w:lvlText w:val="%1."/>
      <w:numFmt w:val="decimal"/>
      <w:start w:val="1"/>
    </w:lvl>
  </w:abstractNum>
  <w:abstractNum w:abstractNumId="26">
    <w:nsid w:val="4F3A06D4"/>
    <w:multiLevelType w:val="hybridMultilevel"/>
    <w:lvl w:ilvl="0">
      <w:lvlJc w:val="left"/>
      <w:lvlText w:val="•"/>
      <w:numFmt w:val="bullet"/>
      <w:start w:val="1"/>
    </w:lvl>
  </w:abstractNum>
  <w:abstractNum w:abstractNumId="27">
    <w:nsid w:val="59A377B6"/>
    <w:multiLevelType w:val="hybridMultilevel"/>
    <w:lvl w:ilvl="0">
      <w:lvlJc w:val="left"/>
      <w:lvlText w:val="•"/>
      <w:numFmt w:val="bullet"/>
      <w:start w:val="1"/>
    </w:lvl>
    <w:lvl w:ilvl="1">
      <w:lvlJc w:val="left"/>
      <w:lvlText w:val="•"/>
      <w:numFmt w:val="bullet"/>
      <w:start w:val="1"/>
    </w:lvl>
  </w:abstractNum>
  <w:abstractNum w:abstractNumId="28">
    <w:nsid w:val="48AEB063"/>
    <w:multiLevelType w:val="hybridMultilevel"/>
    <w:lvl w:ilvl="0">
      <w:lvlJc w:val="left"/>
      <w:lvlText w:val="•"/>
      <w:numFmt w:val="bullet"/>
      <w:start w:val="1"/>
    </w:lvl>
  </w:abstractNum>
  <w:abstractNum w:abstractNumId="29">
    <w:nsid w:val="24E135"/>
    <w:multiLevelType w:val="hybridMultilevel"/>
    <w:lvl w:ilvl="0">
      <w:lvlJc w:val="left"/>
      <w:lvlText w:val="•"/>
      <w:numFmt w:val="bullet"/>
      <w:start w:val="1"/>
    </w:lvl>
  </w:abstractNum>
  <w:abstractNum w:abstractNumId="30">
    <w:nsid w:val="BB13C1"/>
    <w:multiLevelType w:val="hybridMultilevel"/>
    <w:lvl w:ilvl="0">
      <w:lvlJc w:val="left"/>
      <w:lvlText w:val="•"/>
      <w:numFmt w:val="bullet"/>
      <w:start w:val="1"/>
    </w:lvl>
  </w:abstractNum>
  <w:abstractNum w:abstractNumId="31">
    <w:nsid w:val="271210C7"/>
    <w:multiLevelType w:val="hybridMultilevel"/>
    <w:lvl w:ilvl="0">
      <w:lvlJc w:val="left"/>
      <w:lvlText w:val="•"/>
      <w:numFmt w:val="bullet"/>
      <w:start w:val="1"/>
    </w:lvl>
  </w:abstractNum>
  <w:abstractNum w:abstractNumId="32">
    <w:nsid w:val="217B22E4"/>
    <w:multiLevelType w:val="hybridMultilevel"/>
    <w:lvl w:ilvl="0">
      <w:lvlJc w:val="left"/>
      <w:lvlText w:val="•"/>
      <w:numFmt w:val="bullet"/>
      <w:start w:val="1"/>
    </w:lvl>
  </w:abstractNum>
  <w:abstractNum w:abstractNumId="33">
    <w:nsid w:val="53E31A24"/>
    <w:multiLevelType w:val="hybridMultilevel"/>
    <w:lvl w:ilvl="0">
      <w:lvlJc w:val="left"/>
      <w:lvlText w:val="•"/>
      <w:numFmt w:val="bullet"/>
      <w:start w:val="1"/>
    </w:lvl>
    <w:lvl w:ilvl="1">
      <w:lvlJc w:val="left"/>
      <w:lvlText w:val="•"/>
      <w:numFmt w:val="bullet"/>
      <w:start w:val="1"/>
    </w:lvl>
  </w:abstractNum>
  <w:abstractNum w:abstractNumId="34">
    <w:nsid w:val="6DC45E83"/>
    <w:multiLevelType w:val="hybridMultilevel"/>
    <w:lvl w:ilvl="0">
      <w:lvlJc w:val="left"/>
      <w:lvlText w:val="%1."/>
      <w:numFmt w:val="decimal"/>
      <w:start w:val="1"/>
    </w:lvl>
  </w:abstractNum>
  <w:abstractNum w:abstractNumId="35">
    <w:nsid w:val="17304A67"/>
    <w:multiLevelType w:val="hybridMultilevel"/>
    <w:lvl w:ilvl="0">
      <w:lvlJc w:val="left"/>
      <w:lvlText w:val="•"/>
      <w:numFmt w:val="bullet"/>
      <w:start w:val="1"/>
    </w:lvl>
    <w:lvl w:ilvl="1">
      <w:lvlJc w:val="left"/>
      <w:lvlText w:val="•"/>
      <w:numFmt w:val="bullet"/>
      <w:start w:val="1"/>
    </w:lvl>
  </w:abstractNum>
  <w:abstractNum w:abstractNumId="36">
    <w:nsid w:val="2BB180D8"/>
    <w:multiLevelType w:val="hybridMultilevel"/>
    <w:lvl w:ilvl="0">
      <w:lvlJc w:val="left"/>
      <w:lvlText w:val="•"/>
      <w:numFmt w:val="bullet"/>
      <w:start w:val="1"/>
    </w:lvl>
    <w:lvl w:ilvl="1">
      <w:lvlJc w:val="left"/>
      <w:lvlText w:val="•"/>
      <w:numFmt w:val="bullet"/>
      <w:start w:val="1"/>
    </w:lvl>
  </w:abstractNum>
  <w:abstractNum w:abstractNumId="37">
    <w:nsid w:val="556B69ED"/>
    <w:multiLevelType w:val="hybridMultilevel"/>
    <w:lvl w:ilvl="0">
      <w:lvlJc w:val="left"/>
      <w:lvlText w:val="•"/>
      <w:numFmt w:val="bullet"/>
      <w:start w:val="1"/>
    </w:lvl>
    <w:lvl w:ilvl="1">
      <w:lvlJc w:val="left"/>
      <w:lvlText w:val="•"/>
      <w:numFmt w:val="bullet"/>
      <w:start w:val="1"/>
    </w:lvl>
  </w:abstractNum>
  <w:abstractNum w:abstractNumId="38">
    <w:nsid w:val="70836196"/>
    <w:multiLevelType w:val="hybridMultilevel"/>
    <w:lvl w:ilvl="0">
      <w:lvlJc w:val="left"/>
      <w:lvlText w:val="•"/>
      <w:numFmt w:val="bullet"/>
      <w:start w:val="1"/>
    </w:lvl>
    <w:lvl w:ilvl="1">
      <w:lvlJc w:val="left"/>
      <w:lvlText w:val="•"/>
      <w:numFmt w:val="bullet"/>
      <w:start w:val="1"/>
    </w:lvl>
  </w:abstractNum>
  <w:abstractNum w:abstractNumId="39">
    <w:nsid w:val="539F7F12"/>
    <w:multiLevelType w:val="hybridMultilevel"/>
    <w:lvl w:ilvl="0">
      <w:lvlJc w:val="left"/>
      <w:lvlText w:val="•"/>
      <w:numFmt w:val="bullet"/>
      <w:start w:val="1"/>
    </w:lvl>
    <w:lvl w:ilvl="1">
      <w:lvlJc w:val="left"/>
      <w:lvlText w:val="•"/>
      <w:numFmt w:val="bullet"/>
      <w:start w:val="1"/>
    </w:lvl>
  </w:abstractNum>
  <w:abstractNum w:abstractNumId="40">
    <w:nsid w:val="2817E7EC"/>
    <w:multiLevelType w:val="hybridMultilevel"/>
    <w:lvl w:ilvl="0">
      <w:lvlJc w:val="left"/>
      <w:lvlText w:val="•"/>
      <w:numFmt w:val="bullet"/>
      <w:start w:val="1"/>
    </w:lvl>
    <w:lvl w:ilvl="1">
      <w:lvlJc w:val="left"/>
      <w:lvlText w:val="•"/>
      <w:numFmt w:val="bullet"/>
      <w:start w:val="1"/>
    </w:lvl>
  </w:abstractNum>
  <w:abstractNum w:abstractNumId="41">
    <w:nsid w:val="71482545"/>
    <w:multiLevelType w:val="hybridMultilevel"/>
    <w:lvl w:ilvl="0">
      <w:lvlJc w:val="left"/>
      <w:lvlText w:val="•"/>
      <w:numFmt w:val="bullet"/>
      <w:start w:val="1"/>
    </w:lvl>
    <w:lvl w:ilvl="1">
      <w:lvlJc w:val="left"/>
      <w:lvlText w:val="•"/>
      <w:numFmt w:val="bullet"/>
      <w:start w:val="1"/>
    </w:lvl>
  </w:abstractNum>
  <w:abstractNum w:abstractNumId="42">
    <w:nsid w:val="17D78639"/>
    <w:multiLevelType w:val="hybridMultilevel"/>
    <w:lvl w:ilvl="0">
      <w:lvlJc w:val="left"/>
      <w:lvlText w:val="(%1)"/>
      <w:numFmt w:val="lowerLetter"/>
      <w:start w:val="25"/>
    </w:lvl>
  </w:abstractNum>
  <w:abstractNum w:abstractNumId="43">
    <w:nsid w:val="141D2302"/>
    <w:multiLevelType w:val="hybridMultilevel"/>
    <w:lvl w:ilvl="0">
      <w:lvlJc w:val="left"/>
      <w:lvlText w:val="(%1)"/>
      <w:numFmt w:val="lowerRoman"/>
      <w:start w:val="3"/>
    </w:lvl>
  </w:abstractNum>
  <w:abstractNum w:abstractNumId="44">
    <w:nsid w:val="407168D8"/>
    <w:multiLevelType w:val="hybridMultilevel"/>
    <w:lvl w:ilvl="0">
      <w:lvlJc w:val="left"/>
      <w:lvlText w:val="•"/>
      <w:numFmt w:val="bullet"/>
      <w:start w:val="1"/>
    </w:lvl>
  </w:abstractNum>
  <w:abstractNum w:abstractNumId="45">
    <w:nsid w:val="6A1B45E5"/>
    <w:multiLevelType w:val="hybridMultilevel"/>
    <w:lvl w:ilvl="0">
      <w:lvlJc w:val="left"/>
      <w:lvlText w:val="•"/>
      <w:numFmt w:val="bullet"/>
      <w:start w:val="1"/>
    </w:lvl>
  </w:abstractNum>
  <w:abstractNum w:abstractNumId="46">
    <w:nsid w:val="567BD50A"/>
    <w:multiLevelType w:val="hybridMultilevel"/>
    <w:lvl w:ilvl="0">
      <w:lvlJc w:val="left"/>
      <w:lvlText w:val="•"/>
      <w:numFmt w:val="bullet"/>
      <w:start w:val="1"/>
    </w:lvl>
  </w:abstractNum>
  <w:abstractNum w:abstractNumId="47">
    <w:nsid w:val="73BBD7F8"/>
    <w:multiLevelType w:val="hybridMultilevel"/>
    <w:lvl w:ilvl="0">
      <w:lvlJc w:val="left"/>
      <w:lvlText w:val="•"/>
      <w:numFmt w:val="bullet"/>
      <w:start w:val="1"/>
    </w:lvl>
  </w:abstractNum>
  <w:abstractNum w:abstractNumId="48">
    <w:nsid w:val="1876589D"/>
    <w:multiLevelType w:val="hybridMultilevel"/>
    <w:lvl w:ilvl="0">
      <w:lvlJc w:val="left"/>
      <w:lvlText w:val="•"/>
      <w:numFmt w:val="bullet"/>
      <w:start w:val="1"/>
    </w:lvl>
  </w:abstractNum>
  <w:abstractNum w:abstractNumId="49">
    <w:nsid w:val="327FAC77"/>
    <w:multiLevelType w:val="hybridMultilevel"/>
    <w:lvl w:ilvl="0">
      <w:lvlJc w:val="left"/>
      <w:lvlText w:val="(%1)"/>
      <w:numFmt w:val="lowerRoman"/>
      <w:start w:val="1"/>
    </w:lvl>
  </w:abstractNum>
  <w:abstractNum w:abstractNumId="50">
    <w:nsid w:val="5A606509"/>
    <w:multiLevelType w:val="hybridMultilevel"/>
    <w:lvl w:ilvl="0">
      <w:lvlJc w:val="left"/>
      <w:lvlText w:val="(%1)"/>
      <w:numFmt w:val="lowerRoman"/>
      <w:start w:val="4"/>
    </w:lvl>
  </w:abstractNum>
  <w:abstractNum w:abstractNumId="51">
    <w:nsid w:val="6F38E6D1"/>
    <w:multiLevelType w:val="hybridMultilevel"/>
    <w:lvl w:ilvl="0">
      <w:lvlJc w:val="left"/>
      <w:lvlText w:val="•"/>
      <w:numFmt w:val="bullet"/>
      <w:start w:val="1"/>
    </w:lvl>
  </w:abstractNum>
  <w:abstractNum w:abstractNumId="52">
    <w:nsid w:val="46111BA5"/>
    <w:multiLevelType w:val="hybridMultilevel"/>
    <w:lvl w:ilvl="0">
      <w:lvlJc w:val="left"/>
      <w:lvlText w:val="•"/>
      <w:numFmt w:val="bullet"/>
      <w:start w:val="1"/>
    </w:lvl>
  </w:abstractNum>
  <w:abstractNum w:abstractNumId="53">
    <w:nsid w:val="5E963896"/>
    <w:multiLevelType w:val="hybridMultilevel"/>
    <w:lvl w:ilvl="0">
      <w:lvlJc w:val="left"/>
      <w:lvlText w:val="(%1)"/>
      <w:numFmt w:val="lowerRoman"/>
      <w:start w:val="3"/>
    </w:lvl>
  </w:abstractNum>
  <w:abstractNum w:abstractNumId="54">
    <w:nsid w:val="775BA7C1"/>
    <w:multiLevelType w:val="hybridMultilevel"/>
    <w:lvl w:ilvl="0">
      <w:lvlJc w:val="left"/>
      <w:lvlText w:val="•"/>
      <w:numFmt w:val="bullet"/>
      <w:start w:val="1"/>
    </w:lvl>
  </w:abstractNum>
  <w:abstractNum w:abstractNumId="55">
    <w:nsid w:val="1DD6D6F4"/>
    <w:multiLevelType w:val="hybridMultilevel"/>
    <w:lvl w:ilvl="0">
      <w:lvlJc w:val="left"/>
      <w:lvlText w:val="•"/>
      <w:numFmt w:val="bullet"/>
      <w:start w:val="1"/>
    </w:lvl>
  </w:abstractNum>
  <w:abstractNum w:abstractNumId="56">
    <w:nsid w:val="769A091F"/>
    <w:multiLevelType w:val="hybridMultilevel"/>
    <w:lvl w:ilvl="0">
      <w:lvlJc w:val="left"/>
      <w:lvlText w:val="•"/>
      <w:numFmt w:val="bullet"/>
      <w:start w:val="1"/>
    </w:lvl>
    <w:lvl w:ilvl="1">
      <w:lvlJc w:val="left"/>
      <w:lvlText w:val="•"/>
      <w:numFmt w:val="bullet"/>
      <w:start w:val="1"/>
    </w:lvl>
  </w:abstractNum>
  <w:abstractNum w:abstractNumId="57">
    <w:nsid w:val="4695AE95"/>
    <w:multiLevelType w:val="hybridMultilevel"/>
    <w:lvl w:ilvl="0">
      <w:lvlJc w:val="left"/>
      <w:lvlText w:val="•"/>
      <w:numFmt w:val="bullet"/>
      <w:start w:val="1"/>
    </w:lvl>
  </w:abstractNum>
  <w:abstractNum w:abstractNumId="58">
    <w:nsid w:val="777A4EAA"/>
    <w:multiLevelType w:val="hybridMultilevel"/>
    <w:lvl w:ilvl="0">
      <w:lvlJc w:val="left"/>
      <w:lvlText w:val="•"/>
      <w:numFmt w:val="bullet"/>
      <w:start w:val="1"/>
    </w:lvl>
  </w:abstractNum>
  <w:abstractNum w:abstractNumId="59">
    <w:nsid w:val="3F48B982"/>
    <w:multiLevelType w:val="hybridMultilevel"/>
    <w:lvl w:ilvl="0">
      <w:lvlJc w:val="left"/>
      <w:lvlText w:val="•"/>
      <w:numFmt w:val="bullet"/>
      <w:start w:val="1"/>
    </w:lvl>
  </w:abstractNum>
  <w:abstractNum w:abstractNumId="60">
    <w:nsid w:val="46BA8FCA"/>
    <w:multiLevelType w:val="hybridMultilevel"/>
    <w:lvl w:ilvl="0">
      <w:lvlJc w:val="left"/>
      <w:lvlText w:val="•"/>
      <w:numFmt w:val="bullet"/>
      <w:start w:val="1"/>
    </w:lvl>
  </w:abstractNum>
  <w:abstractNum w:abstractNumId="61">
    <w:nsid w:val="7835626C"/>
    <w:multiLevelType w:val="hybridMultilevel"/>
    <w:lvl w:ilvl="0">
      <w:lvlJc w:val="left"/>
      <w:lvlText w:val="•"/>
      <w:numFmt w:val="bullet"/>
      <w:start w:val="1"/>
    </w:lvl>
  </w:abstractNum>
  <w:abstractNum w:abstractNumId="62">
    <w:nsid w:val="665ACA49"/>
    <w:multiLevelType w:val="hybridMultilevel"/>
    <w:lvl w:ilvl="0">
      <w:lvlJc w:val="left"/>
      <w:lvlText w:val="•"/>
      <w:numFmt w:val="bullet"/>
      <w:start w:val="1"/>
    </w:lvl>
  </w:abstractNum>
  <w:abstractNum w:abstractNumId="63">
    <w:nsid w:val="6835B2AE"/>
    <w:multiLevelType w:val="hybridMultilevel"/>
    <w:lvl w:ilvl="0">
      <w:lvlJc w:val="left"/>
      <w:lvlText w:val="•"/>
      <w:numFmt w:val="bullet"/>
      <w:start w:val="1"/>
    </w:lvl>
  </w:abstractNum>
  <w:abstractNum w:abstractNumId="64">
    <w:nsid w:val="4C187C90"/>
    <w:multiLevelType w:val="hybridMultilevel"/>
    <w:lvl w:ilvl="0">
      <w:lvlJc w:val="left"/>
      <w:lvlText w:val="•"/>
      <w:numFmt w:val="bullet"/>
      <w:start w:val="1"/>
    </w:lvl>
  </w:abstractNum>
  <w:abstractNum w:abstractNumId="65">
    <w:nsid w:val="541F28CD"/>
    <w:multiLevelType w:val="hybridMultilevel"/>
    <w:lvl w:ilvl="0">
      <w:lvlJc w:val="left"/>
      <w:lvlText w:val="•"/>
      <w:numFmt w:val="bullet"/>
      <w:start w:val="1"/>
    </w:lvl>
  </w:abstractNum>
  <w:abstractNum w:abstractNumId="66">
    <w:nsid w:val="7F65FD16"/>
    <w:multiLevelType w:val="hybridMultilevel"/>
    <w:lvl w:ilvl="0">
      <w:lvlJc w:val="left"/>
      <w:lvlText w:val="•"/>
      <w:numFmt w:val="bullet"/>
      <w:start w:val="1"/>
    </w:lvl>
  </w:abstractNum>
  <w:abstractNum w:abstractNumId="67">
    <w:nsid w:val="77C9FD68"/>
    <w:multiLevelType w:val="hybridMultilevel"/>
    <w:lvl w:ilvl="0">
      <w:lvlJc w:val="left"/>
      <w:lvlText w:val="•"/>
      <w:numFmt w:val="bullet"/>
      <w:start w:val="1"/>
    </w:lvl>
  </w:abstractNum>
  <w:abstractNum w:abstractNumId="68">
    <w:nsid w:val="298A92BA"/>
    <w:multiLevelType w:val="hybridMultilevel"/>
    <w:lvl w:ilvl="0">
      <w:lvlJc w:val="left"/>
      <w:lvlText w:val="•"/>
      <w:numFmt w:val="bullet"/>
      <w:start w:val="1"/>
    </w:lvl>
  </w:abstractNum>
  <w:abstractNum w:abstractNumId="69">
    <w:nsid w:val="6FE95EAC"/>
    <w:multiLevelType w:val="hybridMultilevel"/>
    <w:lvl w:ilvl="0">
      <w:lvlJc w:val="left"/>
      <w:lvlText w:val="•"/>
      <w:numFmt w:val="bullet"/>
      <w:start w:val="1"/>
    </w:lvl>
  </w:abstractNum>
  <w:abstractNum w:abstractNumId="70">
    <w:nsid w:val="4B697C7A"/>
    <w:multiLevelType w:val="hybridMultilevel"/>
    <w:lvl w:ilvl="0">
      <w:lvlJc w:val="left"/>
      <w:lvlText w:val="•"/>
      <w:numFmt w:val="bullet"/>
      <w:start w:val="1"/>
    </w:lvl>
  </w:abstractNum>
  <w:abstractNum w:abstractNumId="71">
    <w:nsid w:val="51A27AA6"/>
    <w:multiLevelType w:val="hybridMultilevel"/>
    <w:lvl w:ilvl="0">
      <w:lvlJc w:val="left"/>
      <w:lvlText w:val="•"/>
      <w:numFmt w:val="bullet"/>
      <w:start w:val="1"/>
    </w:lvl>
  </w:abstractNum>
  <w:abstractNum w:abstractNumId="72">
    <w:nsid w:val="613183F2"/>
    <w:multiLevelType w:val="hybridMultilevel"/>
    <w:lvl w:ilvl="0">
      <w:lvlJc w:val="left"/>
      <w:lvlText w:val="•"/>
      <w:numFmt w:val="bullet"/>
      <w:start w:val="1"/>
    </w:lvl>
  </w:abstractNum>
  <w:abstractNum w:abstractNumId="73">
    <w:nsid w:val="634102B4"/>
    <w:multiLevelType w:val="hybridMultilevel"/>
    <w:lvl w:ilvl="0">
      <w:lvlJc w:val="left"/>
      <w:lvlText w:val="•"/>
      <w:numFmt w:val="bullet"/>
      <w:start w:val="1"/>
    </w:lvl>
  </w:abstractNum>
  <w:abstractNum w:abstractNumId="74">
    <w:nsid w:val="65BF9DA8"/>
    <w:multiLevelType w:val="hybridMultilevel"/>
    <w:lvl w:ilvl="0">
      <w:lvlJc w:val="left"/>
      <w:lvlText w:val="•"/>
      <w:numFmt w:val="bullet"/>
      <w:start w:val="1"/>
    </w:lvl>
  </w:abstractNum>
  <w:abstractNum w:abstractNumId="75">
    <w:nsid w:val="21A2ECCA"/>
    <w:multiLevelType w:val="hybridMultilevel"/>
    <w:lvl w:ilvl="0">
      <w:lvlJc w:val="left"/>
      <w:lvlText w:val="•"/>
      <w:numFmt w:val="bullet"/>
      <w:start w:val="1"/>
    </w:lvl>
  </w:abstractNum>
  <w:abstractNum w:abstractNumId="76">
    <w:nsid w:val="4D5C4899"/>
    <w:multiLevelType w:val="hybridMultilevel"/>
    <w:lvl w:ilvl="0">
      <w:lvlJc w:val="left"/>
      <w:lvlText w:val="•"/>
      <w:numFmt w:val="bullet"/>
      <w:start w:val="1"/>
    </w:lvl>
  </w:abstractNum>
  <w:abstractNum w:abstractNumId="77">
    <w:nsid w:val="3C3B72B2"/>
    <w:multiLevelType w:val="hybridMultilevel"/>
    <w:lvl w:ilvl="0">
      <w:lvlJc w:val="left"/>
      <w:lvlText w:val="•"/>
      <w:numFmt w:val="bullet"/>
      <w:start w:val="1"/>
    </w:lvl>
  </w:abstractNum>
  <w:abstractNum w:abstractNumId="78">
    <w:nsid w:val="155EC4C2"/>
    <w:multiLevelType w:val="hybridMultilevel"/>
    <w:lvl w:ilvl="0">
      <w:lvlJc w:val="left"/>
      <w:lvlText w:val="•"/>
      <w:numFmt w:val="bullet"/>
      <w:start w:val="1"/>
    </w:lvl>
    <w:lvl w:ilvl="1">
      <w:lvlJc w:val="left"/>
      <w:lvlText w:val="(%2)"/>
      <w:numFmt w:val="decimal"/>
      <w:start w:val="3"/>
    </w:lvl>
  </w:abstractNum>
  <w:abstractNum w:abstractNumId="79">
    <w:nsid w:val="65D2A137"/>
    <w:multiLevelType w:val="hybridMultilevel"/>
    <w:lvl w:ilvl="0">
      <w:lvlJc w:val="left"/>
      <w:lvlText w:val="(%1)"/>
      <w:numFmt w:val="lowerRoman"/>
      <w:start w:val="3"/>
    </w:lvl>
  </w:abstractNum>
  <w:abstractNum w:abstractNumId="80">
    <w:nsid w:val="6EBB1F2A"/>
    <w:multiLevelType w:val="hybridMultilevel"/>
    <w:lvl w:ilvl="0">
      <w:lvlJc w:val="left"/>
      <w:lvlText w:val="•"/>
      <w:numFmt w:val="bullet"/>
      <w:start w:val="1"/>
    </w:lvl>
  </w:abstractNum>
  <w:abstractNum w:abstractNumId="81">
    <w:nsid w:val="6FBF29CB"/>
    <w:multiLevelType w:val="hybridMultilevel"/>
    <w:lvl w:ilvl="0">
      <w:lvlJc w:val="left"/>
      <w:lvlText w:val="•"/>
      <w:numFmt w:val="bullet"/>
      <w:start w:val="1"/>
    </w:lvl>
  </w:abstractNum>
  <w:abstractNum w:abstractNumId="82">
    <w:nsid w:val="550B8808"/>
    <w:multiLevelType w:val="hybridMultilevel"/>
    <w:lvl w:ilvl="0">
      <w:lvlJc w:val="left"/>
      <w:lvlText w:val="•"/>
      <w:numFmt w:val="bullet"/>
      <w:start w:val="1"/>
    </w:lvl>
  </w:abstractNum>
  <w:abstractNum w:abstractNumId="83">
    <w:nsid w:val="34CC3ACF"/>
    <w:multiLevelType w:val="hybridMultilevel"/>
    <w:lvl w:ilvl="0">
      <w:lvlJc w:val="left"/>
      <w:lvlText w:val="•"/>
      <w:numFmt w:val="bullet"/>
      <w:start w:val="1"/>
    </w:lvl>
  </w:abstractNum>
  <w:abstractNum w:abstractNumId="84">
    <w:nsid w:val="4E556261"/>
    <w:multiLevelType w:val="hybridMultilevel"/>
    <w:lvl w:ilvl="0">
      <w:lvlJc w:val="left"/>
      <w:lvlText w:val="(%1)"/>
      <w:numFmt w:val="lowerRoman"/>
      <w:start w:val="3"/>
    </w:lvl>
  </w:abstractNum>
  <w:abstractNum w:abstractNumId="85">
    <w:nsid w:val="4C672FC9"/>
    <w:multiLevelType w:val="hybridMultilevel"/>
    <w:lvl w:ilvl="0">
      <w:lvlJc w:val="left"/>
      <w:lvlText w:val="•"/>
      <w:numFmt w:val="bullet"/>
      <w:start w:val="1"/>
    </w:lvl>
  </w:abstractNum>
  <w:abstractNum w:abstractNumId="86">
    <w:nsid w:val="52A311C3"/>
    <w:multiLevelType w:val="hybridMultilevel"/>
    <w:lvl w:ilvl="0">
      <w:lvlJc w:val="left"/>
      <w:lvlText w:val="•"/>
      <w:numFmt w:val="bullet"/>
      <w:start w:val="1"/>
    </w:lvl>
  </w:abstractNum>
  <w:abstractNum w:abstractNumId="87">
    <w:nsid w:val="44EF6B80"/>
    <w:multiLevelType w:val="hybridMultilevel"/>
    <w:lvl w:ilvl="0">
      <w:lvlJc w:val="left"/>
      <w:lvlText w:val="§"/>
      <w:numFmt w:val="bullet"/>
      <w:start w:val="1"/>
    </w:lvl>
  </w:abstractNum>
  <w:abstractNum w:abstractNumId="88">
    <w:nsid w:val="12FCDE5E"/>
    <w:multiLevelType w:val="hybridMultilevel"/>
    <w:lvl w:ilvl="0">
      <w:lvlJc w:val="left"/>
      <w:lvlText w:val="•"/>
      <w:numFmt w:val="bullet"/>
      <w:start w:val="1"/>
    </w:lvl>
  </w:abstractNum>
  <w:abstractNum w:abstractNumId="89">
    <w:nsid w:val="4A1D606E"/>
    <w:multiLevelType w:val="hybridMultilevel"/>
    <w:lvl w:ilvl="0">
      <w:lvlJc w:val="left"/>
      <w:lvlText w:val="•"/>
      <w:numFmt w:val="bullet"/>
      <w:start w:val="1"/>
    </w:lvl>
  </w:abstractNum>
  <w:abstractNum w:abstractNumId="90">
    <w:nsid w:val="4382503"/>
    <w:multiLevelType w:val="hybridMultilevel"/>
    <w:lvl w:ilvl="0">
      <w:lvlJc w:val="left"/>
      <w:lvlText w:val="(%1)"/>
      <w:numFmt w:val="lowerLetter"/>
      <w:start w:val="25"/>
    </w:lvl>
  </w:abstractNum>
  <w:abstractNum w:abstractNumId="91">
    <w:nsid w:val="59B76E28"/>
    <w:multiLevelType w:val="hybridMultilevel"/>
    <w:lvl w:ilvl="0">
      <w:lvlJc w:val="left"/>
      <w:lvlText w:val="•"/>
      <w:numFmt w:val="bullet"/>
      <w:start w:val="1"/>
    </w:lvl>
  </w:abstractNum>
  <w:abstractNum w:abstractNumId="92">
    <w:nsid w:val="4252C2DA"/>
    <w:multiLevelType w:val="hybridMultilevel"/>
    <w:lvl w:ilvl="0">
      <w:lvlJc w:val="left"/>
      <w:lvlText w:val="•"/>
      <w:numFmt w:val="bullet"/>
      <w:start w:val="1"/>
    </w:lvl>
  </w:abstractNum>
  <w:abstractNum w:abstractNumId="93">
    <w:nsid w:val="6A92EF4C"/>
    <w:multiLevelType w:val="hybridMultilevel"/>
    <w:lvl w:ilvl="0">
      <w:lvlJc w:val="left"/>
      <w:lvlText w:val="•"/>
      <w:numFmt w:val="bullet"/>
      <w:start w:val="1"/>
    </w:lvl>
    <w:lvl w:ilvl="1">
      <w:lvlJc w:val="left"/>
      <w:lvlText w:val="•"/>
      <w:numFmt w:val="bullet"/>
      <w:start w:val="1"/>
    </w:lvl>
  </w:abstractNum>
  <w:abstractNum w:abstractNumId="94">
    <w:nsid w:val="41ED20D7"/>
    <w:multiLevelType w:val="hybridMultilevel"/>
    <w:lvl w:ilvl="0">
      <w:lvlJc w:val="left"/>
      <w:lvlText w:val="•"/>
      <w:numFmt w:val="bullet"/>
      <w:start w:val="1"/>
    </w:lvl>
  </w:abstractNum>
  <w:abstractNum w:abstractNumId="95">
    <w:nsid w:val="E6B3F6A"/>
    <w:multiLevelType w:val="hybridMultilevel"/>
    <w:lvl w:ilvl="0">
      <w:lvlJc w:val="left"/>
      <w:lvlText w:val="•"/>
      <w:numFmt w:val="bullet"/>
      <w:start w:val="1"/>
    </w:lvl>
  </w:abstractNum>
  <w:abstractNum w:abstractNumId="96">
    <w:nsid w:val="3EB21819"/>
    <w:multiLevelType w:val="hybridMultilevel"/>
    <w:lvl w:ilvl="0">
      <w:lvlJc w:val="left"/>
      <w:lvlText w:val="(%1)"/>
      <w:numFmt w:val="lowerLetter"/>
      <w:start w:val="3"/>
    </w:lvl>
  </w:abstractNum>
  <w:abstractNum w:abstractNumId="97">
    <w:nsid w:val="41531DED"/>
    <w:multiLevelType w:val="hybridMultilevel"/>
    <w:lvl w:ilvl="0">
      <w:lvlJc w:val="left"/>
      <w:lvlText w:val="•"/>
      <w:numFmt w:val="bullet"/>
      <w:start w:val="1"/>
    </w:lvl>
  </w:abstractNum>
  <w:abstractNum w:abstractNumId="98">
    <w:nsid w:val="6353CD2"/>
    <w:multiLevelType w:val="hybridMultilevel"/>
    <w:lvl w:ilvl="0">
      <w:lvlJc w:val="left"/>
      <w:lvlText w:val="•"/>
      <w:numFmt w:val="bullet"/>
      <w:start w:val="1"/>
    </w:lvl>
  </w:abstractNum>
  <w:abstractNum w:abstractNumId="99">
    <w:nsid w:val="683CAAD3"/>
    <w:multiLevelType w:val="hybridMultilevel"/>
    <w:lvl w:ilvl="0">
      <w:lvlJc w:val="left"/>
      <w:lvlText w:val="•"/>
      <w:numFmt w:val="bullet"/>
      <w:start w:val="1"/>
    </w:lvl>
  </w:abstractNum>
  <w:abstractNum w:abstractNumId="100">
    <w:nsid w:val="313C7C99"/>
    <w:multiLevelType w:val="hybridMultilevel"/>
    <w:lvl w:ilvl="0">
      <w:lvlJc w:val="left"/>
      <w:lvlText w:val="•"/>
      <w:numFmt w:val="bullet"/>
      <w:start w:val="1"/>
    </w:lvl>
  </w:abstractNum>
  <w:abstractNum w:abstractNumId="101">
    <w:nsid w:val="519EB94C"/>
    <w:multiLevelType w:val="hybridMultilevel"/>
    <w:lvl w:ilvl="0">
      <w:lvlJc w:val="left"/>
      <w:lvlText w:val="(%1)"/>
      <w:numFmt w:val="lowerLetter"/>
      <w:start w:val="25"/>
    </w:lvl>
  </w:abstractNum>
  <w:abstractNum w:abstractNumId="102">
    <w:nsid w:val="39DF2579"/>
    <w:multiLevelType w:val="hybridMultilevel"/>
    <w:lvl w:ilvl="0">
      <w:lvlJc w:val="left"/>
      <w:lvlText w:val="(%1)"/>
      <w:numFmt w:val="decimal"/>
      <w:start w:val="1"/>
    </w:lvl>
  </w:abstractNum>
  <w:abstractNum w:abstractNumId="103">
    <w:nsid w:val="126E008B"/>
    <w:multiLevelType w:val="hybridMultilevel"/>
    <w:lvl w:ilvl="0">
      <w:lvlJc w:val="left"/>
      <w:lvlText w:val="•"/>
      <w:numFmt w:val="bullet"/>
      <w:start w:val="1"/>
    </w:lvl>
  </w:abstractNum>
  <w:abstractNum w:abstractNumId="104">
    <w:nsid w:val="34DFBC00"/>
    <w:multiLevelType w:val="hybridMultilevel"/>
    <w:lvl w:ilvl="0">
      <w:lvlJc w:val="left"/>
      <w:lvlText w:val="•"/>
      <w:numFmt w:val="bullet"/>
      <w:start w:val="1"/>
    </w:lvl>
  </w:abstractNum>
  <w:abstractNum w:abstractNumId="105">
    <w:nsid w:val="1F9EC322"/>
    <w:multiLevelType w:val="hybridMultilevel"/>
    <w:lvl w:ilvl="0">
      <w:lvlJc w:val="left"/>
      <w:lvlText w:val="%1."/>
      <w:numFmt w:val="lowerLetter"/>
      <w:start w:val="1"/>
    </w:lvl>
  </w:abstractNum>
  <w:abstractNum w:abstractNumId="106">
    <w:nsid w:val="3410ED56"/>
    <w:multiLevelType w:val="hybridMultilevel"/>
    <w:lvl w:ilvl="0">
      <w:lvlJc w:val="left"/>
      <w:lvlText w:val="%1."/>
      <w:numFmt w:val="lowerLetter"/>
      <w:start w:val="1"/>
    </w:lvl>
  </w:abstractNum>
  <w:abstractNum w:abstractNumId="107">
    <w:nsid w:val="23C049A"/>
    <w:multiLevelType w:val="hybridMultilevel"/>
    <w:lvl w:ilvl="0">
      <w:lvlJc w:val="left"/>
      <w:lvlText w:val="%1."/>
      <w:numFmt w:val="lowerLetter"/>
      <w:start w:val="2"/>
    </w:lvl>
  </w:abstractNum>
  <w:abstractNum w:abstractNumId="108">
    <w:nsid w:val="5BDA35D4"/>
    <w:multiLevelType w:val="hybridMultilevel"/>
    <w:lvl w:ilvl="0">
      <w:lvlJc w:val="left"/>
      <w:lvlText w:val="•"/>
      <w:numFmt w:val="bullet"/>
      <w:start w:val="1"/>
    </w:lvl>
  </w:abstractNum>
  <w:abstractNum w:abstractNumId="109">
    <w:nsid w:val="496FB218"/>
    <w:multiLevelType w:val="hybridMultilevel"/>
    <w:lvl w:ilvl="0">
      <w:lvlJc w:val="left"/>
      <w:lvlText w:val="•"/>
      <w:numFmt w:val="bullet"/>
      <w:start w:val="1"/>
    </w:lvl>
  </w:abstractNum>
  <w:abstractNum w:abstractNumId="110">
    <w:nsid w:val="680EA5D1"/>
    <w:multiLevelType w:val="hybridMultilevel"/>
    <w:lvl w:ilvl="0">
      <w:lvlJc w:val="left"/>
      <w:lvlText w:val="•"/>
      <w:numFmt w:val="bullet"/>
      <w:start w:val="1"/>
    </w:lvl>
  </w:abstractNum>
  <w:abstractNum w:abstractNumId="111">
    <w:nsid w:val="4A9554FE"/>
    <w:multiLevelType w:val="hybridMultilevel"/>
    <w:lvl w:ilvl="0">
      <w:lvlJc w:val="left"/>
      <w:lvlText w:val="(%1)"/>
      <w:numFmt w:val="lowerRoman"/>
      <w:start w:val="2"/>
    </w:lvl>
  </w:abstractNum>
  <w:abstractNum w:abstractNumId="112">
    <w:nsid w:val="392EDBE4"/>
    <w:multiLevelType w:val="hybridMultilevel"/>
    <w:lvl w:ilvl="0">
      <w:lvlJc w:val="left"/>
      <w:lvlText w:val="(%1)"/>
      <w:numFmt w:val="decimal"/>
      <w:start w:val="1"/>
    </w:lvl>
  </w:abstractNum>
  <w:abstractNum w:abstractNumId="113">
    <w:nsid w:val="3D1A2DD9"/>
    <w:multiLevelType w:val="hybridMultilevel"/>
    <w:lvl w:ilvl="0">
      <w:lvlJc w:val="left"/>
      <w:lvlText w:val="(%1)"/>
      <w:numFmt w:val="decimal"/>
      <w:start w:val="1"/>
    </w:lvl>
  </w:abstractNum>
  <w:abstractNum w:abstractNumId="114">
    <w:nsid w:val="7F618FCD"/>
    <w:multiLevelType w:val="hybridMultilevel"/>
    <w:lvl w:ilvl="0">
      <w:lvlJc w:val="left"/>
      <w:lvlText w:val="(%1)"/>
      <w:numFmt w:val="decimal"/>
      <w:start w:val="1"/>
    </w:lvl>
  </w:abstractNum>
  <w:abstractNum w:abstractNumId="115">
    <w:nsid w:val="7843E45"/>
    <w:multiLevelType w:val="hybridMultilevel"/>
    <w:lvl w:ilvl="0">
      <w:lvlJc w:val="left"/>
      <w:lvlText w:val="(%1)"/>
      <w:numFmt w:val="decimal"/>
      <w:start w:val="1"/>
    </w:lvl>
  </w:abstractNum>
  <w:abstractNum w:abstractNumId="116">
    <w:nsid w:val="9815DA3"/>
    <w:multiLevelType w:val="hybridMultilevel"/>
    <w:lvl w:ilvl="0">
      <w:lvlJc w:val="left"/>
      <w:lvlText w:val="(%1)"/>
      <w:numFmt w:val="lowerLetter"/>
      <w:start w:val="1"/>
    </w:lvl>
    <w:lvl w:ilvl="1">
      <w:lvlJc w:val="left"/>
      <w:lvlText w:val="%2."/>
      <w:numFmt w:val="decimal"/>
      <w:start w:val="1"/>
    </w:lvl>
  </w:abstractNum>
  <w:abstractNum w:abstractNumId="117">
    <w:nsid w:val="5204A191"/>
    <w:multiLevelType w:val="hybridMultilevel"/>
    <w:lvl w:ilvl="0">
      <w:lvlJc w:val="left"/>
      <w:lvlText w:val="#"/>
      <w:numFmt w:val="bullet"/>
      <w:start w:val="1"/>
    </w:lvl>
  </w:abstractNum>
  <w:abstractNum w:abstractNumId="118">
    <w:nsid w:val="4C73A9C6"/>
    <w:multiLevelType w:val="hybridMultilevel"/>
    <w:lvl w:ilvl="0">
      <w:lvlJc w:val="left"/>
      <w:lvlText w:val="+"/>
      <w:numFmt w:val="bullet"/>
      <w:start w:val="1"/>
    </w:lvl>
  </w:abstractNum>
  <w:abstractNum w:abstractNumId="119">
    <w:nsid w:val="1C7E3C01"/>
    <w:multiLevelType w:val="hybridMultilevel"/>
    <w:lvl w:ilvl="0">
      <w:lvlJc w:val="left"/>
      <w:lvlText w:val="†"/>
      <w:numFmt w:val="bullet"/>
      <w:start w:val="1"/>
    </w:lvl>
  </w:abstractNum>
  <w:abstractNum w:abstractNumId="120">
    <w:nsid w:val="1C2201FF"/>
    <w:multiLevelType w:val="hybridMultilevel"/>
    <w:lvl w:ilvl="0">
      <w:lvlJc w:val="left"/>
      <w:lvlText w:val="*"/>
      <w:numFmt w:val="bullet"/>
      <w:start w:val="1"/>
    </w:lvl>
  </w:abstractNum>
  <w:abstractNum w:abstractNumId="121">
    <w:nsid w:val="50ABCEC9"/>
    <w:multiLevelType w:val="hybridMultilevel"/>
    <w:lvl w:ilvl="0">
      <w:lvlJc w:val="left"/>
      <w:lvlText w:val="**"/>
      <w:numFmt w:val="bullet"/>
      <w:start w:val="1"/>
    </w:lvl>
  </w:abstractNum>
  <w:abstractNum w:abstractNumId="122">
    <w:nsid w:val="7635AA2A"/>
    <w:multiLevelType w:val="hybridMultilevel"/>
    <w:lvl w:ilvl="0">
      <w:lvlJc w:val="left"/>
      <w:lvlText w:val="^"/>
      <w:numFmt w:val="bullet"/>
      <w:start w:val="1"/>
    </w:lvl>
  </w:abstractNum>
  <w:abstractNum w:abstractNumId="123">
    <w:nsid w:val="5E74C4D9"/>
    <w:multiLevelType w:val="hybridMultilevel"/>
    <w:lvl w:ilvl="0">
      <w:lvlJc w:val="left"/>
      <w:lvlText w:val="(%1)"/>
      <w:numFmt w:val="lowerLetter"/>
      <w:start w:val="3"/>
    </w:lvl>
  </w:abstractNum>
  <w:abstractNum w:abstractNumId="124">
    <w:nsid w:val="3B3EBE15"/>
    <w:multiLevelType w:val="hybridMultilevel"/>
    <w:lvl w:ilvl="0">
      <w:lvlJc w:val="left"/>
      <w:lvlText w:val="(%1)"/>
      <w:numFmt w:val="decimal"/>
      <w:start w:val="1"/>
    </w:lvl>
  </w:abstractNum>
  <w:abstractNum w:abstractNumId="125">
    <w:nsid w:val="3822CB01"/>
    <w:multiLevelType w:val="hybridMultilevel"/>
    <w:lvl w:ilvl="0">
      <w:lvlJc w:val="left"/>
      <w:lvlText w:val="(%1)"/>
      <w:numFmt w:val="lowerRoman"/>
      <w:start w:val="4"/>
    </w:lvl>
  </w:abstractNum>
  <w:abstractNum w:abstractNumId="126">
    <w:nsid w:val="6CE00443"/>
    <w:multiLevelType w:val="hybridMultilevel"/>
    <w:lvl w:ilvl="0">
      <w:lvlJc w:val="left"/>
      <w:lvlText w:val="(%1)"/>
      <w:numFmt w:val="lowerLetter"/>
      <w:start w:val="3"/>
    </w:lvl>
  </w:abstractNum>
  <w:abstractNum w:abstractNumId="127">
    <w:nsid w:val="79F0D62F"/>
    <w:multiLevelType w:val="hybridMultilevel"/>
    <w:lvl w:ilvl="0">
      <w:lvlJc w:val="left"/>
      <w:lvlText w:val="(%1)"/>
      <w:numFmt w:val="lowerLetter"/>
      <w:start w:val="2"/>
    </w:lvl>
  </w:abstractNum>
  <w:abstractNum w:abstractNumId="128">
    <w:nsid w:val="7975E8EE"/>
    <w:multiLevelType w:val="hybridMultilevel"/>
    <w:lvl w:ilvl="0">
      <w:lvlJc w:val="left"/>
      <w:lvlText w:val="(%1)"/>
      <w:numFmt w:val="lowerLetter"/>
      <w:start w:val="1"/>
    </w:lvl>
  </w:abstractNum>
  <w:abstractNum w:abstractNumId="129">
    <w:nsid w:val="73154115"/>
    <w:multiLevelType w:val="hybridMultilevel"/>
    <w:lvl w:ilvl="0">
      <w:lvlJc w:val="left"/>
      <w:lvlText w:val="(%1)"/>
      <w:numFmt w:val="lowerLetter"/>
      <w:start w:val="2"/>
    </w:lvl>
    <w:lvl w:ilvl="1">
      <w:lvlJc w:val="left"/>
      <w:lvlText w:val="(%2)"/>
      <w:numFmt w:val="lowerRoman"/>
      <w:start w:val="1"/>
    </w:lvl>
  </w:abstractNum>
  <w:abstractNum w:abstractNumId="130">
    <w:nsid w:val="622D8102"/>
    <w:multiLevelType w:val="hybridMultilevel"/>
    <w:lvl w:ilvl="0">
      <w:lvlJc w:val="left"/>
      <w:lvlText w:val="(%1)"/>
      <w:numFmt w:val="lowerRoman"/>
      <w:start w:val="6"/>
    </w:lvl>
  </w:abstractNum>
  <w:abstractNum w:abstractNumId="131">
    <w:nsid w:val="2AB26587"/>
    <w:multiLevelType w:val="hybridMultilevel"/>
    <w:lvl w:ilvl="0">
      <w:lvlJc w:val="left"/>
      <w:lvlText w:val="(%1)"/>
      <w:numFmt w:val="lowerLetter"/>
      <w:start w:val="1"/>
    </w:lvl>
  </w:abstractNum>
  <w:abstractNum w:abstractNumId="132">
    <w:nsid w:val="44B3FA61"/>
    <w:multiLevelType w:val="hybridMultilevel"/>
    <w:lvl w:ilvl="0">
      <w:lvlJc w:val="left"/>
      <w:lvlText w:val="(%1)"/>
      <w:numFmt w:val="lowerLetter"/>
      <w:start w:val="2"/>
    </w:lvl>
  </w:abstractNum>
  <w:abstractNum w:abstractNumId="133">
    <w:nsid w:val="1C0CA67C"/>
    <w:multiLevelType w:val="hybridMultilevel"/>
    <w:lvl w:ilvl="0">
      <w:lvlJc w:val="left"/>
      <w:lvlText w:val="(%1)"/>
      <w:numFmt w:val="lowerLetter"/>
      <w:start w:val="5"/>
    </w:lvl>
  </w:abstractNum>
  <w:abstractNum w:abstractNumId="134">
    <w:nsid w:val="3D206613"/>
    <w:multiLevelType w:val="hybridMultilevel"/>
    <w:lvl w:ilvl="0">
      <w:lvlJc w:val="left"/>
      <w:lvlText w:val="(%1)"/>
      <w:numFmt w:val="lowerLetter"/>
      <w:start w:val="1"/>
    </w:lvl>
  </w:abstractNum>
  <w:abstractNum w:abstractNumId="135">
    <w:nsid w:val="7993B662"/>
    <w:multiLevelType w:val="hybridMultilevel"/>
    <w:lvl w:ilvl="0">
      <w:lvlJc w:val="left"/>
      <w:lvlText w:val="(%1)"/>
      <w:numFmt w:val="lowerLetter"/>
      <w:start w:val="5"/>
    </w:lvl>
  </w:abstractNum>
  <w:abstractNum w:abstractNumId="136">
    <w:nsid w:val="3BAB699E"/>
    <w:multiLevelType w:val="hybridMultilevel"/>
    <w:lvl w:ilvl="0">
      <w:lvlJc w:val="left"/>
      <w:lvlText w:val="%1"/>
      <w:numFmt w:val="decimal"/>
      <w:start w:val="1"/>
    </w:lvl>
    <w:lvl w:ilvl="1">
      <w:lvlJc w:val="left"/>
      <w:lvlText w:val="(%2)"/>
      <w:numFmt w:val="lowerLetter"/>
      <w:start w:val="1"/>
    </w:lvl>
  </w:abstractNum>
  <w:abstractNum w:abstractNumId="137">
    <w:nsid w:val="71315369"/>
    <w:multiLevelType w:val="hybridMultilevel"/>
    <w:lvl w:ilvl="0">
      <w:lvlJc w:val="left"/>
      <w:lvlText w:val="(%1)"/>
      <w:numFmt w:val="decimal"/>
      <w:start w:val="3"/>
    </w:lvl>
    <w:lvl w:ilvl="1">
      <w:lvlJc w:val="left"/>
      <w:lvlText w:val="%2"/>
      <w:numFmt w:val="lowerLetter"/>
      <w:start w:val="1"/>
    </w:lvl>
  </w:abstractNum>
  <w:abstractNum w:abstractNumId="138">
    <w:nsid w:val="7BCFBAFC"/>
    <w:multiLevelType w:val="hybridMultilevel"/>
    <w:lvl w:ilvl="0">
      <w:lvlJc w:val="left"/>
      <w:lvlText w:val="%1"/>
      <w:numFmt w:val="lowerLetter"/>
      <w:start w:val="1"/>
    </w:lvl>
    <w:lvl w:ilvl="1">
      <w:lvlJc w:val="left"/>
      <w:lvlText w:val="(%2)"/>
      <w:numFmt w:val="lowerLetter"/>
      <w:start w:val="2"/>
    </w:lvl>
  </w:abstractNum>
  <w:abstractNum w:abstractNumId="139">
    <w:nsid w:val="17859F72"/>
    <w:multiLevelType w:val="hybridMultilevel"/>
    <w:lvl w:ilvl="0">
      <w:lvlJc w:val="left"/>
      <w:lvlText w:val="(%1)"/>
      <w:numFmt w:val="lowerLetter"/>
      <w:start w:val="26"/>
    </w:lvl>
    <w:lvl w:ilvl="1">
      <w:lvlJc w:val="left"/>
      <w:lvlText w:val="(%2)"/>
      <w:numFmt w:val="lowerLetter"/>
      <w:start w:val="3"/>
    </w:lvl>
  </w:abstractNum>
  <w:abstractNum w:abstractNumId="140">
    <w:nsid w:val="3AA10581"/>
    <w:multiLevelType w:val="hybridMultilevel"/>
    <w:lvl w:ilvl="0">
      <w:lvlJc w:val="left"/>
      <w:lvlText w:val="(%1)"/>
      <w:numFmt w:val="lowerLetter"/>
      <w:start w:val="5"/>
    </w:lvl>
  </w:abstractNum>
  <w:abstractNum w:abstractNumId="141">
    <w:nsid w:val="63DE60CD"/>
    <w:multiLevelType w:val="hybridMultilevel"/>
    <w:lvl w:ilvl="0">
      <w:lvlJc w:val="left"/>
      <w:lvlText w:val="(%1)"/>
      <w:numFmt w:val="lowerLetter"/>
      <w:start w:val="1"/>
    </w:lvl>
  </w:abstractNum>
  <w:abstractNum w:abstractNumId="142">
    <w:nsid w:val="621AF471"/>
    <w:multiLevelType w:val="hybridMultilevel"/>
    <w:lvl w:ilvl="0">
      <w:lvlJc w:val="left"/>
      <w:lvlText w:val="(%1)"/>
      <w:numFmt w:val="lowerLetter"/>
      <w:start w:val="3"/>
    </w:lvl>
  </w:abstractNum>
  <w:abstractNum w:abstractNumId="143">
    <w:nsid w:val="73CFE165"/>
    <w:multiLevelType w:val="hybridMultilevel"/>
    <w:lvl w:ilvl="0">
      <w:lvlJc w:val="left"/>
      <w:lvlText w:val="%1"/>
      <w:numFmt w:val="upperLetter"/>
      <w:start w:val="1"/>
    </w:lvl>
    <w:lvl w:ilvl="1">
      <w:lvlJc w:val="left"/>
      <w:lvlText w:val="(%2)"/>
      <w:numFmt w:val="lowerLetter"/>
      <w:start w:val="1"/>
    </w:lvl>
  </w:abstractNum>
  <w:abstractNum w:abstractNumId="144">
    <w:nsid w:val="20F88EA6"/>
    <w:multiLevelType w:val="hybridMultilevel"/>
    <w:lvl w:ilvl="0">
      <w:lvlJc w:val="left"/>
      <w:lvlText w:val="(%1)"/>
      <w:numFmt w:val="upperLetter"/>
      <w:start w:val="1"/>
    </w:lvl>
    <w:lvl w:ilvl="1">
      <w:lvlJc w:val="left"/>
      <w:lvlText w:val="%2"/>
      <w:numFmt w:val="lowerLetter"/>
      <w:start w:val="1"/>
    </w:lvl>
  </w:abstractNum>
  <w:abstractNum w:abstractNumId="145">
    <w:nsid w:val="617C843E"/>
    <w:multiLevelType w:val="hybridMultilevel"/>
    <w:lvl w:ilvl="0">
      <w:lvlJc w:val="left"/>
      <w:lvlText w:val="(%1)"/>
      <w:numFmt w:val="lowerLetter"/>
      <w:start w:val="1"/>
    </w:lvl>
  </w:abstractNum>
  <w:abstractNum w:abstractNumId="146">
    <w:nsid w:val="7B541FAB"/>
    <w:multiLevelType w:val="hybridMultilevel"/>
    <w:lvl w:ilvl="0">
      <w:lvlJc w:val="left"/>
      <w:lvlText w:val="(%1)"/>
      <w:numFmt w:val="lowerRoman"/>
      <w:start w:val="2"/>
    </w:lvl>
  </w:abstractNum>
  <w:abstractNum w:abstractNumId="147">
    <w:nsid w:val="2A79EC49"/>
    <w:multiLevelType w:val="hybridMultilevel"/>
    <w:lvl w:ilvl="0">
      <w:lvlJc w:val="left"/>
      <w:lvlText w:val="%1"/>
      <w:numFmt w:val="lowerLetter"/>
      <w:start w:val="1"/>
    </w:lvl>
    <w:lvl w:ilvl="1">
      <w:lvlJc w:val="left"/>
      <w:lvlText w:val="(%2)"/>
      <w:numFmt w:val="lowerRoman"/>
      <w:start w:val="8"/>
    </w:lvl>
  </w:abstractNum>
  <w:abstractNum w:abstractNumId="148">
    <w:nsid w:val="338125CF"/>
    <w:multiLevelType w:val="hybridMultilevel"/>
    <w:lvl w:ilvl="0">
      <w:lvlJc w:val="left"/>
      <w:lvlText w:val="(%1)"/>
      <w:numFmt w:val="lowerLetter"/>
      <w:start w:val="2"/>
    </w:lvl>
    <w:lvl w:ilvl="1">
      <w:lvlJc w:val="left"/>
      <w:lvlText w:val="%2"/>
      <w:numFmt w:val="lowerRoman"/>
      <w:start w:val="1"/>
    </w:lvl>
  </w:abstractNum>
  <w:abstractNum w:abstractNumId="149">
    <w:nsid w:val="47C7C971"/>
    <w:multiLevelType w:val="hybridMultilevel"/>
    <w:lvl w:ilvl="0">
      <w:lvlJc w:val="left"/>
      <w:lvlText w:val="(%1)"/>
      <w:numFmt w:val="lowerLetter"/>
      <w:start w:val="1"/>
    </w:lvl>
  </w:abstractNum>
  <w:abstractNum w:abstractNumId="150">
    <w:nsid w:val="46F8284B"/>
    <w:multiLevelType w:val="hybridMultilevel"/>
    <w:lvl w:ilvl="0">
      <w:lvlJc w:val="left"/>
      <w:lvlText w:val="(%1)"/>
      <w:numFmt w:val="lowerLetter"/>
      <w:start w:val="6"/>
    </w:lvl>
  </w:abstractNum>
  <w:abstractNum w:abstractNumId="151">
    <w:nsid w:val="4FA327CE"/>
    <w:multiLevelType w:val="hybridMultilevel"/>
    <w:lvl w:ilvl="0">
      <w:lvlJc w:val="left"/>
      <w:lvlText w:val="(%1)"/>
      <w:numFmt w:val="lowerLetter"/>
      <w:start w:val="1"/>
    </w:lvl>
  </w:abstractNum>
  <w:abstractNum w:abstractNumId="152">
    <w:nsid w:val="1873983A"/>
    <w:multiLevelType w:val="hybridMultilevel"/>
    <w:lvl w:ilvl="0">
      <w:lvlJc w:val="left"/>
      <w:lvlText w:val="(%1)"/>
      <w:numFmt w:val="lowerLetter"/>
      <w:start w:val="1"/>
    </w:lvl>
  </w:abstractNum>
  <w:abstractNum w:abstractNumId="153">
    <w:nsid w:val="3D2DD275"/>
    <w:multiLevelType w:val="hybridMultilevel"/>
    <w:lvl w:ilvl="0">
      <w:lvlJc w:val="left"/>
      <w:lvlText w:val="(%1)"/>
      <w:numFmt w:val="lowerLetter"/>
      <w:start w:val="3"/>
    </w:lvl>
  </w:abstractNum>
  <w:abstractNum w:abstractNumId="154">
    <w:nsid w:val="2E17ECA7"/>
    <w:multiLevelType w:val="hybridMultilevel"/>
    <w:lvl w:ilvl="0">
      <w:lvlJc w:val="left"/>
      <w:lvlText w:val="(%1)"/>
      <w:numFmt w:val="lowerLetter"/>
      <w:start w:val="8"/>
    </w:lvl>
  </w:abstractNum>
  <w:abstractNum w:abstractNumId="155">
    <w:nsid w:val="53B2564F"/>
    <w:multiLevelType w:val="hybridMultilevel"/>
    <w:lvl w:ilvl="0">
      <w:lvlJc w:val="left"/>
      <w:lvlText w:val="(%1)"/>
      <w:numFmt w:val="lowerLetter"/>
      <w:start w:val="1"/>
    </w:lvl>
  </w:abstractNum>
  <w:abstractNum w:abstractNumId="156">
    <w:nsid w:val="75509D76"/>
    <w:multiLevelType w:val="hybridMultilevel"/>
    <w:lvl w:ilvl="0">
      <w:lvlJc w:val="left"/>
      <w:lvlText w:val="(%1)"/>
      <w:numFmt w:val="lowerLetter"/>
      <w:start w:val="2"/>
    </w:lvl>
  </w:abstractNum>
  <w:abstractNum w:abstractNumId="157">
    <w:nsid w:val="1AF7F0EA"/>
    <w:multiLevelType w:val="hybridMultilevel"/>
    <w:lvl w:ilvl="0">
      <w:lvlJc w:val="left"/>
      <w:lvlText w:val="(%1)"/>
      <w:numFmt w:val="lowerLetter"/>
      <w:start w:val="1"/>
    </w:lvl>
  </w:abstractNum>
  <w:abstractNum w:abstractNumId="158">
    <w:nsid w:val="4DA32C7E"/>
    <w:multiLevelType w:val="hybridMultilevel"/>
    <w:lvl w:ilvl="0">
      <w:lvlJc w:val="left"/>
      <w:lvlText w:val="(%1)"/>
      <w:numFmt w:val="lowerLetter"/>
      <w:start w:val="10"/>
    </w:lvl>
  </w:abstractNum>
  <w:abstractNum w:abstractNumId="159">
    <w:nsid w:val="6EC68664"/>
    <w:multiLevelType w:val="hybridMultilevel"/>
    <w:lvl w:ilvl="0">
      <w:lvlJc w:val="left"/>
      <w:lvlText w:val="(%1)"/>
      <w:numFmt w:val="lowerLetter"/>
      <w:start w:val="1"/>
    </w:lvl>
  </w:abstractNum>
  <w:abstractNum w:abstractNumId="160">
    <w:nsid w:val="E0D31FF"/>
    <w:multiLevelType w:val="hybridMultilevel"/>
    <w:lvl w:ilvl="0">
      <w:lvlJc w:val="left"/>
      <w:lvlText w:val="(%1)"/>
      <w:numFmt w:val="lowerLetter"/>
      <w:start w:val="3"/>
    </w:lvl>
  </w:abstractNum>
  <w:abstractNum w:abstractNumId="161">
    <w:nsid w:val="2FD0AD81"/>
    <w:multiLevelType w:val="hybridMultilevel"/>
    <w:lvl w:ilvl="0">
      <w:lvlJc w:val="left"/>
      <w:lvlText w:val="(%1)"/>
      <w:numFmt w:val="upperLetter"/>
      <w:start w:val="1"/>
    </w:lvl>
  </w:abstractNum>
  <w:abstractNum w:abstractNumId="162">
    <w:nsid w:val="1978EBEB"/>
    <w:multiLevelType w:val="hybridMultilevel"/>
    <w:lvl w:ilvl="0">
      <w:lvlJc w:val="left"/>
      <w:lvlText w:val="(%1)"/>
      <w:numFmt w:val="lowerLetter"/>
      <w:start w:val="1"/>
    </w:lvl>
  </w:abstractNum>
  <w:abstractNum w:abstractNumId="163">
    <w:nsid w:val="52C12C61"/>
    <w:multiLevelType w:val="hybridMultilevel"/>
    <w:lvl w:ilvl="0">
      <w:lvlJc w:val="left"/>
      <w:lvlText w:val="(%1)"/>
      <w:numFmt w:val="lowerLetter"/>
      <w:start w:val="2"/>
    </w:lvl>
  </w:abstractNum>
  <w:abstractNum w:abstractNumId="164">
    <w:nsid w:val="4BDD53FD"/>
    <w:multiLevelType w:val="hybridMultilevel"/>
    <w:lvl w:ilvl="0">
      <w:lvlJc w:val="left"/>
      <w:lvlText w:val="%1"/>
      <w:numFmt w:val="lowerRoman"/>
      <w:start w:val="1"/>
    </w:lvl>
    <w:lvl w:ilvl="1">
      <w:lvlJc w:val="left"/>
      <w:lvlText w:val="(%2)"/>
      <w:numFmt w:val="lowerLetter"/>
      <w:start w:val="1"/>
    </w:lvl>
  </w:abstractNum>
  <w:abstractNum w:abstractNumId="165">
    <w:nsid w:val="569951FE"/>
    <w:multiLevelType w:val="hybridMultilevel"/>
    <w:lvl w:ilvl="0">
      <w:lvlJc w:val="left"/>
      <w:lvlText w:val="(%1)"/>
      <w:numFmt w:val="lowerRoman"/>
      <w:start w:val="2"/>
    </w:lvl>
    <w:lvl w:ilvl="1">
      <w:lvlJc w:val="left"/>
      <w:lvlText w:val="(%2)"/>
      <w:numFmt w:val="lowerLetter"/>
      <w:start w:val="2"/>
    </w:lvl>
  </w:abstractNum>
  <w:abstractNum w:abstractNumId="166">
    <w:nsid w:val="4C54E2C3"/>
    <w:multiLevelType w:val="hybridMultilevel"/>
    <w:lvl w:ilvl="0">
      <w:lvlJc w:val="left"/>
      <w:lvlText w:val="(%1)"/>
      <w:numFmt w:val="lowerLetter"/>
      <w:start w:val="3"/>
    </w:lvl>
  </w:abstractNum>
  <w:abstractNum w:abstractNumId="167">
    <w:nsid w:val="788BD9B"/>
    <w:multiLevelType w:val="hybridMultilevel"/>
    <w:lvl w:ilvl="0">
      <w:lvlJc w:val="left"/>
      <w:lvlText w:val="(%1)"/>
      <w:numFmt w:val="lowerLetter"/>
      <w:start w:val="1"/>
    </w:lvl>
  </w:abstractNum>
  <w:abstractNum w:abstractNumId="168">
    <w:nsid w:val="47CAA567"/>
    <w:multiLevelType w:val="hybridMultilevel"/>
    <w:lvl w:ilvl="0">
      <w:lvlJc w:val="left"/>
      <w:lvlText w:val="(%1)"/>
      <w:numFmt w:val="lowerLetter"/>
      <w:start w:val="4"/>
    </w:lvl>
  </w:abstractNum>
  <w:abstractNum w:abstractNumId="169">
    <w:nsid w:val="48249DBF"/>
    <w:multiLevelType w:val="hybridMultilevel"/>
    <w:lvl w:ilvl="0">
      <w:lvlJc w:val="left"/>
      <w:lvlText w:val="(%1)"/>
      <w:numFmt w:val="lowerLetter"/>
      <w:start w:val="1"/>
    </w:lvl>
  </w:abstractNum>
  <w:abstractNum w:abstractNumId="170">
    <w:nsid w:val="1F0E5D0D"/>
    <w:multiLevelType w:val="hybridMultilevel"/>
    <w:lvl w:ilvl="0">
      <w:lvlJc w:val="left"/>
      <w:lvlText w:val="(%1)"/>
      <w:numFmt w:val="lowerLetter"/>
      <w:start w:val="4"/>
    </w:lvl>
  </w:abstractNum>
  <w:abstractNum w:abstractNumId="171">
    <w:nsid w:val="26BAAE9"/>
    <w:multiLevelType w:val="hybridMultilevel"/>
    <w:lvl w:ilvl="0">
      <w:lvlJc w:val="left"/>
      <w:lvlText w:val="%1"/>
      <w:numFmt w:val="upperLetter"/>
      <w:start w:val="1"/>
    </w:lvl>
    <w:lvl w:ilvl="1">
      <w:lvlJc w:val="left"/>
      <w:lvlText w:val="(%2)"/>
      <w:numFmt w:val="lowerLetter"/>
      <w:start w:val="1"/>
    </w:lvl>
  </w:abstractNum>
  <w:abstractNum w:abstractNumId="172">
    <w:nsid w:val="2C02FE8C"/>
    <w:multiLevelType w:val="hybridMultilevel"/>
    <w:lvl w:ilvl="0">
      <w:lvlJc w:val="left"/>
      <w:lvlText w:val="(%1)"/>
      <w:numFmt w:val="upperLetter"/>
      <w:start w:val="2"/>
    </w:lvl>
    <w:lvl w:ilvl="1">
      <w:lvlJc w:val="left"/>
      <w:lvlText w:val="(%2)"/>
      <w:numFmt w:val="lowerLetter"/>
      <w:start w:val="2"/>
    </w:lvl>
  </w:abstractNum>
  <w:abstractNum w:abstractNumId="173">
    <w:nsid w:val="129517E"/>
    <w:multiLevelType w:val="hybridMultilevel"/>
    <w:lvl w:ilvl="0">
      <w:lvlJc w:val="left"/>
      <w:lvlText w:val="(%1)"/>
      <w:numFmt w:val="lowerLetter"/>
      <w:start w:val="1"/>
    </w:lvl>
  </w:abstractNum>
  <w:abstractNum w:abstractNumId="174">
    <w:nsid w:val="763B8C4E"/>
    <w:multiLevelType w:val="hybridMultilevel"/>
    <w:lvl w:ilvl="0">
      <w:lvlJc w:val="left"/>
      <w:lvlText w:val="(%1)"/>
      <w:numFmt w:val="lowerLetter"/>
      <w:start w:val="4"/>
    </w:lvl>
  </w:abstractNum>
  <w:abstractNum w:abstractNumId="175">
    <w:nsid w:val="4CFB8D32"/>
    <w:multiLevelType w:val="hybridMultilevel"/>
    <w:lvl w:ilvl="0">
      <w:lvlJc w:val="left"/>
      <w:lvlText w:val="(%1)"/>
      <w:numFmt w:val="lowerLetter"/>
      <w:start w:val="1"/>
    </w:lvl>
  </w:abstractNum>
  <w:abstractNum w:abstractNumId="176">
    <w:nsid w:val="62A5D5BD"/>
    <w:multiLevelType w:val="hybridMultilevel"/>
    <w:lvl w:ilvl="0">
      <w:lvlJc w:val="left"/>
      <w:lvlText w:val="(%1)"/>
      <w:numFmt w:val="lowerLetter"/>
      <w:start w:val="2"/>
    </w:lvl>
  </w:abstractNum>
  <w:abstractNum w:abstractNumId="177">
    <w:nsid w:val="718FABF9"/>
    <w:multiLevelType w:val="hybridMultilevel"/>
    <w:lvl w:ilvl="0">
      <w:lvlJc w:val="left"/>
      <w:lvlText w:val="(%1)"/>
      <w:numFmt w:val="lowerLetter"/>
      <w:start w:val="1"/>
    </w:lvl>
  </w:abstractNum>
  <w:abstractNum w:abstractNumId="178">
    <w:nsid w:val="7775797C"/>
    <w:multiLevelType w:val="hybridMultilevel"/>
    <w:lvl w:ilvl="0">
      <w:lvlJc w:val="left"/>
      <w:lvlText w:val="(%1)"/>
      <w:numFmt w:val="lowerLetter"/>
      <w:start w:val="4"/>
    </w:lvl>
  </w:abstractNum>
  <w:abstractNum w:abstractNumId="179">
    <w:nsid w:val="1626FB8C"/>
    <w:multiLevelType w:val="hybridMultilevel"/>
    <w:lvl w:ilvl="0">
      <w:lvlJc w:val="left"/>
      <w:lvlText w:val="(%1)"/>
      <w:numFmt w:val="lowerLetter"/>
      <w:start w:val="1"/>
    </w:lvl>
  </w:abstractNum>
  <w:abstractNum w:abstractNumId="180">
    <w:nsid w:val="3957756A"/>
    <w:multiLevelType w:val="hybridMultilevel"/>
    <w:lvl w:ilvl="0">
      <w:lvlJc w:val="left"/>
      <w:lvlText w:val="(%1)"/>
      <w:numFmt w:val="lowerLetter"/>
      <w:start w:val="6"/>
    </w:lvl>
  </w:abstractNum>
  <w:abstractNum w:abstractNumId="181">
    <w:nsid w:val="3E6DA1C7"/>
    <w:multiLevelType w:val="hybridMultilevel"/>
    <w:lvl w:ilvl="0">
      <w:lvlJc w:val="left"/>
      <w:lvlText w:val="(%1)"/>
      <w:numFmt w:val="lowerLetter"/>
      <w:start w:val="1"/>
    </w:lvl>
  </w:abstractNum>
  <w:abstractNum w:abstractNumId="182">
    <w:nsid w:val="65CA235B"/>
    <w:multiLevelType w:val="hybridMultilevel"/>
    <w:lvl w:ilvl="0">
      <w:lvlJc w:val="left"/>
      <w:lvlText w:val="%1"/>
      <w:numFmt w:val="lowerLetter"/>
      <w:start w:val="1"/>
    </w:lvl>
    <w:lvl w:ilvl="1">
      <w:lvlJc w:val="left"/>
      <w:lvlText w:val="(%2)"/>
      <w:numFmt w:val="lowerLetter"/>
      <w:start w:val="1"/>
    </w:lvl>
  </w:abstractNum>
  <w:abstractNum w:abstractNumId="183">
    <w:nsid w:val="51CB0DA4"/>
    <w:multiLevelType w:val="hybridMultilevel"/>
    <w:lvl w:ilvl="0">
      <w:lvlJc w:val="left"/>
      <w:lvlText w:val="(%1)"/>
      <w:numFmt w:val="lowerLetter"/>
      <w:start w:val="9"/>
    </w:lvl>
    <w:lvl w:ilvl="1">
      <w:lvlJc w:val="left"/>
      <w:lvlText w:val="(%2)"/>
      <w:numFmt w:val="lowerLetter"/>
      <w:start w:val="2"/>
    </w:lvl>
  </w:abstractNum>
  <w:abstractNum w:abstractNumId="184">
    <w:nsid w:val="7B9B743C"/>
    <w:multiLevelType w:val="hybridMultilevel"/>
    <w:lvl w:ilvl="0">
      <w:lvlJc w:val="left"/>
      <w:lvlText w:val="(%1)"/>
      <w:numFmt w:val="lowerRoman"/>
      <w:start w:val="1"/>
    </w:lvl>
  </w:abstractNum>
  <w:abstractNum w:abstractNumId="185">
    <w:nsid w:val="13E21002"/>
    <w:multiLevelType w:val="hybridMultilevel"/>
    <w:lvl w:ilvl="0">
      <w:lvlJc w:val="left"/>
      <w:lvlText w:val="%1"/>
      <w:numFmt w:val="decimal"/>
      <w:start w:val="1"/>
    </w:lvl>
    <w:lvl w:ilvl="1">
      <w:lvlJc w:val="left"/>
      <w:lvlText w:val="(%2)"/>
      <w:numFmt w:val="lowerRoman"/>
      <w:start w:val="6"/>
    </w:lvl>
  </w:abstractNum>
  <w:abstractNum w:abstractNumId="186">
    <w:nsid w:val="257D63F4"/>
    <w:multiLevelType w:val="hybridMultilevel"/>
    <w:lvl w:ilvl="0">
      <w:lvlJc w:val="left"/>
      <w:lvlText w:val="(%1)"/>
      <w:numFmt w:val="decimal"/>
      <w:start w:val="1"/>
    </w:lvl>
    <w:lvl w:ilvl="1">
      <w:lvlJc w:val="left"/>
      <w:lvlText w:val="%2"/>
      <w:numFmt w:val="lowerRoman"/>
      <w:start w:val="1"/>
    </w:lvl>
  </w:abstractNum>
  <w:abstractNum w:abstractNumId="187">
    <w:nsid w:val="70EC11B2"/>
    <w:multiLevelType w:val="hybridMultilevel"/>
    <w:lvl w:ilvl="0">
      <w:lvlJc w:val="left"/>
      <w:lvlText w:val="(%1)"/>
      <w:numFmt w:val="decimal"/>
      <w:start w:val="5"/>
    </w:lvl>
    <w:lvl w:ilvl="1">
      <w:lvlJc w:val="left"/>
      <w:lvlText w:val="(%2)"/>
      <w:numFmt w:val="lowerRoman"/>
      <w:start w:val="7"/>
    </w:lvl>
  </w:abstractNum>
  <w:abstractNum w:abstractNumId="188">
    <w:nsid w:val="2EDA00E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1"/>
    </w:lvl>
  </w:abstractNum>
  <w:abstractNum w:abstractNumId="189">
    <w:nsid w:val="73209072"/>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3"/>
    </w:lvl>
  </w:abstractNum>
  <w:abstractNum w:abstractNumId="190">
    <w:nsid w:val="5FB29816"/>
    <w:multiLevelType w:val="hybridMultilevel"/>
    <w:lvl w:ilvl="0">
      <w:lvlJc w:val="left"/>
      <w:lvlText w:val="(%1)"/>
      <w:numFmt w:val="lowerLetter"/>
      <w:start w:val="4"/>
    </w:lvl>
  </w:abstractNum>
  <w:abstractNum w:abstractNumId="191">
    <w:nsid w:val="3CE732EC"/>
    <w:multiLevelType w:val="hybridMultilevel"/>
    <w:lvl w:ilvl="0">
      <w:lvlJc w:val="left"/>
      <w:lvlText w:val="(%1)"/>
      <w:numFmt w:val="lowerLetter"/>
      <w:start w:val="1"/>
    </w:lvl>
  </w:abstractNum>
  <w:abstractNum w:abstractNumId="192">
    <w:nsid w:val="22F13DF3"/>
    <w:multiLevelType w:val="hybridMultilevel"/>
    <w:lvl w:ilvl="0">
      <w:lvlJc w:val="left"/>
      <w:lvlText w:val="%1"/>
      <w:numFmt w:val="lowerRoman"/>
      <w:start w:val="1"/>
    </w:lvl>
    <w:lvl w:ilvl="1">
      <w:lvlJc w:val="left"/>
      <w:lvlText w:val="(%2)"/>
      <w:numFmt w:val="lowerLetter"/>
      <w:start w:val="3"/>
    </w:lvl>
  </w:abstractNum>
  <w:abstractNum w:abstractNumId="193">
    <w:nsid w:val="792B8401"/>
    <w:multiLevelType w:val="hybridMultilevel"/>
    <w:lvl w:ilvl="0">
      <w:lvlJc w:val="left"/>
      <w:lvlText w:val="(%1)"/>
      <w:numFmt w:val="lowerRoman"/>
      <w:start w:val="2"/>
    </w:lvl>
    <w:lvl w:ilvl="1">
      <w:lvlJc w:val="left"/>
      <w:lvlText w:val="%2"/>
      <w:numFmt w:val="lowerLetter"/>
      <w:start w:val="1"/>
    </w:lvl>
  </w:abstractNum>
  <w:abstractNum w:abstractNumId="194">
    <w:nsid w:val="FA85F4D"/>
    <w:multiLevelType w:val="hybridMultilevel"/>
    <w:lvl w:ilvl="0">
      <w:lvlJc w:val="left"/>
      <w:lvlText w:val="(%1)"/>
      <w:numFmt w:val="lowerLetter"/>
      <w:start w:val="1"/>
    </w:lvl>
  </w:abstractNum>
  <w:abstractNum w:abstractNumId="195">
    <w:nsid w:val="6ECE91F0"/>
    <w:multiLevelType w:val="hybridMultilevel"/>
    <w:lvl w:ilvl="0">
      <w:lvlJc w:val="left"/>
      <w:lvlText w:val="%1"/>
      <w:numFmt w:val="lowerLetter"/>
      <w:start w:val="1"/>
    </w:lvl>
    <w:lvl w:ilvl="1">
      <w:lvlJc w:val="left"/>
      <w:lvlText w:val="(%2)"/>
      <w:numFmt w:val="lowerLetter"/>
      <w:start w:val="2"/>
    </w:lvl>
  </w:abstractNum>
  <w:abstractNum w:abstractNumId="196">
    <w:nsid w:val="4FC4D600"/>
    <w:multiLevelType w:val="hybridMultilevel"/>
    <w:lvl w:ilvl="0">
      <w:lvlJc w:val="left"/>
      <w:lvlText w:val="(%1)"/>
      <w:numFmt w:val="lowerLetter"/>
      <w:start w:val="24"/>
    </w:lvl>
    <w:lvl w:ilvl="1">
      <w:lvlJc w:val="left"/>
      <w:lvlText w:val="(%2)"/>
      <w:numFmt w:val="lowerLetter"/>
      <w:start w:val="3"/>
    </w:lvl>
  </w:abstractNum>
  <w:abstractNum w:abstractNumId="197">
    <w:nsid w:val="5BFD4210"/>
    <w:multiLevelType w:val="hybridMultilevel"/>
    <w:lvl w:ilvl="0">
      <w:lvlJc w:val="left"/>
      <w:lvlText w:val="(%1)"/>
      <w:numFmt w:val="lowerLetter"/>
      <w:start w:val="4"/>
    </w:lvl>
  </w:abstractNum>
  <w:abstractNum w:abstractNumId="198">
    <w:nsid w:val="76574F8B"/>
    <w:multiLevelType w:val="hybridMultilevel"/>
    <w:lvl w:ilvl="0">
      <w:lvlJc w:val="left"/>
      <w:lvlText w:val="(%1)"/>
      <w:numFmt w:val="lowerLetter"/>
      <w:start w:val="1"/>
    </w:lvl>
  </w:abstractNum>
  <w:abstractNum w:abstractNumId="199">
    <w:nsid w:val="178F7B67"/>
    <w:multiLevelType w:val="hybridMultilevel"/>
    <w:lvl w:ilvl="0">
      <w:lvlJc w:val="left"/>
      <w:lvlText w:val="%1"/>
      <w:numFmt w:val="decimal"/>
      <w:start w:val="1"/>
    </w:lvl>
    <w:lvl w:ilvl="1">
      <w:lvlJc w:val="left"/>
      <w:lvlText w:val="(%2)"/>
      <w:numFmt w:val="lowerLetter"/>
      <w:start w:val="2"/>
    </w:lvl>
  </w:abstractNum>
  <w:abstractNum w:abstractNumId="200">
    <w:nsid w:val="2421DFCF"/>
    <w:multiLevelType w:val="hybridMultilevel"/>
    <w:lvl w:ilvl="0">
      <w:lvlJc w:val="left"/>
      <w:lvlText w:val="(%1)"/>
      <w:numFmt w:val="decimal"/>
      <w:start w:val="4"/>
    </w:lvl>
    <w:lvl w:ilvl="1">
      <w:lvlJc w:val="left"/>
      <w:lvlText w:val="%2"/>
      <w:numFmt w:val="lowerLetter"/>
      <w:start w:val="1"/>
    </w:lvl>
  </w:abstractNum>
  <w:abstractNum w:abstractNumId="201">
    <w:nsid w:val="1565AC99"/>
    <w:multiLevelType w:val="hybridMultilevel"/>
    <w:lvl w:ilvl="0">
      <w:lvlJc w:val="left"/>
      <w:lvlText w:val="(%1)"/>
      <w:numFmt w:val="lowerLetter"/>
      <w:start w:val="1"/>
    </w:lvl>
    <w:lvl w:ilvl="1">
      <w:lvlJc w:val="left"/>
      <w:lvlText w:val="(%2)"/>
      <w:numFmt w:val="lowerLetter"/>
      <w:start w:val="9"/>
    </w:lvl>
  </w:abstractNum>
  <w:abstractNum w:abstractNumId="202">
    <w:nsid w:val="19FB2650"/>
    <w:multiLevelType w:val="hybridMultilevel"/>
    <w:lvl w:ilvl="0">
      <w:lvlJc w:val="left"/>
      <w:lvlText w:val="%1"/>
      <w:numFmt w:val="lowerLetter"/>
      <w:start w:val="1"/>
    </w:lvl>
    <w:lvl w:ilvl="1">
      <w:lvlJc w:val="left"/>
      <w:lvlText w:val="(%2)"/>
      <w:numFmt w:val="lowerRoman"/>
      <w:start w:val="2"/>
    </w:lvl>
  </w:abstractNum>
  <w:abstractNum w:abstractNumId="203">
    <w:nsid w:val="5024DE5B"/>
    <w:multiLevelType w:val="hybridMultilevel"/>
    <w:lvl w:ilvl="0">
      <w:lvlJc w:val="left"/>
      <w:lvlText w:val="(%1)"/>
      <w:numFmt w:val="lowerLetter"/>
      <w:start w:val="2"/>
    </w:lvl>
    <w:lvl w:ilvl="1">
      <w:lvlJc w:val="left"/>
      <w:lvlText w:val="%2"/>
      <w:numFmt w:val="lowerRoman"/>
      <w:start w:val="1"/>
    </w:lvl>
  </w:abstractNum>
  <w:abstractNum w:abstractNumId="204">
    <w:nsid w:val="168EFE17"/>
    <w:multiLevelType w:val="hybridMultilevel"/>
    <w:lvl w:ilvl="0">
      <w:lvlJc w:val="left"/>
      <w:lvlText w:val="(%1)"/>
      <w:numFmt w:val="lowerLetter"/>
      <w:start w:val="3"/>
    </w:lvl>
  </w:abstractNum>
  <w:abstractNum w:abstractNumId="205">
    <w:nsid w:val="1036B29F"/>
    <w:multiLevelType w:val="hybridMultilevel"/>
    <w:lvl w:ilvl="0">
      <w:lvlJc w:val="left"/>
      <w:lvlText w:val="(%1)"/>
      <w:numFmt w:val="lowerLetter"/>
      <w:start w:val="1"/>
    </w:lvl>
  </w:abstractNum>
  <w:abstractNum w:abstractNumId="206">
    <w:nsid w:val="1D206B8E"/>
    <w:multiLevelType w:val="hybridMultilevel"/>
    <w:lvl w:ilvl="0">
      <w:lvlJc w:val="left"/>
      <w:lvlText w:val="(%1)"/>
      <w:numFmt w:val="lowerLetter"/>
      <w:start w:val="3"/>
    </w:lvl>
  </w:abstractNum>
  <w:abstractNum w:abstractNumId="207">
    <w:nsid w:val="7934D3D4"/>
    <w:multiLevelType w:val="hybridMultilevel"/>
    <w:lvl w:ilvl="0">
      <w:lvlJc w:val="left"/>
      <w:lvlText w:val="(%1)"/>
      <w:numFmt w:val="decimal"/>
      <w:start w:val="5"/>
    </w:lvl>
  </w:abstractNum>
  <w:abstractNum w:abstractNumId="208">
    <w:nsid w:val="1C65E98"/>
    <w:multiLevelType w:val="hybridMultilevel"/>
    <w:lvl w:ilvl="0">
      <w:lvlJc w:val="left"/>
      <w:lvlText w:val="%1"/>
      <w:numFmt w:val="lowerLetter"/>
      <w:start w:val="1"/>
    </w:lvl>
    <w:lvl w:ilvl="1">
      <w:lvlJc w:val="left"/>
      <w:lvlText w:val="(%2)"/>
      <w:numFmt w:val="lowerLetter"/>
      <w:start w:val="1"/>
    </w:lvl>
  </w:abstractNum>
  <w:abstractNum w:abstractNumId="209">
    <w:nsid w:val="1495E50A"/>
    <w:multiLevelType w:val="hybridMultilevel"/>
    <w:lvl w:ilvl="0">
      <w:lvlJc w:val="left"/>
      <w:lvlText w:val="(%1)"/>
      <w:numFmt w:val="lowerLetter"/>
      <w:start w:val="35"/>
    </w:lvl>
    <w:lvl w:ilvl="1">
      <w:lvlJc w:val="left"/>
      <w:lvlText w:val="(%2)"/>
      <w:numFmt w:val="lowerLetter"/>
      <w:start w:val="7"/>
    </w:lvl>
  </w:abstractNum>
  <w:abstractNum w:abstractNumId="210">
    <w:nsid w:val="F5BCF61"/>
    <w:multiLevelType w:val="hybridMultilevel"/>
    <w:lvl w:ilvl="0">
      <w:lvlJc w:val="left"/>
      <w:lvlText w:val="(%1)"/>
      <w:numFmt w:val="lowerLetter"/>
      <w:start w:val="10"/>
    </w:lvl>
  </w:abstractNum>
  <w:abstractNum w:abstractNumId="211">
    <w:nsid w:val="3B1DD403"/>
    <w:multiLevelType w:val="hybridMultilevel"/>
    <w:lvl w:ilvl="0">
      <w:lvlJc w:val="left"/>
      <w:lvlText w:val="(%1)"/>
      <w:numFmt w:val="lowerLetter"/>
      <w:start w:val="18"/>
    </w:lvl>
  </w:abstractNum>
  <w:abstractNum w:abstractNumId="212">
    <w:nsid w:val="530386D1"/>
    <w:multiLevelType w:val="hybridMultilevel"/>
    <w:lvl w:ilvl="0">
      <w:lvlJc w:val="left"/>
      <w:lvlText w:val="(%1)"/>
      <w:numFmt w:val="lowerLetter"/>
      <w:start w:val="1"/>
    </w:lvl>
  </w:abstractNum>
  <w:abstractNum w:abstractNumId="213">
    <w:nsid w:val="7525F2BC"/>
    <w:multiLevelType w:val="hybridMultilevel"/>
    <w:lvl w:ilvl="0">
      <w:lvlJc w:val="left"/>
      <w:lvlText w:val="(%1)"/>
      <w:numFmt w:val="lowerLetter"/>
      <w:start w:val="1"/>
    </w:lvl>
  </w:abstractNum>
  <w:abstractNum w:abstractNumId="214">
    <w:nsid w:val="CE8E1A7"/>
    <w:multiLevelType w:val="hybridMultilevel"/>
    <w:lvl w:ilvl="0">
      <w:lvlJc w:val="left"/>
      <w:lvlText w:val="(%1)"/>
      <w:numFmt w:val="lowerLetter"/>
      <w:start w:val="4"/>
    </w:lvl>
  </w:abstractNum>
  <w:abstractNum w:abstractNumId="215">
    <w:nsid w:val="4E9EFB0D"/>
    <w:multiLevelType w:val="hybridMultilevel"/>
    <w:lvl w:ilvl="0">
      <w:lvlJc w:val="left"/>
      <w:lvlText w:val="(%1)"/>
      <w:numFmt w:val="lowerLetter"/>
      <w:start w:val="1"/>
    </w:lvl>
  </w:abstractNum>
  <w:abstractNum w:abstractNumId="216">
    <w:nsid w:val="90802BE"/>
    <w:multiLevelType w:val="hybridMultilevel"/>
    <w:lvl w:ilvl="0">
      <w:lvlJc w:val="left"/>
      <w:lvlText w:val="(%1)"/>
      <w:numFmt w:val="lowerLetter"/>
      <w:start w:val="2"/>
    </w:lvl>
  </w:abstractNum>
  <w:abstractNum w:abstractNumId="217">
    <w:nsid w:val="3266459B"/>
    <w:multiLevelType w:val="hybridMultilevel"/>
    <w:lvl w:ilvl="0">
      <w:lvlJc w:val="left"/>
      <w:lvlText w:val="(%1)"/>
      <w:numFmt w:val="lowerLetter"/>
      <w:start w:val="1"/>
    </w:lvl>
  </w:abstractNum>
  <w:abstractNum w:abstractNumId="218">
    <w:nsid w:val="3F8B0CBF"/>
    <w:multiLevelType w:val="hybridMultilevel"/>
    <w:lvl w:ilvl="0">
      <w:lvlJc w:val="left"/>
      <w:lvlText w:val="(%1)"/>
      <w:numFmt w:val="lowerLetter"/>
      <w:start w:val="2"/>
    </w:lvl>
  </w:abstractNum>
  <w:abstractNum w:abstractNumId="219">
    <w:nsid w:val="37E203AB"/>
    <w:multiLevelType w:val="hybridMultilevel"/>
    <w:lvl w:ilvl="0">
      <w:lvlJc w:val="left"/>
      <w:lvlText w:val="%1"/>
      <w:numFmt w:val="lowerLetter"/>
      <w:start w:val="1"/>
    </w:lvl>
    <w:lvl w:ilvl="1">
      <w:lvlJc w:val="left"/>
      <w:lvlText w:val="(%2)"/>
      <w:numFmt w:val="lowerLetter"/>
      <w:start w:val="1"/>
    </w:lvl>
  </w:abstractNum>
  <w:abstractNum w:abstractNumId="220">
    <w:nsid w:val="2586D60E"/>
    <w:multiLevelType w:val="hybridMultilevel"/>
    <w:lvl w:ilvl="0">
      <w:lvlJc w:val="left"/>
      <w:lvlText w:val="(%1)"/>
      <w:numFmt w:val="lowerLetter"/>
      <w:start w:val="9"/>
    </w:lvl>
    <w:lvl w:ilvl="1">
      <w:lvlJc w:val="left"/>
      <w:lvlText w:val="%2"/>
      <w:numFmt w:val="lowerLetter"/>
      <w:start w:val="1"/>
    </w:lvl>
  </w:abstractNum>
  <w:abstractNum w:abstractNumId="221">
    <w:nsid w:val="1F3DA4D5"/>
    <w:multiLevelType w:val="hybridMultilevel"/>
    <w:lvl w:ilvl="0">
      <w:lvlJc w:val="left"/>
      <w:lvlText w:val="(%1)"/>
      <w:numFmt w:val="lowerLetter"/>
      <w:start w:val="1"/>
    </w:lvl>
  </w:abstractNum>
  <w:abstractNum w:abstractNumId="222">
    <w:nsid w:val="74C93698"/>
    <w:multiLevelType w:val="hybridMultilevel"/>
    <w:lvl w:ilvl="0">
      <w:lvlJc w:val="left"/>
      <w:lvlText w:val="(%1)"/>
      <w:numFmt w:val="lowerLetter"/>
      <w:start w:val="3"/>
    </w:lvl>
  </w:abstractNum>
  <w:abstractNum w:abstractNumId="223">
    <w:nsid w:val="48781401"/>
    <w:multiLevelType w:val="hybridMultilevel"/>
    <w:lvl w:ilvl="0">
      <w:lvlJc w:val="left"/>
      <w:lvlText w:val="(%1)"/>
      <w:numFmt w:val="lowerLetter"/>
      <w:start w:val="1"/>
    </w:lvl>
  </w:abstractNum>
  <w:abstractNum w:abstractNumId="224">
    <w:nsid w:val="186928D6"/>
    <w:multiLevelType w:val="hybridMultilevel"/>
    <w:lvl w:ilvl="0">
      <w:lvlJc w:val="left"/>
      <w:lvlText w:val="(%1)"/>
      <w:numFmt w:val="lowerLetter"/>
      <w:start w:val="5"/>
    </w:lvl>
  </w:abstractNum>
  <w:abstractNum w:abstractNumId="225">
    <w:nsid w:val="47195E5"/>
    <w:multiLevelType w:val="hybridMultilevel"/>
    <w:lvl w:ilvl="0">
      <w:lvlJc w:val="left"/>
      <w:lvlText w:val="(%1)"/>
      <w:numFmt w:val="lowerLetter"/>
      <w:start w:val="1"/>
    </w:lvl>
  </w:abstractNum>
  <w:abstractNum w:abstractNumId="226">
    <w:nsid w:val="3746A5F2"/>
    <w:multiLevelType w:val="hybridMultilevel"/>
    <w:lvl w:ilvl="0">
      <w:lvlJc w:val="left"/>
      <w:lvlText w:val="(%1)"/>
      <w:numFmt w:val="lowerLetter"/>
      <w:start w:val="3"/>
    </w:lvl>
  </w:abstractNum>
  <w:abstractNum w:abstractNumId="227">
    <w:nsid w:val="682DFED6"/>
    <w:multiLevelType w:val="hybridMultilevel"/>
    <w:lvl w:ilvl="0">
      <w:lvlJc w:val="left"/>
      <w:lvlText w:val="(%1)"/>
      <w:numFmt w:val="lowerLetter"/>
      <w:start w:val="1"/>
    </w:lvl>
  </w:abstractNum>
  <w:abstractNum w:abstractNumId="228">
    <w:nsid w:val="606ED7F6"/>
    <w:multiLevelType w:val="hybridMultilevel"/>
    <w:lvl w:ilvl="0">
      <w:lvlJc w:val="left"/>
      <w:lvlText w:val="(%1)"/>
      <w:numFmt w:val="lowerLetter"/>
      <w:start w:val="4"/>
    </w:lvl>
  </w:abstractNum>
  <w:abstractNum w:abstractNumId="229">
    <w:nsid w:val="2D9DF57D"/>
    <w:multiLevelType w:val="hybridMultilevel"/>
    <w:lvl w:ilvl="0">
      <w:lvlJc w:val="left"/>
      <w:lvlText w:val="(%1)"/>
      <w:numFmt w:val="lowerRoman"/>
      <w:start w:val="1"/>
    </w:lvl>
  </w:abstractNum>
  <w:abstractNum w:abstractNumId="230">
    <w:nsid w:val="7FBD7A3E"/>
    <w:multiLevelType w:val="hybridMultilevel"/>
    <w:lvl w:ilvl="0">
      <w:lvlJc w:val="left"/>
      <w:lvlText w:val="(%1)"/>
      <w:numFmt w:val="lowerLetter"/>
      <w:start w:val="1"/>
    </w:lvl>
  </w:abstractNum>
  <w:abstractNum w:abstractNumId="231">
    <w:nsid w:val="490B7C5"/>
    <w:multiLevelType w:val="hybridMultilevel"/>
    <w:lvl w:ilvl="0">
      <w:lvlJc w:val="left"/>
      <w:lvlText w:val="(%1)"/>
      <w:numFmt w:val="lowerLetter"/>
      <w:start w:val="4"/>
    </w:lvl>
  </w:abstractNum>
  <w:abstractNum w:abstractNumId="232">
    <w:nsid w:val="4303A216"/>
    <w:multiLevelType w:val="hybridMultilevel"/>
    <w:lvl w:ilvl="0">
      <w:lvlJc w:val="left"/>
      <w:lvlText w:val="(%1)"/>
      <w:numFmt w:val="lowerRoman"/>
      <w:start w:val="2"/>
    </w:lvl>
  </w:abstractNum>
  <w:abstractNum w:abstractNumId="233">
    <w:nsid w:val="19B8A08E"/>
    <w:multiLevelType w:val="hybridMultilevel"/>
    <w:lvl w:ilvl="0">
      <w:lvlJc w:val="left"/>
      <w:lvlText w:val="(%1)"/>
      <w:numFmt w:val="lowerLetter"/>
      <w:start w:val="8"/>
    </w:lvl>
  </w:abstractNum>
  <w:abstractNum w:abstractNumId="234">
    <w:nsid w:val="54B59621"/>
    <w:multiLevelType w:val="hybridMultilevel"/>
    <w:lvl w:ilvl="0">
      <w:lvlJc w:val="left"/>
      <w:lvlText w:val="(%1)"/>
      <w:numFmt w:val="lowerLetter"/>
      <w:start w:val="17"/>
    </w:lvl>
  </w:abstractNum>
  <w:abstractNum w:abstractNumId="235">
    <w:nsid w:val="5992A02E"/>
    <w:multiLevelType w:val="hybridMultilevel"/>
    <w:lvl w:ilvl="0">
      <w:lvlJc w:val="left"/>
      <w:lvlText w:val="(%1)"/>
      <w:numFmt w:val="lowerRoman"/>
      <w:start w:val="3"/>
    </w:lvl>
  </w:abstractNum>
  <w:abstractNum w:abstractNumId="236">
    <w:nsid w:val="29EF532D"/>
    <w:multiLevelType w:val="hybridMultilevel"/>
    <w:lvl w:ilvl="0">
      <w:lvlJc w:val="left"/>
      <w:lvlText w:val="(%1)"/>
      <w:numFmt w:val="lowerLetter"/>
      <w:start w:val="1"/>
    </w:lvl>
  </w:abstractNum>
  <w:abstractNum w:abstractNumId="237">
    <w:nsid w:val="71D601AF"/>
    <w:multiLevelType w:val="hybridMultilevel"/>
    <w:lvl w:ilvl="0">
      <w:lvlJc w:val="left"/>
      <w:lvlText w:val="(%1)"/>
      <w:numFmt w:val="lowerLetter"/>
      <w:start w:val="2"/>
    </w:lvl>
  </w:abstractNum>
  <w:abstractNum w:abstractNumId="238">
    <w:nsid w:val="52C77402"/>
    <w:multiLevelType w:val="hybridMultilevel"/>
    <w:lvl w:ilvl="0">
      <w:lvlJc w:val="left"/>
      <w:lvlText w:val="%1."/>
      <w:numFmt w:val="decimal"/>
      <w:start w:val="1"/>
    </w:lvl>
    <w:lvl w:ilvl="1">
      <w:lvlJc w:val="left"/>
      <w:lvlText w:val="(%2)"/>
      <w:numFmt w:val="lowerLetter"/>
      <w:start w:val="1"/>
    </w:lvl>
  </w:abstractNum>
  <w:abstractNum w:abstractNumId="239">
    <w:nsid w:val="2BB5B1C6"/>
    <w:multiLevelType w:val="hybridMultilevel"/>
    <w:lvl w:ilvl="0">
      <w:lvlJc w:val="left"/>
      <w:lvlText w:val="(%1)"/>
      <w:numFmt w:val="lowerLetter"/>
      <w:start w:val="24"/>
    </w:lvl>
    <w:lvl w:ilvl="1">
      <w:lvlJc w:val="left"/>
      <w:lvlText w:val="(%2)"/>
      <w:numFmt w:val="lowerLetter"/>
      <w:start w:val="3"/>
    </w:lvl>
  </w:abstractNum>
  <w:abstractNum w:abstractNumId="240">
    <w:nsid w:val="66BE6B9"/>
    <w:multiLevelType w:val="hybridMultilevel"/>
    <w:lvl w:ilvl="0">
      <w:lvlJc w:val="left"/>
      <w:lvlText w:val="%1."/>
      <w:numFmt w:val="decimal"/>
      <w:start w:val="2"/>
    </w:lvl>
  </w:abstractNum>
  <w:abstractNum w:abstractNumId="241">
    <w:nsid w:val="62234363"/>
    <w:multiLevelType w:val="hybridMultilevel"/>
    <w:lvl w:ilvl="0">
      <w:lvlJc w:val="left"/>
      <w:lvlText w:val="%1"/>
      <w:numFmt w:val="decimal"/>
      <w:start w:val="1"/>
    </w:lvl>
    <w:lvl w:ilvl="1">
      <w:lvlJc w:val="left"/>
      <w:lvlText w:val="(%2)"/>
      <w:numFmt w:val="lowerLetter"/>
      <w:start w:val="1"/>
    </w:lvl>
  </w:abstractNum>
  <w:abstractNum w:abstractNumId="242">
    <w:nsid w:val="66D385C9"/>
    <w:multiLevelType w:val="hybridMultilevel"/>
    <w:lvl w:ilvl="0">
      <w:lvlJc w:val="left"/>
      <w:lvlText w:val="(%1)"/>
      <w:numFmt w:val="decimal"/>
      <w:start w:val="180"/>
    </w:lvl>
    <w:lvl w:ilvl="1">
      <w:lvlJc w:val="left"/>
      <w:lvlText w:val="%2"/>
      <w:numFmt w:val="lowerLetter"/>
      <w:start w:val="1"/>
    </w:lvl>
  </w:abstractNum>
  <w:abstractNum w:abstractNumId="243">
    <w:nsid w:val="596F6D8A"/>
    <w:multiLevelType w:val="hybridMultilevel"/>
    <w:lvl w:ilvl="0">
      <w:lvlJc w:val="left"/>
      <w:lvlText w:val="(%1)"/>
      <w:numFmt w:val="lowerLetter"/>
      <w:start w:val="2"/>
    </w:lvl>
  </w:abstractNum>
  <w:abstractNum w:abstractNumId="244">
    <w:nsid w:val="5749361F"/>
    <w:multiLevelType w:val="hybridMultilevel"/>
    <w:lvl w:ilvl="0">
      <w:lvlJc w:val="left"/>
      <w:lvlText w:val="%1"/>
      <w:numFmt w:val="decimal"/>
      <w:start w:val="1"/>
    </w:lvl>
    <w:lvl w:ilvl="1">
      <w:lvlJc w:val="left"/>
      <w:lvlText w:val="(%2)"/>
      <w:numFmt w:val="lowerLetter"/>
      <w:start w:val="4"/>
    </w:lvl>
  </w:abstractNum>
  <w:abstractNum w:abstractNumId="245">
    <w:nsid w:val="73BC6770"/>
    <w:multiLevelType w:val="hybridMultilevel"/>
    <w:lvl w:ilvl="0">
      <w:lvlJc w:val="left"/>
      <w:lvlText w:val="(%1)"/>
      <w:numFmt w:val="decimal"/>
      <w:start w:val="180"/>
    </w:lvl>
    <w:lvl w:ilvl="1">
      <w:lvlJc w:val="left"/>
      <w:lvlText w:val="%2"/>
      <w:numFmt w:val="lowerLetter"/>
      <w:start w:val="1"/>
    </w:lvl>
  </w:abstractNum>
  <w:abstractNum w:abstractNumId="246">
    <w:nsid w:val="280E6897"/>
    <w:multiLevelType w:val="hybridMultilevel"/>
    <w:lvl w:ilvl="0">
      <w:lvlJc w:val="left"/>
      <w:lvlText w:val="(%1)"/>
      <w:numFmt w:val="lowerLetter"/>
      <w:start w:val="6"/>
    </w:lvl>
    <w:lvl w:ilvl="1">
      <w:lvlJc w:val="left"/>
      <w:lvlText w:val="(%2)"/>
      <w:numFmt w:val="lowerLetter"/>
      <w:start w:val="9"/>
    </w:lvl>
  </w:abstractNum>
  <w:abstractNum w:abstractNumId="247">
    <w:nsid w:val="605138DE"/>
    <w:multiLevelType w:val="hybridMultilevel"/>
    <w:lvl w:ilvl="0">
      <w:lvlJc w:val="left"/>
      <w:lvlText w:val="%1"/>
      <w:numFmt w:val="lowerLetter"/>
      <w:start w:val="1"/>
    </w:lvl>
    <w:lvl w:ilvl="1">
      <w:lvlJc w:val="left"/>
      <w:lvlText w:val="(%2)"/>
      <w:numFmt w:val="lowerLetter"/>
      <w:start w:val="35"/>
    </w:lvl>
  </w:abstractNum>
  <w:abstractNum w:abstractNumId="248">
    <w:nsid w:val="2622AD0C"/>
    <w:multiLevelType w:val="hybridMultilevel"/>
    <w:lvl w:ilvl="0">
      <w:lvlJc w:val="left"/>
      <w:lvlText w:val="(%1)"/>
      <w:numFmt w:val="lowerLetter"/>
      <w:start w:val="7"/>
    </w:lvl>
    <w:lvl w:ilvl="1">
      <w:lvlJc w:val="left"/>
      <w:lvlText w:val="%2"/>
      <w:numFmt w:val="lowerLetter"/>
      <w:start w:val="1"/>
    </w:lvl>
  </w:abstractNum>
  <w:abstractNum w:abstractNumId="249">
    <w:nsid w:val="67997556"/>
    <w:multiLevelType w:val="hybridMultilevel"/>
    <w:lvl w:ilvl="0">
      <w:lvlJc w:val="left"/>
      <w:lvlText w:val="(%1)"/>
      <w:numFmt w:val="lowerRoman"/>
      <w:start w:val="1"/>
    </w:lvl>
  </w:abstractNum>
  <w:abstractNum w:abstractNumId="250">
    <w:nsid w:val="18333C89"/>
    <w:multiLevelType w:val="hybridMultilevel"/>
    <w:lvl w:ilvl="0">
      <w:lvlJc w:val="left"/>
      <w:lvlText w:val="(%1)"/>
      <w:numFmt w:val="lowerLetter"/>
      <w:start w:val="1"/>
    </w:lvl>
    <w:lvl w:ilvl="1">
      <w:lvlJc w:val="left"/>
      <w:lvlText w:val="(%2)"/>
      <w:numFmt w:val="lowerLetter"/>
      <w:start w:val="9"/>
    </w:lvl>
  </w:abstractNum>
  <w:abstractNum w:abstractNumId="251">
    <w:nsid w:val="4BA9831A"/>
    <w:multiLevelType w:val="hybridMultilevel"/>
    <w:lvl w:ilvl="0">
      <w:lvlJc w:val="left"/>
      <w:lvlText w:val="%1"/>
      <w:numFmt w:val="upperLetter"/>
      <w:start w:val="1"/>
    </w:lvl>
    <w:lvl w:ilvl="1">
      <w:lvlJc w:val="left"/>
      <w:lvlText w:val="(%2)"/>
      <w:numFmt w:val="lowerRoman"/>
      <w:start w:val="2"/>
    </w:lvl>
  </w:abstractNum>
  <w:abstractNum w:abstractNumId="252">
    <w:nsid w:val="6D71A2B"/>
    <w:multiLevelType w:val="hybridMultilevel"/>
    <w:lvl w:ilvl="0">
      <w:lvlJc w:val="left"/>
      <w:lvlText w:val="(%1)"/>
      <w:numFmt w:val="upperLetter"/>
      <w:start w:val="3"/>
    </w:lvl>
    <w:lvl w:ilvl="1">
      <w:lvlJc w:val="left"/>
      <w:lvlText w:val="%2"/>
      <w:numFmt w:val="lowerRoman"/>
      <w:start w:val="1"/>
    </w:lvl>
  </w:abstractNum>
  <w:abstractNum w:abstractNumId="253">
    <w:nsid w:val="CFC7321"/>
    <w:multiLevelType w:val="hybridMultilevel"/>
    <w:lvl w:ilvl="0">
      <w:lvlJc w:val="left"/>
      <w:lvlText w:val="(%1)"/>
      <w:numFmt w:val="lowerLetter"/>
      <w:start w:val="2"/>
    </w:lvl>
  </w:abstractNum>
  <w:abstractNum w:abstractNumId="254">
    <w:nsid w:val="1421971B"/>
    <w:multiLevelType w:val="hybridMultilevel"/>
    <w:lvl w:ilvl="0">
      <w:lvlJc w:val="left"/>
      <w:lvlText w:val="(%1)"/>
      <w:numFmt w:val="lowerLetter"/>
      <w:start w:val="7"/>
    </w:lvl>
  </w:abstractNum>
  <w:abstractNum w:abstractNumId="255">
    <w:nsid w:val="1F404301"/>
    <w:multiLevelType w:val="hybridMultilevel"/>
    <w:lvl w:ilvl="0">
      <w:lvlJc w:val="left"/>
      <w:lvlText w:val="(%1)"/>
      <w:numFmt w:val="decimal"/>
      <w:start w:val="1"/>
    </w:lvl>
  </w:abstractNum>
  <w:abstractNum w:abstractNumId="256">
    <w:nsid w:val="116E0907"/>
    <w:multiLevelType w:val="hybridMultilevel"/>
    <w:lvl w:ilvl="0">
      <w:lvlJc w:val="left"/>
      <w:lvlText w:val="(%1)"/>
      <w:numFmt w:val="decimal"/>
      <w:start w:val="3"/>
    </w:lvl>
  </w:abstractNum>
  <w:abstractNum w:abstractNumId="257">
    <w:nsid w:val="4B683D0D"/>
    <w:multiLevelType w:val="hybridMultilevel"/>
    <w:lvl w:ilvl="0">
      <w:lvlJc w:val="left"/>
      <w:lvlText w:val="(%1)"/>
      <w:numFmt w:val="lowerLetter"/>
      <w:start w:val="1"/>
    </w:lvl>
  </w:abstractNum>
  <w:abstractNum w:abstractNumId="258">
    <w:nsid w:val="76E41D8"/>
    <w:multiLevelType w:val="hybridMultilevel"/>
    <w:lvl w:ilvl="0">
      <w:lvlJc w:val="left"/>
      <w:lvlText w:val="%1"/>
      <w:numFmt w:val="lowerLetter"/>
      <w:start w:val="1"/>
    </w:lvl>
    <w:lvl w:ilvl="1">
      <w:lvlJc w:val="left"/>
      <w:lvlText w:val="(%2)"/>
      <w:numFmt w:val="lowerLetter"/>
      <w:start w:val="5"/>
    </w:lvl>
  </w:abstractNum>
  <w:abstractNum w:abstractNumId="259">
    <w:nsid w:val="71DCE0FD"/>
    <w:multiLevelType w:val="hybridMultilevel"/>
    <w:lvl w:ilvl="0">
      <w:lvlJc w:val="left"/>
      <w:lvlText w:val="(%1)"/>
      <w:numFmt w:val="lowerLetter"/>
      <w:start w:val="9"/>
    </w:lvl>
    <w:lvl w:ilvl="1">
      <w:lvlJc w:val="left"/>
      <w:lvlText w:val="(%2)"/>
      <w:numFmt w:val="lowerLetter"/>
      <w:start w:val="6"/>
    </w:lvl>
  </w:abstractNum>
  <w:abstractNum w:abstractNumId="260">
    <w:nsid w:val="7906328B"/>
    <w:multiLevelType w:val="hybridMultilevel"/>
    <w:lvl w:ilvl="0">
      <w:lvlJc w:val="left"/>
      <w:lvlText w:val="(%1)"/>
      <w:numFmt w:val="lowerLetter"/>
      <w:start w:val="8"/>
    </w:lvl>
  </w:abstractNum>
  <w:abstractNum w:abstractNumId="261">
    <w:nsid w:val="72BBC16"/>
    <w:multiLevelType w:val="hybridMultilevel"/>
    <w:lvl w:ilvl="0">
      <w:lvlJc w:val="left"/>
      <w:lvlText w:val="(%1)"/>
      <w:numFmt w:val="lowerLetter"/>
      <w:start w:val="14"/>
    </w:lvl>
  </w:abstractNum>
  <w:abstractNum w:abstractNumId="262">
    <w:nsid w:val="766D98C2"/>
    <w:multiLevelType w:val="hybridMultilevel"/>
    <w:lvl w:ilvl="0">
      <w:lvlJc w:val="left"/>
      <w:lvlText w:val="(%1)"/>
      <w:numFmt w:val="lowerLetter"/>
      <w:start w:val="1"/>
    </w:lvl>
  </w:abstractNum>
  <w:abstractNum w:abstractNumId="263">
    <w:nsid w:val="3C09D4A1"/>
    <w:multiLevelType w:val="hybridMultilevel"/>
    <w:lvl w:ilvl="0">
      <w:lvlJc w:val="left"/>
      <w:lvlText w:val="(%1)"/>
      <w:numFmt w:val="lowerLetter"/>
      <w:start w:val="1"/>
    </w:lvl>
  </w:abstractNum>
  <w:abstractNum w:abstractNumId="264">
    <w:nsid w:val="20E45CA4"/>
    <w:multiLevelType w:val="hybridMultilevel"/>
    <w:lvl w:ilvl="0">
      <w:lvlJc w:val="left"/>
      <w:lvlText w:val="(%1)"/>
      <w:numFmt w:val="lowerLetter"/>
      <w:start w:val="1"/>
    </w:lvl>
  </w:abstractNum>
  <w:abstractNum w:abstractNumId="265">
    <w:nsid w:val="4B232EE3"/>
    <w:multiLevelType w:val="hybridMultilevel"/>
    <w:lvl w:ilvl="0">
      <w:lvlJc w:val="left"/>
      <w:lvlText w:val="(%1)"/>
      <w:numFmt w:val="lowerLetter"/>
      <w:start w:val="3"/>
    </w:lvl>
  </w:abstractNum>
  <w:abstractNum w:abstractNumId="266">
    <w:nsid w:val="159C74CF"/>
    <w:multiLevelType w:val="hybridMultilevel"/>
    <w:lvl w:ilvl="0">
      <w:lvlJc w:val="left"/>
      <w:lvlText w:val="(%1)"/>
      <w:numFmt w:val="lowerLetter"/>
      <w:start w:val="5"/>
    </w:lvl>
  </w:abstractNum>
  <w:abstractNum w:abstractNumId="267">
    <w:nsid w:val="4AD3AFD2"/>
    <w:multiLevelType w:val="hybridMultilevel"/>
    <w:lvl w:ilvl="0">
      <w:lvlJc w:val="left"/>
      <w:lvlText w:val="(%1)"/>
      <w:numFmt w:val="lowerLetter"/>
      <w:start w:val="1"/>
    </w:lvl>
  </w:abstractNum>
  <w:abstractNum w:abstractNumId="268">
    <w:nsid w:val="3CF93092"/>
    <w:multiLevelType w:val="hybridMultilevel"/>
    <w:lvl w:ilvl="0">
      <w:lvlJc w:val="left"/>
      <w:lvlText w:val="(%1)"/>
      <w:numFmt w:val="lowerLetter"/>
      <w:start w:val="3"/>
    </w:lvl>
  </w:abstractNum>
  <w:abstractNum w:abstractNumId="269">
    <w:nsid w:val="6863E8D2"/>
    <w:multiLevelType w:val="hybridMultilevel"/>
    <w:lvl w:ilvl="0">
      <w:lvlJc w:val="left"/>
      <w:lvlText w:val="(%1)"/>
      <w:numFmt w:val="lowerLetter"/>
      <w:start w:val="6"/>
    </w:lvl>
  </w:abstractNum>
  <w:abstractNum w:abstractNumId="270">
    <w:nsid w:val="76896198"/>
    <w:multiLevelType w:val="hybridMultilevel"/>
    <w:lvl w:ilvl="0">
      <w:lvlJc w:val="left"/>
      <w:lvlText w:val="(%1)"/>
      <w:numFmt w:val="lowerLetter"/>
      <w:start w:val="10"/>
    </w:lvl>
  </w:abstractNum>
  <w:abstractNum w:abstractNumId="271">
    <w:nsid w:val="4365174B"/>
    <w:multiLevelType w:val="hybridMultilevel"/>
    <w:lvl w:ilvl="0">
      <w:lvlJc w:val="left"/>
      <w:lvlText w:val="(%1)"/>
      <w:numFmt w:val="lowerLetter"/>
      <w:start w:val="12"/>
    </w:lvl>
  </w:abstractNum>
  <w:abstractNum w:abstractNumId="272">
    <w:nsid w:val="4A872C35"/>
    <w:multiLevelType w:val="hybridMultilevel"/>
    <w:lvl w:ilvl="0">
      <w:lvlJc w:val="left"/>
      <w:lvlText w:val="(%1)"/>
      <w:numFmt w:val="lowerLetter"/>
      <w:start w:val="1"/>
    </w:lvl>
  </w:abstractNum>
  <w:abstractNum w:abstractNumId="273">
    <w:nsid w:val="5D5CE761"/>
    <w:multiLevelType w:val="hybridMultilevel"/>
    <w:lvl w:ilvl="0">
      <w:lvlJc w:val="left"/>
      <w:lvlText w:val="(%1)"/>
      <w:numFmt w:val="lowerLetter"/>
      <w:start w:val="3"/>
    </w:lvl>
    <w:lvl w:ilvl="1">
      <w:lvlJc w:val="left"/>
      <w:lvlText w:val="*"/>
      <w:numFmt w:val="bullet"/>
      <w:start w:val="1"/>
    </w:lvl>
  </w:abstractNum>
  <w:abstractNum w:abstractNumId="274">
    <w:nsid w:val="1CD484D5"/>
    <w:multiLevelType w:val="hybridMultilevel"/>
    <w:lvl w:ilvl="0">
      <w:lvlJc w:val="left"/>
      <w:lvlText w:val="%1"/>
      <w:numFmt w:val="lowerRoman"/>
      <w:start w:val="1"/>
    </w:lvl>
    <w:lvl w:ilvl="1">
      <w:lvlJc w:val="left"/>
      <w:lvlText w:val="%2."/>
      <w:numFmt w:val="decimal"/>
      <w:start w:val="1"/>
    </w:lvl>
  </w:abstractNum>
  <w:abstractNum w:abstractNumId="275">
    <w:nsid w:val="21D06255"/>
    <w:multiLevelType w:val="hybridMultilevel"/>
    <w:lvl w:ilvl="0">
      <w:lvlJc w:val="left"/>
      <w:lvlText w:val="(%1)"/>
      <w:numFmt w:val="lowerRoman"/>
      <w:start w:val="1"/>
    </w:lvl>
    <w:lvl w:ilvl="1">
      <w:lvlJc w:val="left"/>
      <w:lvlText w:val="%2"/>
      <w:numFmt w:val="decimal"/>
      <w:start w:val="1"/>
    </w:lvl>
  </w:abstractNum>
  <w:abstractNum w:abstractNumId="276">
    <w:nsid w:val="51194ED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7">
    <w:nsid w:val="44E2ED6C"/>
    <w:multiLevelType w:val="hybridMultilevel"/>
    <w:lvl w:ilvl="0">
      <w:lvlJc w:val="left"/>
      <w:lvlText w:val="%1."/>
      <w:numFmt w:val="decimal"/>
      <w:start w:val="4"/>
    </w:lvl>
    <w:lvl w:ilvl="1">
      <w:lvlJc w:val="left"/>
      <w:lvlText w:val="(%2)"/>
      <w:numFmt w:val="lowerLetter"/>
      <w:start w:val="1"/>
    </w:lvl>
  </w:abstractNum>
  <w:abstractNum w:abstractNumId="278">
    <w:nsid w:val="2219B33"/>
    <w:multiLevelType w:val="hybridMultilevel"/>
    <w:lvl w:ilvl="0">
      <w:lvlJc w:val="left"/>
      <w:lvlText w:val="(%1)"/>
      <w:numFmt w:val="lowerLetter"/>
      <w:start w:val="5"/>
    </w:lvl>
  </w:abstractNum>
  <w:abstractNum w:abstractNumId="279">
    <w:nsid w:val="773BFBD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9"/>
    </w:lvl>
  </w:abstractNum>
  <w:abstractNum w:abstractNumId="280">
    <w:nsid w:val="2C7C62C2"/>
    <w:multiLevelType w:val="hybridMultilevel"/>
    <w:lvl w:ilvl="0">
      <w:lvlJc w:val="left"/>
      <w:lvlText w:val="(%1)"/>
      <w:numFmt w:val="lowerRoman"/>
      <w:start w:val="4"/>
    </w:lvl>
    <w:lvl w:ilvl="1">
      <w:lvlJc w:val="left"/>
      <w:lvlText w:val="%2."/>
      <w:numFmt w:val="decimal"/>
      <w:start w:val="5"/>
    </w:lvl>
    <w:lvl w:ilvl="2">
      <w:lvlJc w:val="left"/>
      <w:lvlText w:val="(%3)"/>
      <w:numFmt w:val="lowerLetter"/>
      <w:start w:val="13"/>
    </w:lvl>
  </w:abstractNum>
  <w:abstractNum w:abstractNumId="281">
    <w:nsid w:val="1A54D7B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82">
    <w:nsid w:val="42E57EF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83">
    <w:nsid w:val="33537CED"/>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84">
    <w:nsid w:val="27514AD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85">
    <w:nsid w:val="57071613"/>
    <w:multiLevelType w:val="hybridMultilevel"/>
    <w:lvl w:ilvl="0">
      <w:lvlJc w:val="left"/>
      <w:lvlText w:val="%1"/>
      <w:numFmt w:val="lowerRoman"/>
      <w:start w:val="1"/>
    </w:lvl>
    <w:lvl w:ilvl="1">
      <w:lvlJc w:val="left"/>
      <w:lvlText w:val="(%2)"/>
      <w:numFmt w:val="lowerLetter"/>
      <w:start w:val="2"/>
    </w:lvl>
  </w:abstractNum>
  <w:abstractNum w:abstractNumId="286">
    <w:nsid w:val="5293BFEF"/>
    <w:multiLevelType w:val="hybridMultilevel"/>
    <w:lvl w:ilvl="0">
      <w:lvlJc w:val="left"/>
      <w:lvlText w:val="(%1)"/>
      <w:numFmt w:val="lowerRoman"/>
      <w:start w:val="2"/>
    </w:lvl>
    <w:lvl w:ilvl="1">
      <w:lvlJc w:val="left"/>
      <w:lvlText w:val="(%2)"/>
      <w:numFmt w:val="lowerLetter"/>
      <w:start w:val="4"/>
    </w:lvl>
  </w:abstractNum>
  <w:abstractNum w:abstractNumId="287">
    <w:nsid w:val="38BF53E5"/>
    <w:multiLevelType w:val="hybridMultilevel"/>
    <w:lvl w:ilvl="0">
      <w:lvlJc w:val="left"/>
      <w:lvlText w:val="%1"/>
      <w:numFmt w:val="lowerLetter"/>
      <w:start w:val="1"/>
    </w:lvl>
    <w:lvl w:ilvl="1">
      <w:lvlJc w:val="left"/>
      <w:lvlText w:val="(%2)"/>
      <w:numFmt w:val="lowerLetter"/>
      <w:start w:val="8"/>
    </w:lvl>
  </w:abstractNum>
  <w:abstractNum w:abstractNumId="288">
    <w:nsid w:val="226F5320"/>
    <w:multiLevelType w:val="hybridMultilevel"/>
    <w:lvl w:ilvl="0">
      <w:lvlJc w:val="left"/>
      <w:lvlText w:val="(%1)"/>
      <w:numFmt w:val="lowerLetter"/>
      <w:start w:val="22"/>
    </w:lvl>
    <w:lvl w:ilvl="1">
      <w:lvlJc w:val="left"/>
      <w:lvlText w:val="%2"/>
      <w:numFmt w:val="lowerLetter"/>
      <w:start w:val="1"/>
    </w:lvl>
  </w:abstractNum>
  <w:abstractNum w:abstractNumId="289">
    <w:nsid w:val="5A0201C7"/>
    <w:multiLevelType w:val="hybridMultilevel"/>
    <w:lvl w:ilvl="0">
      <w:lvlJc w:val="left"/>
      <w:lvlText w:val="(%1)"/>
      <w:numFmt w:val="lowerLetter"/>
      <w:start w:val="12"/>
    </w:lvl>
  </w:abstractNum>
  <w:abstractNum w:abstractNumId="290">
    <w:nsid w:val="2A9C34E2"/>
    <w:multiLevelType w:val="hybridMultilevel"/>
    <w:lvl w:ilvl="0">
      <w:lvlJc w:val="left"/>
      <w:lvlText w:val="(%1)"/>
      <w:numFmt w:val="lowerLetter"/>
      <w:start w:val="18"/>
    </w:lvl>
  </w:abstractNum>
  <w:abstractNum w:abstractNumId="291">
    <w:nsid w:val="1B7585AB"/>
    <w:multiLevelType w:val="hybridMultilevel"/>
    <w:lvl w:ilvl="0">
      <w:lvlJc w:val="left"/>
      <w:lvlText w:val="%1."/>
      <w:numFmt w:val="decimal"/>
      <w:start w:val="8"/>
    </w:lvl>
    <w:lvl w:ilvl="1">
      <w:lvlJc w:val="left"/>
      <w:lvlText w:val="(%2)"/>
      <w:numFmt w:val="lowerLetter"/>
      <w:start w:val="1"/>
    </w:lvl>
  </w:abstractNum>
  <w:abstractNum w:abstractNumId="292">
    <w:nsid w:val="612DBDDD"/>
    <w:multiLevelType w:val="hybridMultilevel"/>
    <w:lvl w:ilvl="0">
      <w:lvlJc w:val="left"/>
      <w:lvlText w:val="(%1)"/>
      <w:numFmt w:val="decimal"/>
      <w:start w:val="3"/>
    </w:lvl>
    <w:lvl w:ilvl="1">
      <w:lvlJc w:val="left"/>
      <w:lvlText w:val="(%2)"/>
      <w:numFmt w:val="lowerLetter"/>
      <w:start w:val="2"/>
    </w:lvl>
    <w:lvl w:ilvl="2">
      <w:lvlJc w:val="left"/>
      <w:lvlText w:val="(%3)"/>
      <w:numFmt w:val="lowerRoman"/>
      <w:start w:val="1"/>
    </w:lvl>
  </w:abstractNum>
  <w:abstractNum w:abstractNumId="293">
    <w:nsid w:val="2109CDA4"/>
    <w:multiLevelType w:val="hybridMultilevel"/>
    <w:lvl w:ilvl="0">
      <w:lvlJc w:val="left"/>
      <w:lvlText w:val="(%1)"/>
      <w:numFmt w:val="lowerLetter"/>
      <w:start w:val="4"/>
    </w:lvl>
    <w:lvl w:ilvl="1">
      <w:lvlJc w:val="left"/>
      <w:lvlText w:val="(%2)"/>
      <w:numFmt w:val="lowerRoman"/>
      <w:start w:val="1"/>
    </w:lvl>
  </w:abstractNum>
  <w:abstractNum w:abstractNumId="294">
    <w:nsid w:val="577F5A4D"/>
    <w:multiLevelType w:val="hybridMultilevel"/>
    <w:lvl w:ilvl="0">
      <w:lvlJc w:val="left"/>
      <w:lvlText w:val="%1"/>
      <w:numFmt w:val="lowerRoman"/>
      <w:start w:val="1"/>
    </w:lvl>
    <w:lvl w:ilvl="1">
      <w:lvlJc w:val="left"/>
      <w:lvlText w:val="(%2)"/>
      <w:numFmt w:val="lowerRoman"/>
      <w:start w:val="3"/>
    </w:lvl>
  </w:abstractNum>
  <w:abstractNum w:abstractNumId="295">
    <w:nsid w:val="2121A81"/>
    <w:multiLevelType w:val="hybridMultilevel"/>
    <w:lvl w:ilvl="0">
      <w:lvlJc w:val="left"/>
      <w:lvlText w:val="(%1)"/>
      <w:numFmt w:val="lowerRoman"/>
      <w:start w:val="5"/>
    </w:lvl>
    <w:lvl w:ilvl="1">
      <w:lvlJc w:val="left"/>
      <w:lvlText w:val="%2"/>
      <w:numFmt w:val="lowerRoman"/>
      <w:start w:val="1"/>
    </w:lvl>
  </w:abstractNum>
  <w:abstractNum w:abstractNumId="296">
    <w:nsid w:val="6C2CFC88"/>
    <w:multiLevelType w:val="hybridMultilevel"/>
    <w:lvl w:ilvl="0">
      <w:lvlJc w:val="left"/>
      <w:lvlText w:val="(%1)"/>
      <w:numFmt w:val="lowerLetter"/>
      <w:start w:val="5"/>
    </w:lvl>
  </w:abstractNum>
  <w:abstractNum w:abstractNumId="297">
    <w:nsid w:val="6D1BCF1C"/>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98">
    <w:nsid w:val="4CE5CA53"/>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1"/>
    </w:lvl>
  </w:abstractNum>
  <w:abstractNum w:abstractNumId="299">
    <w:nsid w:val="29262D1A"/>
    <w:multiLevelType w:val="hybridMultilevel"/>
    <w:lvl w:ilvl="0">
      <w:lvlJc w:val="left"/>
      <w:lvlText w:val="(%1)"/>
      <w:numFmt w:val="lowerLetter"/>
      <w:start w:val="2"/>
    </w:lvl>
  </w:abstractNum>
  <w:abstractNum w:abstractNumId="300">
    <w:nsid w:val="557FB7EE"/>
    <w:multiLevelType w:val="hybridMultilevel"/>
    <w:lvl w:ilvl="0">
      <w:lvlJc w:val="left"/>
      <w:lvlText w:val="(%1)"/>
      <w:numFmt w:val="lowerLetter"/>
      <w:start w:val="8"/>
    </w:lvl>
  </w:abstractNum>
  <w:abstractNum w:abstractNumId="301">
    <w:nsid w:val="436F2BEB"/>
    <w:multiLevelType w:val="hybridMultilevel"/>
    <w:lvl w:ilvl="0">
      <w:lvlJc w:val="left"/>
      <w:lvlText w:val="%1"/>
      <w:numFmt w:val="lowerLetter"/>
      <w:start w:val="1"/>
    </w:lvl>
    <w:lvl w:ilvl="1">
      <w:lvlJc w:val="left"/>
      <w:lvlText w:val="(%2)"/>
      <w:numFmt w:val="lowerLetter"/>
      <w:start w:val="15"/>
    </w:lvl>
    <w:lvl w:ilvl="2">
      <w:lvlJc w:val="left"/>
      <w:lvlText w:val="%3"/>
      <w:numFmt w:val="lowerRoman"/>
      <w:start w:val="1"/>
    </w:lvl>
  </w:abstractNum>
  <w:abstractNum w:abstractNumId="302">
    <w:nsid w:val="6C8B4466"/>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03">
    <w:nsid w:val="2006E424"/>
    <w:multiLevelType w:val="hybridMultilevel"/>
    <w:lvl w:ilvl="0">
      <w:lvlJc w:val="left"/>
      <w:lvlText w:val="%1."/>
      <w:numFmt w:val="decimal"/>
      <w:start w:val="12"/>
    </w:lvl>
  </w:abstractNum>
  <w:abstractNum w:abstractNumId="304">
    <w:nsid w:val="20CC134C"/>
    <w:multiLevelType w:val="hybridMultilevel"/>
    <w:lvl w:ilvl="0">
      <w:lvlJc w:val="left"/>
      <w:lvlText w:val="%1."/>
      <w:numFmt w:val="decimal"/>
      <w:start w:val="14"/>
    </w:lvl>
  </w:abstractNum>
  <w:abstractNum w:abstractNumId="305">
    <w:nsid w:val="95FC93B"/>
    <w:multiLevelType w:val="hybridMultilevel"/>
    <w:lvl w:ilvl="0">
      <w:lvlJc w:val="left"/>
      <w:lvlText w:val="%1."/>
      <w:numFmt w:val="upperLetter"/>
      <w:start w:val="1"/>
    </w:lvl>
    <w:lvl w:ilvl="1">
      <w:lvlJc w:val="left"/>
      <w:lvlText w:val="☐"/>
      <w:numFmt w:val="bullet"/>
      <w:start w:val="1"/>
    </w:lvl>
  </w:abstractNum>
  <w:abstractNum w:abstractNumId="306">
    <w:nsid w:val="41D74679"/>
    <w:multiLevelType w:val="hybridMultilevel"/>
    <w:lvl w:ilvl="0">
      <w:lvlJc w:val="left"/>
      <w:lvlText w:val="%1."/>
      <w:numFmt w:val="upperLetter"/>
      <w:start w:val="2"/>
    </w:lvl>
    <w:lvl w:ilvl="1">
      <w:lvlJc w:val="left"/>
      <w:lvlText w:val="%2."/>
      <w:numFmt w:val="decimal"/>
      <w:start w:val="1"/>
    </w:lvl>
  </w:abstractNum>
  <w:abstractNum w:abstractNumId="307">
    <w:nsid w:val="71E5621E"/>
    <w:multiLevelType w:val="hybridMultilevel"/>
    <w:lvl w:ilvl="0">
      <w:lvlJc w:val="left"/>
      <w:lvlText w:val="☐"/>
      <w:numFmt w:val="bullet"/>
      <w:start w:val="1"/>
    </w:lvl>
  </w:abstractNum>
  <w:abstractNum w:abstractNumId="308">
    <w:nsid w:val="4E42B6A8"/>
    <w:multiLevelType w:val="hybridMultilevel"/>
    <w:lvl w:ilvl="0">
      <w:lvlJc w:val="left"/>
      <w:lvlText w:val="%1."/>
      <w:numFmt w:val="upperLetter"/>
      <w:start w:val="3"/>
    </w:lvl>
    <w:lvl w:ilvl="1">
      <w:lvlJc w:val="left"/>
      <w:lvlText w:val="☐"/>
      <w:numFmt w:val="bullet"/>
      <w:start w:val="1"/>
    </w:lvl>
  </w:abstractNum>
  <w:abstractNum w:abstractNumId="309">
    <w:nsid w:val="43F8E1AC"/>
    <w:multiLevelType w:val="hybridMultilevel"/>
    <w:lvl w:ilvl="0">
      <w:lvlJc w:val="left"/>
      <w:lvlText w:val="%1."/>
      <w:numFmt w:val="upperLetter"/>
      <w:start w:val="4"/>
    </w:lvl>
    <w:lvl w:ilvl="1">
      <w:lvlJc w:val="left"/>
      <w:lvlText w:val="%2."/>
      <w:numFmt w:val="decimal"/>
      <w:start w:val="1"/>
    </w:lvl>
  </w:abstractNum>
  <w:abstractNum w:abstractNumId="310">
    <w:nsid w:val="69215DFB"/>
    <w:multiLevelType w:val="hybridMultilevel"/>
    <w:lvl w:ilvl="0">
      <w:lvlJc w:val="left"/>
      <w:lvlText w:val="%1."/>
      <w:numFmt w:val="decimal"/>
      <w:start w:val="3"/>
    </w:lvl>
  </w:abstractNum>
  <w:abstractNum w:abstractNumId="311">
    <w:nsid w:val="7ABF196A"/>
    <w:multiLevelType w:val="hybridMultilevel"/>
    <w:lvl w:ilvl="0">
      <w:lvlJc w:val="left"/>
      <w:lvlText w:val="%1."/>
      <w:numFmt w:val="decimal"/>
      <w:start w:val="6"/>
    </w:lvl>
  </w:abstractNum>
  <w:abstractNum w:abstractNumId="312">
    <w:nsid w:val="5E4DB968"/>
    <w:multiLevelType w:val="hybridMultilevel"/>
    <w:lvl w:ilvl="0">
      <w:lvlJc w:val="left"/>
      <w:lvlText w:val="(%1)"/>
      <w:numFmt w:val="upperLetter"/>
      <w:start w:val="1"/>
    </w:lvl>
  </w:abstractNum>
  <w:abstractNum w:abstractNumId="313">
    <w:nsid w:val="2C06DCF3"/>
    <w:multiLevelType w:val="hybridMultilevel"/>
    <w:lvl w:ilvl="0">
      <w:lvlJc w:val="left"/>
      <w:lvlText w:val="%1."/>
      <w:numFmt w:val="decimal"/>
      <w:start w:val="1"/>
    </w:lvl>
    <w:lvl w:ilvl="1">
      <w:lvlJc w:val="left"/>
      <w:lvlText w:val="(%2)"/>
      <w:numFmt w:val="lowerLetter"/>
      <w:start w:val="1"/>
    </w:lvl>
  </w:abstractNum>
  <w:abstractNum w:abstractNumId="314">
    <w:nsid w:val="2E1296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15">
    <w:nsid w:val="59F0446"/>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16">
    <w:nsid w:val="30DF30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17">
    <w:nsid w:val="A65647"/>
    <w:multiLevelType w:val="hybridMultilevel"/>
    <w:lvl w:ilvl="0">
      <w:lvlJc w:val="left"/>
      <w:lvlText w:val="%1"/>
      <w:numFmt w:val="lowerLetter"/>
      <w:start w:val="1"/>
    </w:lvl>
    <w:lvl w:ilvl="1">
      <w:lvlJc w:val="left"/>
      <w:lvlText w:val="(%2)"/>
      <w:numFmt w:val="lowerLetter"/>
      <w:start w:val="2"/>
    </w:lvl>
  </w:abstractNum>
  <w:abstractNum w:abstractNumId="318">
    <w:nsid w:val="3E5E582B"/>
    <w:multiLevelType w:val="hybridMultilevel"/>
    <w:lvl w:ilvl="0">
      <w:lvlJc w:val="left"/>
      <w:lvlText w:val="(%1)"/>
      <w:numFmt w:val="lowerLetter"/>
      <w:start w:val="24"/>
    </w:lvl>
    <w:lvl w:ilvl="1">
      <w:lvlJc w:val="left"/>
      <w:lvlText w:val="(%2)"/>
      <w:numFmt w:val="lowerLetter"/>
      <w:start w:val="3"/>
    </w:lvl>
  </w:abstractNum>
  <w:abstractNum w:abstractNumId="319">
    <w:nsid w:val="257D4626"/>
    <w:multiLevelType w:val="hybridMultilevel"/>
    <w:lvl w:ilvl="0">
      <w:lvlJc w:val="left"/>
      <w:lvlText w:val="(%1)"/>
      <w:numFmt w:val="lowerLetter"/>
      <w:start w:val="5"/>
    </w:lvl>
  </w:abstractNum>
  <w:abstractNum w:abstractNumId="320">
    <w:nsid w:val="5AA8580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9"/>
    </w:lvl>
  </w:abstractNum>
  <w:abstractNum w:abstractNumId="321">
    <w:nsid w:val="68FA8D0D"/>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322">
    <w:nsid w:val="40F2CBD2"/>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323">
    <w:nsid w:val="3BD615EB"/>
    <w:multiLevelType w:val="hybridMultilevel"/>
    <w:lvl w:ilvl="0">
      <w:lvlJc w:val="left"/>
      <w:lvlText w:val="%1"/>
      <w:numFmt w:val="decimal"/>
      <w:start w:val="1"/>
    </w:lvl>
    <w:lvl w:ilvl="1">
      <w:lvlJc w:val="left"/>
      <w:lvlText w:val="(%2)"/>
      <w:numFmt w:val="lowerLetter"/>
      <w:start w:val="2"/>
    </w:lvl>
  </w:abstractNum>
  <w:abstractNum w:abstractNumId="324">
    <w:nsid w:val="A045AB2"/>
    <w:multiLevelType w:val="hybridMultilevel"/>
    <w:lvl w:ilvl="0">
      <w:lvlJc w:val="left"/>
      <w:lvlText w:val="%1."/>
      <w:numFmt w:val="decimal"/>
      <w:start w:val="5"/>
    </w:lvl>
    <w:lvl w:ilvl="1">
      <w:lvlJc w:val="left"/>
      <w:lvlText w:val="(%2)"/>
      <w:numFmt w:val="lowerLetter"/>
      <w:start w:val="1"/>
    </w:lvl>
  </w:abstractNum>
  <w:abstractNum w:abstractNumId="325">
    <w:nsid w:val="1872261F"/>
    <w:multiLevelType w:val="hybridMultilevel"/>
    <w:lvl w:ilvl="0">
      <w:lvlJc w:val="left"/>
      <w:lvlText w:val="%1"/>
      <w:numFmt w:val="decimal"/>
      <w:start w:val="1"/>
    </w:lvl>
    <w:lvl w:ilvl="1">
      <w:lvlJc w:val="left"/>
      <w:lvlText w:val="(%2)"/>
      <w:numFmt w:val="lowerLetter"/>
      <w:start w:val="3"/>
    </w:lvl>
  </w:abstractNum>
  <w:abstractNum w:abstractNumId="326">
    <w:nsid w:val="3DE8306C"/>
    <w:multiLevelType w:val="hybridMultilevel"/>
    <w:lvl w:ilvl="0">
      <w:lvlJc w:val="left"/>
      <w:lvlText w:val="%1."/>
      <w:numFmt w:val="decimal"/>
      <w:start w:val="8"/>
    </w:lvl>
    <w:lvl w:ilvl="1">
      <w:lvlJc w:val="left"/>
      <w:lvlText w:val="(%2)"/>
      <w:numFmt w:val="lowerLetter"/>
      <w:start w:val="1"/>
    </w:lvl>
  </w:abstractNum>
  <w:abstractNum w:abstractNumId="327">
    <w:nsid w:val="7631573A"/>
    <w:multiLevelType w:val="hybridMultilevel"/>
    <w:lvl w:ilvl="0">
      <w:lvlJc w:val="left"/>
      <w:lvlText w:val="%1"/>
      <w:numFmt w:val="lowerLetter"/>
      <w:start w:val="1"/>
    </w:lvl>
    <w:lvl w:ilvl="1">
      <w:lvlJc w:val="left"/>
      <w:lvlText w:val="(%2)"/>
      <w:numFmt w:val="lowerLetter"/>
      <w:start w:val="2"/>
    </w:lvl>
  </w:abstractNum>
  <w:abstractNum w:abstractNumId="328">
    <w:nsid w:val="58DF53B"/>
    <w:multiLevelType w:val="hybridMultilevel"/>
    <w:lvl w:ilvl="0">
      <w:lvlJc w:val="left"/>
      <w:lvlText w:val="(%1)"/>
      <w:numFmt w:val="lowerLetter"/>
      <w:start w:val="35"/>
    </w:lvl>
    <w:lvl w:ilvl="1">
      <w:lvlJc w:val="left"/>
      <w:lvlText w:val="%2"/>
      <w:numFmt w:val="lowerLetter"/>
      <w:start w:val="1"/>
    </w:lvl>
  </w:abstractNum>
  <w:abstractNum w:abstractNumId="329">
    <w:nsid w:val="ACDFAC0"/>
    <w:multiLevelType w:val="hybridMultilevel"/>
    <w:lvl w:ilvl="0">
      <w:lvlJc w:val="left"/>
      <w:lvlText w:val="%1"/>
      <w:numFmt w:val="decimal"/>
      <w:start w:val="1"/>
    </w:lvl>
    <w:lvl w:ilvl="1">
      <w:lvlJc w:val="left"/>
      <w:lvlText w:val="(%2)"/>
      <w:numFmt w:val="lowerLetter"/>
      <w:start w:val="4"/>
    </w:lvl>
  </w:abstractNum>
  <w:abstractNum w:abstractNumId="330">
    <w:nsid w:val="1F578454"/>
    <w:multiLevelType w:val="hybridMultilevel"/>
    <w:lvl w:ilvl="0">
      <w:lvlJc w:val="left"/>
      <w:lvlText w:val="%1."/>
      <w:numFmt w:val="decimal"/>
      <w:start w:val="9"/>
    </w:lvl>
    <w:lvl w:ilvl="1">
      <w:lvlJc w:val="left"/>
      <w:lvlText w:val="(%2)"/>
      <w:numFmt w:val="lowerLetter"/>
      <w:start w:val="1"/>
    </w:lvl>
  </w:abstractNum>
  <w:abstractNum w:abstractNumId="331">
    <w:nsid w:val="5B0DAD2A"/>
    <w:multiLevelType w:val="hybridMultilevel"/>
    <w:lvl w:ilvl="0">
      <w:lvlJc w:val="left"/>
      <w:lvlText w:val="(%1)"/>
      <w:numFmt w:val="lowerLetter"/>
      <w:start w:val="2"/>
    </w:lvl>
  </w:abstractNum>
  <w:abstractNum w:abstractNumId="332">
    <w:nsid w:val="4E3D26AB"/>
    <w:multiLevelType w:val="hybridMultilevel"/>
    <w:lvl w:ilvl="0">
      <w:lvlJc w:val="left"/>
      <w:lvlText w:val="(%1)"/>
      <w:numFmt w:val="lowerLetter"/>
      <w:start w:val="5"/>
    </w:lvl>
  </w:abstractNum>
  <w:abstractNum w:abstractNumId="333">
    <w:nsid w:val="BE2C8BA"/>
    <w:multiLevelType w:val="hybridMultilevel"/>
    <w:lvl w:ilvl="0">
      <w:lvlJc w:val="left"/>
      <w:lvlText w:val="%1"/>
      <w:numFmt w:val="lowerRoman"/>
      <w:start w:val="1"/>
    </w:lvl>
    <w:lvl w:ilvl="1">
      <w:lvlJc w:val="left"/>
      <w:lvlText w:val="%2."/>
      <w:numFmt w:val="decimal"/>
      <w:start w:val="10"/>
    </w:lvl>
  </w:abstractNum>
  <w:abstractNum w:abstractNumId="334">
    <w:nsid w:val="7B14914E"/>
    <w:multiLevelType w:val="hybridMultilevel"/>
    <w:lvl w:ilvl="0">
      <w:lvlJc w:val="left"/>
      <w:lvlText w:val="(%1)"/>
      <w:numFmt w:val="lowerRoman"/>
      <w:start w:val="1"/>
    </w:lvl>
    <w:lvl w:ilvl="1">
      <w:lvlJc w:val="left"/>
      <w:lvlText w:val="%2."/>
      <w:numFmt w:val="decimal"/>
      <w:start w:val="12"/>
    </w:lvl>
  </w:abstractNum>
  <w:abstractNum w:abstractNumId="335">
    <w:nsid w:val="6F0939F8"/>
    <w:multiLevelType w:val="hybridMultilevel"/>
    <w:lvl w:ilvl="0">
      <w:lvlJc w:val="left"/>
      <w:lvlText w:val="%1."/>
      <w:numFmt w:val="decimal"/>
      <w:start w:val="13"/>
    </w:lvl>
  </w:abstractNum>
  <w:abstractNum w:abstractNumId="336">
    <w:nsid w:val="154291F6"/>
    <w:multiLevelType w:val="hybridMultilevel"/>
    <w:lvl w:ilvl="0">
      <w:lvlJc w:val="left"/>
      <w:lvlText w:val="%1."/>
      <w:numFmt w:val="decimal"/>
      <w:start w:val="15"/>
    </w:lvl>
  </w:abstractNum>
  <w:abstractNum w:abstractNumId="337">
    <w:nsid w:val="3CEBD7C7"/>
    <w:multiLevelType w:val="hybridMultilevel"/>
    <w:lvl w:ilvl="0">
      <w:lvlJc w:val="left"/>
      <w:lvlText w:val="%1"/>
      <w:numFmt w:val="lowerLetter"/>
      <w:start w:val="1"/>
    </w:lvl>
    <w:lvl w:ilvl="1">
      <w:lvlJc w:val="left"/>
      <w:lvlText w:val="%2."/>
      <w:numFmt w:val="decimal"/>
      <w:start w:val="17"/>
    </w:lvl>
  </w:abstractNum>
  <w:abstractNum w:abstractNumId="338">
    <w:nsid w:val="60EE9C16"/>
    <w:multiLevelType w:val="hybridMultilevel"/>
    <w:lvl w:ilvl="0">
      <w:lvlJc w:val="left"/>
      <w:lvlText w:val="(%1)"/>
      <w:numFmt w:val="lowerLetter"/>
      <w:start w:val="25"/>
    </w:lvl>
    <w:lvl w:ilvl="1">
      <w:lvlJc w:val="left"/>
      <w:lvlText w:val="%2"/>
      <w:numFmt w:val="decimal"/>
      <w:start w:val="1"/>
    </w:lvl>
  </w:abstractNum>
  <w:abstractNum w:abstractNumId="339">
    <w:nsid w:val="6385489E"/>
    <w:multiLevelType w:val="hybridMultilevel"/>
    <w:lvl w:ilvl="0">
      <w:lvlJc w:val="left"/>
      <w:lvlText w:val="%1."/>
      <w:numFmt w:val="decimal"/>
      <w:start w:val="22"/>
    </w:lvl>
  </w:abstractNum>
  <w:abstractNum w:abstractNumId="340">
    <w:nsid w:val="E4B973"/>
    <w:multiLevelType w:val="hybridMultilevel"/>
    <w:lvl w:ilvl="0">
      <w:lvlJc w:val="left"/>
      <w:lvlText w:val="%1."/>
      <w:numFmt w:val="decimal"/>
      <w:start w:val="1"/>
    </w:lvl>
  </w:abstractNum>
  <w:abstractNum w:abstractNumId="341">
    <w:nsid w:val="4A0FFA11"/>
    <w:multiLevelType w:val="hybridMultilevel"/>
    <w:lvl w:ilvl="0">
      <w:lvlJc w:val="left"/>
      <w:lvlText w:val="1"/>
      <w:numFmt w:val="bullet"/>
      <w:start w:val="1"/>
    </w:lvl>
  </w:abstractNum>
  <w:abstractNum w:abstractNumId="342">
    <w:nsid w:val="5E446208"/>
    <w:multiLevelType w:val="hybridMultilevel"/>
    <w:lvl w:ilvl="0">
      <w:lvlJc w:val="left"/>
      <w:lvlText w:val="%1."/>
      <w:numFmt w:val="decimal"/>
      <w:start w:val="1"/>
    </w:lvl>
    <w:lvl w:ilvl="1">
      <w:lvlJc w:val="left"/>
      <w:lvlText w:val="(%2)"/>
      <w:numFmt w:val="lowerLetter"/>
      <w:start w:val="1"/>
    </w:lvl>
  </w:abstractNum>
  <w:abstractNum w:abstractNumId="343">
    <w:nsid w:val="5F3272DB"/>
    <w:multiLevelType w:val="hybridMultilevel"/>
    <w:lvl w:ilvl="0">
      <w:lvlJc w:val="left"/>
      <w:lvlText w:val="(%1)"/>
      <w:numFmt w:val="decimal"/>
      <w:start w:val="2"/>
    </w:lvl>
    <w:lvl w:ilvl="1">
      <w:lvlJc w:val="left"/>
      <w:lvlText w:val="(%2)"/>
      <w:numFmt w:val="lowerLetter"/>
      <w:start w:val="4"/>
    </w:lvl>
  </w:abstractNum>
  <w:abstractNum w:abstractNumId="344">
    <w:nsid w:val="7616D704"/>
    <w:multiLevelType w:val="hybridMultilevel"/>
    <w:lvl w:ilvl="0">
      <w:lvlJc w:val="left"/>
      <w:lvlText w:val="2"/>
      <w:numFmt w:val="bullet"/>
      <w:start w:val="1"/>
    </w:lvl>
  </w:abstractNum>
  <w:abstractNum w:abstractNumId="345">
    <w:nsid w:val="C56F860"/>
    <w:multiLevelType w:val="hybridMultilevel"/>
    <w:lvl w:ilvl="0">
      <w:lvlJc w:val="left"/>
      <w:lvlText w:val="(%1)"/>
      <w:numFmt w:val="upperLetter"/>
      <w:start w:val="3"/>
    </w:lvl>
    <w:lvl w:ilvl="1">
      <w:lvlJc w:val="left"/>
      <w:lvlText w:val="(%2)"/>
      <w:numFmt w:val="lowerLetter"/>
      <w:start w:val="7"/>
    </w:lvl>
  </w:abstractNum>
  <w:abstractNum w:abstractNumId="346">
    <w:nsid w:val="64D17722"/>
    <w:multiLevelType w:val="hybridMultilevel"/>
    <w:lvl w:ilvl="0">
      <w:lvlJc w:val="left"/>
      <w:lvlText w:val="(%1)"/>
      <w:numFmt w:val="upperLetter"/>
      <w:start w:val="2"/>
    </w:lvl>
    <w:lvl w:ilvl="1">
      <w:lvlJc w:val="left"/>
      <w:lvlText w:val="%2"/>
      <w:numFmt w:val="lowerLetter"/>
      <w:start w:val="1"/>
    </w:lvl>
  </w:abstractNum>
  <w:abstractNum w:abstractNumId="347">
    <w:nsid w:val="7924CA0A"/>
    <w:multiLevelType w:val="hybridMultilevel"/>
    <w:lvl w:ilvl="0">
      <w:lvlJc w:val="left"/>
      <w:lvlText w:val="3"/>
      <w:numFmt w:val="bullet"/>
      <w:start w:val="1"/>
    </w:lvl>
  </w:abstractNum>
  <w:abstractNum w:abstractNumId="348">
    <w:nsid w:val="CFD4EA7"/>
    <w:multiLevelType w:val="hybridMultilevel"/>
    <w:lvl w:ilvl="0">
      <w:lvlJc w:val="left"/>
      <w:lvlText w:val="4"/>
      <w:numFmt w:val="bullet"/>
      <w:start w:val="1"/>
    </w:lvl>
  </w:abstractNum>
  <w:abstractNum w:abstractNumId="349">
    <w:nsid w:val="232FCF4D"/>
    <w:multiLevelType w:val="hybridMultilevel"/>
    <w:lvl w:ilvl="0">
      <w:lvlJc w:val="left"/>
      <w:lvlText w:val="%1"/>
      <w:numFmt w:val="decimal"/>
      <w:start w:val="1"/>
    </w:lvl>
    <w:lvl w:ilvl="1">
      <w:lvlJc w:val="left"/>
      <w:lvlText w:val="(%2)"/>
      <w:numFmt w:val="lowerLetter"/>
      <w:start w:val="8"/>
    </w:lvl>
  </w:abstractNum>
  <w:abstractNum w:abstractNumId="350">
    <w:nsid w:val="1EA21031"/>
    <w:multiLevelType w:val="hybridMultilevel"/>
    <w:lvl w:ilvl="0">
      <w:lvlJc w:val="left"/>
      <w:lvlText w:val="%1."/>
      <w:numFmt w:val="decimal"/>
      <w:start w:val="3"/>
    </w:lvl>
    <w:lvl w:ilvl="1">
      <w:lvlJc w:val="left"/>
      <w:lvlText w:val="(%2)"/>
      <w:numFmt w:val="lowerLetter"/>
      <w:start w:val="1"/>
    </w:lvl>
  </w:abstractNum>
  <w:abstractNum w:abstractNumId="351">
    <w:nsid w:val="67A5A6B5"/>
    <w:multiLevelType w:val="hybridMultilevel"/>
    <w:lvl w:ilvl="0">
      <w:lvlJc w:val="left"/>
      <w:lvlText w:val="5"/>
      <w:numFmt w:val="bullet"/>
      <w:start w:val="1"/>
    </w:lvl>
  </w:abstractNum>
  <w:abstractNum w:abstractNumId="352">
    <w:nsid w:val="C2A5C5B"/>
    <w:multiLevelType w:val="hybridMultilevel"/>
    <w:lvl w:ilvl="0">
      <w:lvlJc w:val="left"/>
      <w:lvlText w:val="%1"/>
      <w:numFmt w:val="lowerLetter"/>
      <w:start w:val="1"/>
    </w:lvl>
    <w:lvl w:ilvl="1">
      <w:lvlJc w:val="left"/>
      <w:lvlText w:val="(%2)"/>
      <w:numFmt w:val="lowerLetter"/>
      <w:start w:val="4"/>
    </w:lvl>
  </w:abstractNum>
  <w:abstractNum w:abstractNumId="353">
    <w:nsid w:val="5F94DC03"/>
    <w:multiLevelType w:val="hybridMultilevel"/>
    <w:lvl w:ilvl="0">
      <w:lvlJc w:val="left"/>
      <w:lvlText w:val="(%1)"/>
      <w:numFmt w:val="lowerLetter"/>
      <w:start w:val="9"/>
    </w:lvl>
    <w:lvl w:ilvl="1">
      <w:lvlJc w:val="left"/>
      <w:lvlText w:val="(%2)"/>
      <w:numFmt w:val="lowerLetter"/>
      <w:start w:val="6"/>
    </w:lvl>
  </w:abstractNum>
  <w:abstractNum w:abstractNumId="354">
    <w:nsid w:val="237BBCA0"/>
    <w:multiLevelType w:val="hybridMultilevel"/>
    <w:lvl w:ilvl="0">
      <w:lvlJc w:val="left"/>
      <w:lvlText w:val="%1"/>
      <w:numFmt w:val="decimal"/>
      <w:start w:val="1"/>
    </w:lvl>
    <w:lvl w:ilvl="1">
      <w:lvlJc w:val="left"/>
      <w:lvlText w:val="(%2)"/>
      <w:numFmt w:val="lowerLetter"/>
      <w:start w:val="8"/>
    </w:lvl>
  </w:abstractNum>
  <w:abstractNum w:abstractNumId="355">
    <w:nsid w:val="162EB70D"/>
    <w:multiLevelType w:val="hybridMultilevel"/>
    <w:lvl w:ilvl="0">
      <w:lvlJc w:val="left"/>
      <w:lvlText w:val="%1."/>
      <w:numFmt w:val="decimal"/>
      <w:start w:val="4"/>
    </w:lvl>
    <w:lvl w:ilvl="1">
      <w:lvlJc w:val="left"/>
      <w:lvlText w:val="%2"/>
      <w:numFmt w:val="lowerLetter"/>
      <w:start w:val="1"/>
    </w:lvl>
  </w:abstractNum>
  <w:abstractNum w:abstractNumId="356">
    <w:nsid w:val="78070222"/>
    <w:multiLevelType w:val="hybridMultilevel"/>
    <w:lvl w:ilvl="0">
      <w:lvlJc w:val="left"/>
      <w:lvlText w:val="%1."/>
      <w:numFmt w:val="decimal"/>
      <w:start w:val="7"/>
    </w:lvl>
  </w:abstractNum>
  <w:abstractNum w:abstractNumId="357">
    <w:nsid w:val="6163ED0D"/>
    <w:multiLevelType w:val="hybridMultilevel"/>
    <w:lvl w:ilvl="0">
      <w:lvlJc w:val="left"/>
      <w:lvlText w:val="%1."/>
      <w:numFmt w:val="decimal"/>
      <w:start w:val="9"/>
    </w:lvl>
  </w:abstractNum>
  <w:abstractNum w:abstractNumId="358">
    <w:nsid w:val="C600E47"/>
    <w:multiLevelType w:val="hybridMultilevel"/>
    <w:lvl w:ilvl="0">
      <w:lvlJc w:val="left"/>
      <w:lvlText w:val="%1."/>
      <w:numFmt w:val="decimal"/>
      <w:start w:val="13"/>
    </w:lvl>
  </w:abstractNum>
  <w:abstractNum w:abstractNumId="359">
    <w:nsid w:val="7D94F75D"/>
    <w:multiLevelType w:val="hybridMultilevel"/>
    <w:lvl w:ilvl="0">
      <w:lvlJc w:val="left"/>
      <w:lvlText w:val="6"/>
      <w:numFmt w:val="bullet"/>
      <w:start w:val="1"/>
    </w:lvl>
  </w:abstractNum>
  <w:abstractNum w:abstractNumId="360">
    <w:nsid w:val="6C31E7CD"/>
    <w:multiLevelType w:val="hybridMultilevel"/>
    <w:lvl w:ilvl="0">
      <w:lvlJc w:val="left"/>
      <w:lvlText w:val="(%1)"/>
      <w:numFmt w:val="lowerLetter"/>
      <w:start w:val="1"/>
    </w:lvl>
  </w:abstractNum>
  <w:abstractNum w:abstractNumId="361">
    <w:nsid w:val="2BB7929B"/>
    <w:multiLevelType w:val="hybridMultilevel"/>
    <w:lvl w:ilvl="0">
      <w:lvlJc w:val="left"/>
      <w:lvlText w:val="%1."/>
      <w:numFmt w:val="decimal"/>
      <w:start w:val="1"/>
    </w:lvl>
    <w:lvl w:ilvl="1">
      <w:lvlJc w:val="left"/>
      <w:lvlText w:val="(%2)"/>
      <w:numFmt w:val="lowerLetter"/>
      <w:start w:val="1"/>
    </w:lvl>
  </w:abstractNum>
  <w:abstractNum w:abstractNumId="362">
    <w:nsid w:val="58A2A487"/>
    <w:multiLevelType w:val="hybridMultilevel"/>
    <w:lvl w:ilvl="0">
      <w:lvlJc w:val="left"/>
      <w:lvlText w:val="%1"/>
      <w:numFmt w:val="lowerLetter"/>
      <w:start w:val="1"/>
    </w:lvl>
    <w:lvl w:ilvl="1">
      <w:lvlJc w:val="left"/>
      <w:lvlText w:val="(%2)"/>
      <w:numFmt w:val="lowerLetter"/>
      <w:start w:val="1"/>
    </w:lvl>
  </w:abstractNum>
  <w:abstractNum w:abstractNumId="363">
    <w:nsid w:val="3A6F0E78"/>
    <w:multiLevelType w:val="hybridMultilevel"/>
    <w:lvl w:ilvl="0">
      <w:lvlJc w:val="left"/>
      <w:lvlText w:val="(%1)"/>
      <w:numFmt w:val="lowerLetter"/>
      <w:start w:val="24"/>
    </w:lvl>
    <w:lvl w:ilvl="1">
      <w:lvlJc w:val="left"/>
      <w:lvlText w:val="(%2)"/>
      <w:numFmt w:val="lowerLetter"/>
      <w:start w:val="3"/>
    </w:lvl>
  </w:abstractNum>
  <w:abstractNum w:abstractNumId="364">
    <w:nsid w:val="379A5B56"/>
    <w:multiLevelType w:val="hybridMultilevel"/>
    <w:lvl w:ilvl="0">
      <w:lvlJc w:val="left"/>
      <w:lvlText w:val="(%1)"/>
      <w:numFmt w:val="lowerLetter"/>
      <w:start w:val="4"/>
    </w:lvl>
  </w:abstractNum>
  <w:abstractNum w:abstractNumId="365">
    <w:nsid w:val="53B735D5"/>
    <w:multiLevelType w:val="hybridMultilevel"/>
    <w:lvl w:ilvl="0">
      <w:lvlJc w:val="left"/>
      <w:lvlText w:val="(%1)"/>
      <w:numFmt w:val="lowerLetter"/>
      <w:start w:val="7"/>
    </w:lvl>
  </w:abstractNum>
  <w:abstractNum w:abstractNumId="366">
    <w:nsid w:val="29784870"/>
    <w:multiLevelType w:val="hybridMultilevel"/>
    <w:lvl w:ilvl="0">
      <w:lvlJc w:val="left"/>
      <w:lvlText w:val="(%1)"/>
      <w:numFmt w:val="decimal"/>
      <w:start w:val="60"/>
    </w:lvl>
    <w:lvl w:ilvl="1">
      <w:lvlJc w:val="left"/>
      <w:lvlText w:val="(%2)"/>
      <w:numFmt w:val="lowerLetter"/>
      <w:start w:val="1"/>
    </w:lvl>
    <w:lvl w:ilvl="2">
      <w:lvlJc w:val="left"/>
      <w:lvlText w:val="(%3)"/>
      <w:numFmt w:val="lowerLetter"/>
      <w:start w:val="11"/>
    </w:lvl>
  </w:abstractNum>
  <w:abstractNum w:abstractNumId="367">
    <w:nsid w:val="4CDCED4C"/>
    <w:multiLevelType w:val="hybridMultilevel"/>
    <w:lvl w:ilvl="0">
      <w:lvlJc w:val="left"/>
      <w:lvlText w:val="%1."/>
      <w:numFmt w:val="decimal"/>
      <w:start w:val="2"/>
    </w:lvl>
  </w:abstractNum>
  <w:abstractNum w:abstractNumId="368">
    <w:nsid w:val="10A30D9C"/>
    <w:multiLevelType w:val="hybridMultilevel"/>
    <w:lvl w:ilvl="0">
      <w:lvlJc w:val="left"/>
      <w:lvlText w:val="%1"/>
      <w:numFmt w:val="lowerRoman"/>
      <w:start w:val="1"/>
    </w:lvl>
    <w:lvl w:ilvl="1">
      <w:lvlJc w:val="left"/>
      <w:lvlText w:val="(%2)"/>
      <w:numFmt w:val="lowerLetter"/>
      <w:start w:val="1"/>
    </w:lvl>
  </w:abstractNum>
  <w:abstractNum w:abstractNumId="369">
    <w:nsid w:val="A66E486"/>
    <w:multiLevelType w:val="hybridMultilevel"/>
    <w:lvl w:ilvl="0">
      <w:lvlJc w:val="left"/>
      <w:lvlText w:val="(%1)"/>
      <w:numFmt w:val="lowerRoman"/>
      <w:start w:val="1"/>
    </w:lvl>
    <w:lvl w:ilvl="1">
      <w:lvlJc w:val="left"/>
      <w:lvlText w:val="(%2)"/>
      <w:numFmt w:val="lowerLetter"/>
      <w:start w:val="2"/>
    </w:lvl>
  </w:abstractNum>
  <w:abstractNum w:abstractNumId="370">
    <w:nsid w:val="306235EA"/>
    <w:multiLevelType w:val="hybridMultilevel"/>
    <w:lvl w:ilvl="0">
      <w:lvlJc w:val="left"/>
      <w:lvlText w:val="(%1)"/>
      <w:numFmt w:val="lowerLetter"/>
      <w:start w:val="1"/>
    </w:lvl>
  </w:abstractNum>
  <w:abstractNum w:abstractNumId="371">
    <w:nsid w:val="1187C70F"/>
    <w:multiLevelType w:val="hybridMultilevel"/>
    <w:lvl w:ilvl="0">
      <w:lvlJc w:val="left"/>
      <w:lvlText w:val="(%1)"/>
      <w:numFmt w:val="decimal"/>
      <w:start w:val="100"/>
    </w:lvl>
    <w:lvl w:ilvl="1">
      <w:lvlJc w:val="left"/>
      <w:lvlText w:val="(%2)"/>
      <w:numFmt w:val="lowerLetter"/>
      <w:start w:val="3"/>
    </w:lvl>
  </w:abstractNum>
  <w:abstractNum w:abstractNumId="372">
    <w:nsid w:val="5476DE98"/>
    <w:multiLevelType w:val="hybridMultilevel"/>
    <w:lvl w:ilvl="0">
      <w:lvlJc w:val="left"/>
      <w:lvlText w:val="(%1)"/>
      <w:numFmt w:val="lowerLetter"/>
      <w:start w:val="1"/>
    </w:lvl>
  </w:abstractNum>
  <w:abstractNum w:abstractNumId="373">
    <w:nsid w:val="EA697F2"/>
    <w:multiLevelType w:val="hybridMultilevel"/>
    <w:lvl w:ilvl="0">
      <w:lvlJc w:val="left"/>
      <w:lvlText w:val="(%1)"/>
      <w:numFmt w:val="lowerLetter"/>
      <w:start w:val="3"/>
    </w:lvl>
  </w:abstractNum>
  <w:abstractNum w:abstractNumId="374">
    <w:nsid w:val="70BA39EB"/>
    <w:multiLevelType w:val="hybridMultilevel"/>
    <w:lvl w:ilvl="0">
      <w:lvlJc w:val="left"/>
      <w:lvlText w:val="(%1)"/>
      <w:numFmt w:val="lowerLetter"/>
      <w:start w:val="61"/>
    </w:lvl>
    <w:lvl w:ilvl="1">
      <w:lvlJc w:val="left"/>
      <w:lvlText w:val="(%2)"/>
      <w:numFmt w:val="lowerLetter"/>
      <w:start w:val="11"/>
    </w:lvl>
  </w:abstractNum>
  <w:abstractNum w:abstractNumId="375">
    <w:nsid w:val="4A8DB59C"/>
    <w:multiLevelType w:val="hybridMultilevel"/>
    <w:lvl w:ilvl="0">
      <w:lvlJc w:val="left"/>
      <w:lvlText w:val="(%1)"/>
      <w:numFmt w:val="lowerLetter"/>
      <w:start w:val="1"/>
    </w:lvl>
  </w:abstractNum>
  <w:abstractNum w:abstractNumId="376">
    <w:nsid w:val="1AFD9053"/>
    <w:multiLevelType w:val="hybridMultilevel"/>
    <w:lvl w:ilvl="0">
      <w:lvlJc w:val="left"/>
      <w:lvlText w:val="%1"/>
      <w:numFmt w:val="lowerLetter"/>
      <w:start w:val="1"/>
    </w:lvl>
    <w:lvl w:ilvl="1">
      <w:lvlJc w:val="left"/>
      <w:lvlText w:val="(%2)"/>
      <w:numFmt w:val="lowerLetter"/>
      <w:start w:val="4"/>
    </w:lvl>
  </w:abstractNum>
  <w:abstractNum w:abstractNumId="377">
    <w:nsid w:val="558BB10D"/>
    <w:multiLevelType w:val="hybridMultilevel"/>
    <w:lvl w:ilvl="0">
      <w:lvlJc w:val="left"/>
      <w:lvlText w:val="(%1)"/>
      <w:numFmt w:val="lowerLetter"/>
      <w:start w:val="24"/>
    </w:lvl>
    <w:lvl w:ilvl="1">
      <w:lvlJc w:val="left"/>
      <w:lvlText w:val="(%2)"/>
      <w:numFmt w:val="lowerLetter"/>
      <w:start w:val="5"/>
    </w:lvl>
  </w:abstractNum>
  <w:abstractNum w:abstractNumId="378">
    <w:nsid w:val="43B27FA7"/>
    <w:multiLevelType w:val="hybridMultilevel"/>
    <w:lvl w:ilvl="0">
      <w:lvlJc w:val="left"/>
      <w:lvlText w:val="(%1)"/>
      <w:numFmt w:val="lowerLetter"/>
      <w:start w:val="1"/>
    </w:lvl>
  </w:abstractNum>
  <w:abstractNum w:abstractNumId="379">
    <w:nsid w:val="27FADEFA"/>
    <w:multiLevelType w:val="hybridMultilevel"/>
    <w:lvl w:ilvl="0">
      <w:lvlJc w:val="left"/>
      <w:lvlText w:val="(%1)"/>
      <w:numFmt w:val="lowerLetter"/>
      <w:start w:val="1"/>
    </w:lvl>
  </w:abstractNum>
  <w:abstractNum w:abstractNumId="380">
    <w:nsid w:val="78BB805A"/>
    <w:multiLevelType w:val="hybridMultilevel"/>
    <w:lvl w:ilvl="0">
      <w:lvlJc w:val="left"/>
      <w:lvlText w:val="(%1)"/>
      <w:numFmt w:val="lowerLetter"/>
      <w:start w:val="3"/>
    </w:lvl>
  </w:abstractNum>
  <w:abstractNum w:abstractNumId="381">
    <w:nsid w:val="62548FD8"/>
    <w:multiLevelType w:val="hybridMultilevel"/>
    <w:lvl w:ilvl="0">
      <w:lvlJc w:val="left"/>
      <w:lvlText w:val="(%1)"/>
      <w:numFmt w:val="lowerLetter"/>
      <w:start w:val="1"/>
    </w:lvl>
  </w:abstractNum>
  <w:abstractNum w:abstractNumId="382">
    <w:nsid w:val="FA085B0"/>
    <w:multiLevelType w:val="hybridMultilevel"/>
    <w:lvl w:ilvl="0">
      <w:lvlJc w:val="left"/>
      <w:lvlText w:val="(%1)"/>
      <w:numFmt w:val="lowerLetter"/>
      <w:start w:val="1"/>
    </w:lvl>
  </w:abstractNum>
  <w:abstractNum w:abstractNumId="383">
    <w:nsid w:val="4E5DCB5"/>
    <w:multiLevelType w:val="hybridMultilevel"/>
    <w:lvl w:ilvl="0">
      <w:lvlJc w:val="left"/>
      <w:lvlText w:val="(%1)"/>
      <w:numFmt w:val="decimal"/>
      <w:start w:val="1"/>
    </w:lvl>
  </w:abstractNum>
  <w:abstractNum w:abstractNumId="384">
    <w:nsid w:val="41E96BDB"/>
    <w:multiLevelType w:val="hybridMultilevel"/>
    <w:lvl w:ilvl="0">
      <w:lvlJc w:val="left"/>
      <w:lvlText w:val="%1"/>
      <w:numFmt w:val="lowerLetter"/>
      <w:start w:val="1"/>
    </w:lvl>
    <w:lvl w:ilvl="1">
      <w:lvlJc w:val="left"/>
      <w:lvlText w:val="(%2)"/>
      <w:numFmt w:val="lowerLetter"/>
      <w:start w:val="1"/>
    </w:lvl>
  </w:abstractNum>
  <w:abstractNum w:abstractNumId="385">
    <w:nsid w:val="331C4250"/>
    <w:multiLevelType w:val="hybridMultilevel"/>
    <w:lvl w:ilvl="0">
      <w:lvlJc w:val="left"/>
      <w:lvlText w:val="(%1)"/>
      <w:numFmt w:val="lowerLetter"/>
      <w:start w:val="35"/>
    </w:lvl>
    <w:lvl w:ilvl="1">
      <w:lvlJc w:val="left"/>
      <w:lvlText w:val="(%2)"/>
      <w:numFmt w:val="lowerLetter"/>
      <w:start w:val="2"/>
    </w:lvl>
  </w:abstractNum>
  <w:abstractNum w:abstractNumId="386">
    <w:nsid w:val="1B1493C2"/>
    <w:multiLevelType w:val="hybridMultilevel"/>
    <w:lvl w:ilvl="0">
      <w:lvlJc w:val="left"/>
      <w:lvlText w:val="%1"/>
      <w:numFmt w:val="lowerLetter"/>
      <w:start w:val="1"/>
    </w:lvl>
    <w:lvl w:ilvl="1">
      <w:lvlJc w:val="left"/>
      <w:lvlText w:val="(%2)"/>
      <w:numFmt w:val="lowerLetter"/>
      <w:start w:val="4"/>
    </w:lvl>
  </w:abstractNum>
  <w:abstractNum w:abstractNumId="387">
    <w:nsid w:val="39F06DFD"/>
    <w:multiLevelType w:val="hybridMultilevel"/>
    <w:lvl w:ilvl="0">
      <w:lvlJc w:val="left"/>
      <w:lvlText w:val="(%1)"/>
      <w:numFmt w:val="lowerLetter"/>
      <w:start w:val="35"/>
    </w:lvl>
    <w:lvl w:ilvl="1">
      <w:lvlJc w:val="left"/>
      <w:lvlText w:val="%2"/>
      <w:numFmt w:val="lowerLetter"/>
      <w:start w:val="1"/>
    </w:lvl>
  </w:abstractNum>
  <w:abstractNum w:abstractNumId="388">
    <w:nsid w:val="14802F5D"/>
    <w:multiLevelType w:val="hybridMultilevel"/>
    <w:lvl w:ilvl="0">
      <w:lvlJc w:val="left"/>
      <w:lvlText w:val="(%1)"/>
      <w:numFmt w:val="lowerLetter"/>
      <w:start w:val="25"/>
    </w:lvl>
    <w:lvl w:ilvl="1">
      <w:lvlJc w:val="left"/>
      <w:lvlText w:val="(%2)"/>
      <w:numFmt w:val="lowerLetter"/>
      <w:start w:val="5"/>
    </w:lvl>
  </w:abstractNum>
  <w:abstractNum w:abstractNumId="389">
    <w:nsid w:val="2774A209"/>
    <w:multiLevelType w:val="hybridMultilevel"/>
    <w:lvl w:ilvl="0">
      <w:lvlJc w:val="left"/>
      <w:lvlText w:val="(%1)"/>
      <w:numFmt w:val="lowerLetter"/>
      <w:start w:val="1"/>
    </w:lvl>
  </w:abstractNum>
  <w:abstractNum w:abstractNumId="390">
    <w:nsid w:val="3785655A"/>
    <w:multiLevelType w:val="hybridMultilevel"/>
    <w:lvl w:ilvl="0">
      <w:lvlJc w:val="left"/>
      <w:lvlText w:val="(%1)"/>
      <w:numFmt w:val="lowerLetter"/>
      <w:start w:val="1"/>
    </w:lvl>
  </w:abstractNum>
  <w:abstractNum w:abstractNumId="391">
    <w:nsid w:val="B2172A"/>
    <w:multiLevelType w:val="hybridMultilevel"/>
    <w:lvl w:ilvl="0">
      <w:lvlJc w:val="left"/>
      <w:lvlText w:val="(%1)"/>
      <w:numFmt w:val="lowerLetter"/>
      <w:start w:val="3"/>
    </w:lvl>
  </w:abstractNum>
  <w:abstractNum w:abstractNumId="392">
    <w:nsid w:val="532C34A5"/>
    <w:multiLevelType w:val="hybridMultilevel"/>
    <w:lvl w:ilvl="0">
      <w:lvlJc w:val="left"/>
      <w:lvlText w:val="(%1)"/>
      <w:numFmt w:val="lowerLetter"/>
      <w:start w:val="1"/>
    </w:lvl>
  </w:abstractNum>
  <w:abstractNum w:abstractNumId="393">
    <w:nsid w:val="102809E2"/>
    <w:multiLevelType w:val="hybridMultilevel"/>
    <w:lvl w:ilvl="0">
      <w:lvlJc w:val="left"/>
      <w:lvlText w:val="(%1)"/>
      <w:numFmt w:val="lowerLetter"/>
      <w:start w:val="4"/>
    </w:lvl>
  </w:abstractNum>
  <w:abstractNum w:abstractNumId="394">
    <w:nsid w:val="3B2125A3"/>
    <w:multiLevelType w:val="hybridMultilevel"/>
    <w:lvl w:ilvl="0">
      <w:lvlJc w:val="left"/>
      <w:lvlText w:val="(%1)"/>
      <w:numFmt w:val="decimal"/>
      <w:start w:val="1"/>
    </w:lvl>
  </w:abstractNum>
  <w:abstractNum w:abstractNumId="395">
    <w:nsid w:val="AC68FFB"/>
    <w:multiLevelType w:val="hybridMultilevel"/>
    <w:lvl w:ilvl="0">
      <w:lvlJc w:val="left"/>
      <w:lvlText w:val="%1."/>
      <w:numFmt w:val="decimal"/>
      <w:start w:val="1"/>
    </w:lvl>
  </w:abstractNum>
  <w:abstractNum w:abstractNumId="396">
    <w:nsid w:val="63DF3FB7"/>
    <w:multiLevelType w:val="hybridMultilevel"/>
    <w:lvl w:ilvl="0">
      <w:lvlJc w:val="left"/>
      <w:lvlText w:val="(%1)"/>
      <w:numFmt w:val="lowerLetter"/>
      <w:start w:val="1"/>
    </w:lvl>
  </w:abstractNum>
  <w:abstractNum w:abstractNumId="397">
    <w:nsid w:val="64996E13"/>
    <w:multiLevelType w:val="hybridMultilevel"/>
    <w:lvl w:ilvl="0">
      <w:lvlJc w:val="left"/>
      <w:lvlText w:val="(%1)"/>
      <w:numFmt w:val="lowerRoman"/>
      <w:start w:val="1"/>
    </w:lvl>
  </w:abstractNum>
  <w:abstractNum w:abstractNumId="398">
    <w:nsid w:val="57A37D47"/>
    <w:multiLevelType w:val="hybridMultilevel"/>
    <w:lvl w:ilvl="0">
      <w:lvlJc w:val="left"/>
      <w:lvlText w:val="%1."/>
      <w:numFmt w:val="decimal"/>
      <w:start w:val="2"/>
    </w:lvl>
  </w:abstractNum>
  <w:abstractNum w:abstractNumId="399">
    <w:nsid w:val="74824D54"/>
    <w:multiLevelType w:val="hybridMultilevel"/>
    <w:lvl w:ilvl="0">
      <w:lvlJc w:val="left"/>
      <w:lvlText w:val="[***]"/>
      <w:numFmt w:val="bullet"/>
      <w:start w:val="1"/>
    </w:lvl>
  </w:abstractNum>
  <w:abstractNum w:abstractNumId="400">
    <w:nsid w:val="6F00529A"/>
    <w:multiLevelType w:val="hybridMultilevel"/>
    <w:lvl w:ilvl="0">
      <w:lvlJc w:val="left"/>
      <w:lvlText w:val="(%1)"/>
      <w:numFmt w:val="lowerRoman"/>
      <w:start w:val="2"/>
    </w:lvl>
  </w:abstractNum>
  <w:abstractNum w:abstractNumId="401">
    <w:nsid w:val="805B331"/>
    <w:multiLevelType w:val="hybridMultilevel"/>
    <w:lvl w:ilvl="0">
      <w:lvlJc w:val="left"/>
      <w:lvlText w:val="%1."/>
      <w:numFmt w:val="decimal"/>
      <w:start w:val="3"/>
    </w:lvl>
  </w:abstractNum>
  <w:abstractNum w:abstractNumId="402">
    <w:nsid w:val="60A1463"/>
    <w:multiLevelType w:val="hybridMultilevel"/>
    <w:lvl w:ilvl="0">
      <w:lvlJc w:val="left"/>
      <w:lvlText w:val="(%1)"/>
      <w:numFmt w:val="lowerLetter"/>
      <w:start w:val="1"/>
    </w:lvl>
  </w:abstractNum>
  <w:abstractNum w:abstractNumId="403">
    <w:nsid w:val="43773132"/>
    <w:multiLevelType w:val="hybridMultilevel"/>
    <w:lvl w:ilvl="0">
      <w:lvlJc w:val="left"/>
      <w:lvlText w:val="%1"/>
      <w:numFmt w:val="decimal"/>
      <w:start w:val="1"/>
    </w:lvl>
    <w:lvl w:ilvl="1">
      <w:lvlJc w:val="left"/>
      <w:lvlText w:val="(%2)"/>
      <w:numFmt w:val="lowerLetter"/>
      <w:start w:val="2"/>
    </w:lvl>
  </w:abstractNum>
  <w:abstractNum w:abstractNumId="404">
    <w:nsid w:val="16AC4B23"/>
    <w:multiLevelType w:val="hybridMultilevel"/>
    <w:lvl w:ilvl="0">
      <w:lvlJc w:val="left"/>
      <w:lvlText w:val="%1."/>
      <w:numFmt w:val="decimal"/>
      <w:start w:val="4"/>
    </w:lvl>
    <w:lvl w:ilvl="1">
      <w:lvlJc w:val="left"/>
      <w:lvlText w:val="%2"/>
      <w:numFmt w:val="lowerLetter"/>
      <w:start w:val="1"/>
    </w:lvl>
  </w:abstractNum>
  <w:abstractNum w:abstractNumId="405">
    <w:nsid w:val="76C44E4E"/>
    <w:multiLevelType w:val="hybridMultilevel"/>
    <w:lvl w:ilvl="0">
      <w:lvlJc w:val="left"/>
      <w:lvlText w:val="(%1)"/>
      <w:numFmt w:val="lowerLetter"/>
      <w:start w:val="1"/>
    </w:lvl>
  </w:abstractNum>
  <w:abstractNum w:abstractNumId="406">
    <w:nsid w:val="E04E6CE"/>
    <w:multiLevelType w:val="hybridMultilevel"/>
    <w:lvl w:ilvl="0">
      <w:lvlJc w:val="left"/>
      <w:lvlText w:val="(%1)"/>
      <w:numFmt w:val="lowerLetter"/>
      <w:start w:val="1"/>
    </w:lvl>
  </w:abstractNum>
  <w:abstractNum w:abstractNumId="407">
    <w:nsid w:val="31A9DB76"/>
    <w:multiLevelType w:val="hybridMultilevel"/>
    <w:lvl w:ilvl="0">
      <w:lvlJc w:val="left"/>
      <w:lvlText w:val="%1."/>
      <w:numFmt w:val="decimal"/>
      <w:start w:val="6"/>
    </w:lvl>
  </w:abstractNum>
  <w:abstractNum w:abstractNumId="408">
    <w:nsid w:val="4C4FFF5B"/>
    <w:multiLevelType w:val="hybridMultilevel"/>
    <w:lvl w:ilvl="0">
      <w:lvlJc w:val="left"/>
      <w:lvlText w:val="(%1)"/>
      <w:numFmt w:val="lowerRoman"/>
      <w:start w:val="2"/>
    </w:lvl>
  </w:abstractNum>
  <w:abstractNum w:abstractNumId="409">
    <w:nsid w:val="51B76675"/>
    <w:multiLevelType w:val="hybridMultilevel"/>
    <w:lvl w:ilvl="0">
      <w:lvlJc w:val="left"/>
      <w:lvlText w:val="%1."/>
      <w:numFmt w:val="decimal"/>
      <w:start w:val="7"/>
    </w:lvl>
  </w:abstractNum>
  <w:abstractNum w:abstractNumId="410">
    <w:nsid w:val="59A4BA71"/>
    <w:multiLevelType w:val="hybridMultilevel"/>
    <w:lvl w:ilvl="0">
      <w:lvlJc w:val="left"/>
      <w:lvlText w:val="(%1)"/>
      <w:numFmt w:val="lowerRoman"/>
      <w:start w:val="1"/>
    </w:lvl>
  </w:abstractNum>
  <w:abstractNum w:abstractNumId="411">
    <w:nsid w:val="450B7FB6"/>
    <w:multiLevelType w:val="hybridMultilevel"/>
    <w:lvl w:ilvl="0">
      <w:lvlJc w:val="left"/>
      <w:lvlText w:val="(%1)"/>
      <w:numFmt w:val="lowerRoman"/>
      <w:start w:val="1"/>
    </w:lvl>
  </w:abstractNum>
  <w:abstractNum w:abstractNumId="412">
    <w:nsid w:val="340BF64D"/>
    <w:multiLevelType w:val="hybridMultilevel"/>
    <w:lvl w:ilvl="0">
      <w:lvlJc w:val="left"/>
      <w:lvlText w:val="(%1)"/>
      <w:numFmt w:val="lowerLetter"/>
      <w:start w:val="1"/>
    </w:lvl>
  </w:abstractNum>
  <w:abstractNum w:abstractNumId="413">
    <w:nsid w:val="69454021"/>
    <w:multiLevelType w:val="hybridMultilevel"/>
    <w:lvl w:ilvl="0">
      <w:lvlJc w:val="left"/>
      <w:lvlText w:val="(%1)"/>
      <w:numFmt w:val="lowerLetter"/>
      <w:start w:val="1"/>
    </w:lvl>
  </w:abstractNum>
  <w:abstractNum w:abstractNumId="414">
    <w:nsid w:val="49F15C6B"/>
    <w:multiLevelType w:val="hybridMultilevel"/>
    <w:lvl w:ilvl="0">
      <w:lvlJc w:val="left"/>
      <w:lvlText w:val="%1."/>
      <w:numFmt w:val="decimal"/>
      <w:start w:val="8"/>
    </w:lvl>
  </w:abstractNum>
  <w:abstractNum w:abstractNumId="415">
    <w:nsid w:val="75F56228"/>
    <w:multiLevelType w:val="hybridMultilevel"/>
    <w:lvl w:ilvl="0">
      <w:lvlJc w:val="left"/>
      <w:lvlText w:val="[***]"/>
      <w:numFmt w:val="bullet"/>
      <w:start w:val="1"/>
    </w:lvl>
  </w:abstractNum>
  <w:abstractNum w:abstractNumId="416">
    <w:nsid w:val="1C618271"/>
    <w:multiLevelType w:val="hybridMultilevel"/>
    <w:lvl w:ilvl="0">
      <w:lvlJc w:val="left"/>
      <w:lvlText w:val="[***]"/>
      <w:numFmt w:val="bullet"/>
      <w:start w:val="1"/>
    </w:lvl>
  </w:abstractNum>
  <w:abstractNum w:abstractNumId="417">
    <w:nsid w:val="6505F02E"/>
    <w:multiLevelType w:val="hybridMultilevel"/>
    <w:lvl w:ilvl="0">
      <w:lvlJc w:val="left"/>
      <w:lvlText w:val="[***]"/>
      <w:numFmt w:val="bullet"/>
      <w:start w:val="1"/>
    </w:lvl>
  </w:abstractNum>
  <w:abstractNum w:abstractNumId="418">
    <w:nsid w:val="2FE5D025"/>
    <w:multiLevelType w:val="hybridMultilevel"/>
    <w:lvl w:ilvl="0">
      <w:lvlJc w:val="left"/>
      <w:lvlText w:val="%1."/>
      <w:numFmt w:val="decimal"/>
      <w:start w:val="10"/>
    </w:lvl>
    <w:lvl w:ilvl="1">
      <w:lvlJc w:val="left"/>
      <w:lvlText w:val="(%2)"/>
      <w:numFmt w:val="lowerRoman"/>
      <w:start w:val="1"/>
    </w:lvl>
  </w:abstractNum>
  <w:abstractNum w:abstractNumId="419">
    <w:nsid w:val="30E1B1CF"/>
    <w:multiLevelType w:val="hybridMultilevel"/>
    <w:lvl w:ilvl="0">
      <w:lvlJc w:val="left"/>
      <w:lvlText w:val="(%1)"/>
      <w:numFmt w:val="lowerLetter"/>
      <w:start w:val="1"/>
    </w:lvl>
  </w:abstractNum>
  <w:abstractNum w:abstractNumId="420">
    <w:nsid w:val="C7A9237"/>
    <w:multiLevelType w:val="hybridMultilevel"/>
    <w:lvl w:ilvl="0">
      <w:lvlJc w:val="left"/>
      <w:lvlText w:val="(%1)"/>
      <w:numFmt w:val="lowerLetter"/>
      <w:start w:val="3"/>
    </w:lvl>
  </w:abstractNum>
  <w:abstractNum w:abstractNumId="421">
    <w:nsid w:val="676B3580"/>
    <w:multiLevelType w:val="hybridMultilevel"/>
    <w:lvl w:ilvl="0">
      <w:lvlJc w:val="left"/>
      <w:lvlText w:val="%1."/>
      <w:numFmt w:val="decimal"/>
      <w:start w:val="11"/>
    </w:lvl>
  </w:abstractNum>
  <w:abstractNum w:abstractNumId="422">
    <w:nsid w:val="3193C8F9"/>
    <w:multiLevelType w:val="hybridMultilevel"/>
    <w:lvl w:ilvl="0">
      <w:lvlJc w:val="left"/>
      <w:lvlText w:val="(%1)"/>
      <w:numFmt w:val="lowerLetter"/>
      <w:start w:val="1"/>
    </w:lvl>
  </w:abstractNum>
  <w:abstractNum w:abstractNumId="423">
    <w:nsid w:val="5FA6C6DC"/>
    <w:multiLevelType w:val="hybridMultilevel"/>
    <w:lvl w:ilvl="0">
      <w:lvlJc w:val="left"/>
      <w:lvlText w:val="%1."/>
      <w:numFmt w:val="decimal"/>
      <w:start w:val="12"/>
    </w:lvl>
  </w:abstractNum>
  <w:abstractNum w:abstractNumId="424">
    <w:nsid w:val="77933F62"/>
    <w:multiLevelType w:val="hybridMultilevel"/>
    <w:lvl w:ilvl="0">
      <w:lvlJc w:val="left"/>
      <w:lvlText w:val="%1."/>
      <w:numFmt w:val="decimal"/>
      <w:start w:val="13"/>
    </w:lvl>
  </w:abstractNum>
  <w:abstractNum w:abstractNumId="425">
    <w:nsid w:val="6CB4EE9C"/>
    <w:multiLevelType w:val="hybridMultilevel"/>
    <w:lvl w:ilvl="0">
      <w:lvlJc w:val="left"/>
      <w:lvlText w:val="(%1)"/>
      <w:numFmt w:val="lowerLetter"/>
      <w:start w:val="5"/>
    </w:lvl>
  </w:abstractNum>
  <w:abstractNum w:abstractNumId="426">
    <w:nsid w:val="6A6D56D7"/>
    <w:multiLevelType w:val="hybridMultilevel"/>
    <w:lvl w:ilvl="0">
      <w:lvlJc w:val="left"/>
      <w:lvlText w:val="(%1)"/>
      <w:numFmt w:val="lowerLetter"/>
      <w:start w:val="26"/>
    </w:lvl>
  </w:abstractNum>
  <w:abstractNum w:abstractNumId="427">
    <w:nsid w:val="5B727F19"/>
    <w:multiLevelType w:val="hybridMultilevel"/>
    <w:lvl w:ilvl="0">
      <w:lvlJc w:val="left"/>
      <w:lvlText w:val="%1."/>
      <w:numFmt w:val="decimal"/>
      <w:start w:val="13"/>
    </w:lvl>
    <w:lvl w:ilvl="1">
      <w:lvlJc w:val="left"/>
      <w:lvlText w:val="[***]"/>
      <w:numFmt w:val="bullet"/>
      <w:start w:val="1"/>
    </w:lvl>
  </w:abstractNum>
  <w:abstractNum w:abstractNumId="428">
    <w:nsid w:val="514E5CB0"/>
    <w:multiLevelType w:val="hybridMultilevel"/>
    <w:lvl w:ilvl="0">
      <w:lvlJc w:val="left"/>
      <w:lvlText w:val="%1."/>
      <w:numFmt w:val="decimal"/>
      <w:start w:val="15"/>
    </w:lvl>
  </w:abstractNum>
  <w:abstractNum w:abstractNumId="429">
    <w:nsid w:val="4210D41E"/>
    <w:multiLevelType w:val="hybridMultilevel"/>
    <w:lvl w:ilvl="0">
      <w:lvlJc w:val="left"/>
      <w:lvlText w:val="(%1)"/>
      <w:numFmt w:val="lowerLetter"/>
      <w:start w:val="1"/>
    </w:lvl>
    <w:lvl w:ilvl="1">
      <w:lvlJc w:val="left"/>
      <w:lvlText w:val="(%2)"/>
      <w:numFmt w:val="lowerRoman"/>
      <w:start w:val="1"/>
    </w:lvl>
  </w:abstractNum>
  <w:abstractNum w:abstractNumId="430">
    <w:nsid w:val="4FF4CC6D"/>
    <w:multiLevelType w:val="hybridMultilevel"/>
    <w:lvl w:ilvl="0">
      <w:lvlJc w:val="left"/>
      <w:lvlText w:val="(%1)"/>
      <w:numFmt w:val="lowerRoman"/>
      <w:start w:val="2"/>
    </w:lvl>
  </w:abstractNum>
  <w:abstractNum w:abstractNumId="431">
    <w:nsid w:val="404EAF4A"/>
    <w:multiLevelType w:val="hybridMultilevel"/>
    <w:lvl w:ilvl="0">
      <w:lvlJc w:val="left"/>
      <w:lvlText w:val="(%1)"/>
      <w:numFmt w:val="lowerRoman"/>
      <w:start w:val="6"/>
    </w:lvl>
  </w:abstractNum>
  <w:abstractNum w:abstractNumId="432">
    <w:nsid w:val="4A16874F"/>
    <w:multiLevelType w:val="hybridMultilevel"/>
    <w:lvl w:ilvl="0">
      <w:lvlJc w:val="left"/>
      <w:lvlText w:val="(%1)"/>
      <w:numFmt w:val="lowerLetter"/>
      <w:start w:val="1"/>
    </w:lvl>
  </w:abstractNum>
  <w:abstractNum w:abstractNumId="433">
    <w:nsid w:val="55FEE0D1"/>
    <w:multiLevelType w:val="hybridMultilevel"/>
    <w:lvl w:ilvl="0">
      <w:lvlJc w:val="left"/>
      <w:lvlText w:val="(%1)"/>
      <w:numFmt w:val="lowerRoman"/>
      <w:start w:val="1"/>
    </w:lvl>
  </w:abstractNum>
  <w:abstractNum w:abstractNumId="434">
    <w:nsid w:val="3C5E07C"/>
    <w:multiLevelType w:val="hybridMultilevel"/>
    <w:lvl w:ilvl="0">
      <w:lvlJc w:val="left"/>
      <w:lvlText w:val="(%1)"/>
      <w:numFmt w:val="lowerRoman"/>
      <w:start w:val="5"/>
    </w:lvl>
  </w:abstractNum>
  <w:abstractNum w:abstractNumId="435">
    <w:nsid w:val="60C2D273"/>
    <w:multiLevelType w:val="hybridMultilevel"/>
    <w:lvl w:ilvl="0">
      <w:lvlJc w:val="left"/>
      <w:lvlText w:val="(%1)"/>
      <w:numFmt w:val="lowerLetter"/>
      <w:start w:val="1"/>
    </w:lvl>
    <w:lvl w:ilvl="1">
      <w:lvlJc w:val="left"/>
      <w:lvlText w:val="(%2)"/>
      <w:numFmt w:val="lowerRoman"/>
      <w:start w:val="1"/>
    </w:lvl>
  </w:abstractNum>
  <w:abstractNum w:abstractNumId="436">
    <w:nsid w:val="4CC32F1F"/>
    <w:multiLevelType w:val="hybridMultilevel"/>
    <w:lvl w:ilvl="0">
      <w:lvlJc w:val="left"/>
      <w:lvlText w:val="(%1)"/>
      <w:numFmt w:val="lowerRoman"/>
      <w:start w:val="4"/>
    </w:lvl>
  </w:abstractNum>
  <w:abstractNum w:abstractNumId="437">
    <w:nsid w:val="11CAC74A"/>
    <w:multiLevelType w:val="hybridMultilevel"/>
    <w:lvl w:ilvl="0">
      <w:lvlJc w:val="left"/>
      <w:lvlText w:val="(%1)"/>
      <w:numFmt w:val="lowerLetter"/>
      <w:start w:val="1"/>
    </w:lvl>
    <w:lvl w:ilvl="1">
      <w:lvlJc w:val="left"/>
      <w:lvlText w:val="(%2)"/>
      <w:numFmt w:val="lowerRoman"/>
      <w:start w:val="1"/>
    </w:lvl>
  </w:abstractNum>
  <w:abstractNum w:abstractNumId="438">
    <w:nsid w:val="126CADE9"/>
    <w:multiLevelType w:val="hybridMultilevel"/>
    <w:lvl w:ilvl="0">
      <w:lvlJc w:val="left"/>
      <w:lvlText w:val="(%1)"/>
      <w:numFmt w:val="lowerRoman"/>
      <w:start w:val="2"/>
    </w:lvl>
  </w:abstractNum>
  <w:abstractNum w:abstractNumId="439">
    <w:nsid w:val="19132E7B"/>
    <w:multiLevelType w:val="hybridMultilevel"/>
    <w:lvl w:ilvl="0">
      <w:lvlJc w:val="left"/>
      <w:lvlText w:val="(%1)"/>
      <w:numFmt w:val="lowerRoman"/>
      <w:start w:val="5"/>
    </w:lvl>
  </w:abstractNum>
  <w:abstractNum w:abstractNumId="440">
    <w:nsid w:val="63822DC0"/>
    <w:multiLevelType w:val="hybridMultilevel"/>
    <w:lvl w:ilvl="0">
      <w:lvlJc w:val="left"/>
      <w:lvlText w:val="%1."/>
      <w:numFmt w:val="decimal"/>
      <w:start w:val="16"/>
    </w:lvl>
  </w:abstractNum>
  <w:abstractNum w:abstractNumId="441">
    <w:nsid w:val="6C11685A"/>
    <w:multiLevelType w:val="hybridMultilevel"/>
    <w:lvl w:ilvl="0">
      <w:lvlJc w:val="left"/>
      <w:lvlText w:val="%1."/>
      <w:numFmt w:val="decimal"/>
      <w:start w:val="17"/>
    </w:lvl>
    <w:lvl w:ilvl="1">
      <w:lvlJc w:val="left"/>
      <w:lvlText w:val="[***]"/>
      <w:numFmt w:val="bullet"/>
      <w:start w:val="1"/>
    </w:lvl>
  </w:abstractNum>
  <w:abstractNum w:abstractNumId="442">
    <w:nsid w:val="5E1EAE31"/>
    <w:multiLevelType w:val="hybridMultilevel"/>
    <w:lvl w:ilvl="0">
      <w:lvlJc w:val="left"/>
      <w:lvlText w:val="[***]"/>
      <w:numFmt w:val="bullet"/>
      <w:start w:val="1"/>
    </w:lvl>
  </w:abstractNum>
  <w:abstractNum w:abstractNumId="443">
    <w:nsid w:val="178E240D"/>
    <w:multiLevelType w:val="hybridMultilevel"/>
    <w:lvl w:ilvl="0">
      <w:lvlJc w:val="left"/>
      <w:lvlText w:val="%1."/>
      <w:numFmt w:val="decimal"/>
      <w:start w:val="18"/>
    </w:lvl>
  </w:abstractNum>
  <w:abstractNum w:abstractNumId="444">
    <w:nsid w:val="5556A87B"/>
    <w:multiLevelType w:val="hybridMultilevel"/>
    <w:lvl w:ilvl="0">
      <w:lvlJc w:val="left"/>
      <w:lvlText w:val="(%1)"/>
      <w:numFmt w:val="decimal"/>
      <w:start w:val="2"/>
    </w:lvl>
  </w:abstractNum>
  <w:abstractNum w:abstractNumId="445">
    <w:nsid w:val="28100A9C"/>
    <w:multiLevelType w:val="hybridMultilevel"/>
    <w:lvl w:ilvl="0">
      <w:lvlJc w:val="left"/>
      <w:lvlText w:val="(%1)"/>
      <w:numFmt w:val="decimal"/>
      <w:start w:val="2"/>
    </w:lvl>
  </w:abstractNum>
  <w:abstractNum w:abstractNumId="446">
    <w:nsid w:val="D838636"/>
    <w:multiLevelType w:val="hybridMultilevel"/>
    <w:lvl w:ilvl="0">
      <w:lvlJc w:val="left"/>
      <w:lvlText w:val="%1."/>
      <w:numFmt w:val="decimal"/>
      <w:start w:val="1"/>
    </w:lvl>
  </w:abstractNum>
  <w:abstractNum w:abstractNumId="447">
    <w:nsid w:val="71B82AED"/>
    <w:multiLevelType w:val="hybridMultilevel"/>
    <w:lvl w:ilvl="0">
      <w:lvlJc w:val="left"/>
      <w:lvlText w:val="%1."/>
      <w:numFmt w:val="decimal"/>
      <w:start w:val="2"/>
    </w:lvl>
  </w:abstractNum>
  <w:abstractNum w:abstractNumId="448">
    <w:nsid w:val="D15FACA"/>
    <w:multiLevelType w:val="hybridMultilevel"/>
    <w:lvl w:ilvl="0">
      <w:lvlJc w:val="left"/>
      <w:lvlText w:val="%1."/>
      <w:numFmt w:val="decimal"/>
      <w:start w:val="4"/>
    </w:lvl>
  </w:abstractNum>
  <w:abstractNum w:abstractNumId="449">
    <w:nsid w:val="3D69565B"/>
    <w:multiLevelType w:val="hybridMultilevel"/>
    <w:lvl w:ilvl="0">
      <w:lvlJc w:val="left"/>
      <w:lvlText w:val="*"/>
      <w:numFmt w:val="bullet"/>
      <w:start w:val="1"/>
    </w:lvl>
  </w:abstractNum>
  <w:abstractNum w:abstractNumId="450">
    <w:nsid w:val="2299DCBC"/>
    <w:multiLevelType w:val="hybridMultilevel"/>
    <w:lvl w:ilvl="0">
      <w:lvlJc w:val="left"/>
      <w:lvlText w:val="(%1)"/>
      <w:numFmt w:val="decimal"/>
      <w:start w:val="1"/>
    </w:lvl>
  </w:abstractNum>
  <w:abstractNum w:abstractNumId="451">
    <w:nsid w:val="19908D02"/>
    <w:multiLevelType w:val="hybridMultilevel"/>
    <w:lvl w:ilvl="0">
      <w:lvlJc w:val="left"/>
      <w:lvlText w:val="%1."/>
      <w:numFmt w:val="decimal"/>
      <w:start w:val="1"/>
    </w:lvl>
    <w:lvl w:ilvl="1">
      <w:lvlJc w:val="left"/>
      <w:lvlText w:val="(%2)"/>
      <w:numFmt w:val="lowerLetter"/>
      <w:start w:val="1"/>
    </w:lvl>
  </w:abstractNum>
  <w:abstractNum w:abstractNumId="452">
    <w:nsid w:val="24D48BDB"/>
    <w:multiLevelType w:val="hybridMultilevel"/>
    <w:lvl w:ilvl="0">
      <w:lvlJc w:val="left"/>
      <w:lvlText w:val="%1."/>
      <w:numFmt w:val="decimal"/>
      <w:start w:val="1"/>
    </w:lvl>
    <w:lvl w:ilvl="1">
      <w:lvlJc w:val="left"/>
      <w:lvlText w:val="(%2)"/>
      <w:numFmt w:val="lowerLetter"/>
      <w:start w:val="1"/>
    </w:lvl>
  </w:abstractNum>
  <w:abstractNum w:abstractNumId="453">
    <w:nsid w:val="542DA5B5"/>
    <w:multiLevelType w:val="hybridMultilevel"/>
    <w:lvl w:ilvl="0">
      <w:lvlJc w:val="left"/>
      <w:lvlText w:val="%1."/>
      <w:numFmt w:val="decimal"/>
      <w:start w:val="1"/>
    </w:lvl>
  </w:abstractNum>
  <w:abstractNum w:abstractNumId="454">
    <w:nsid w:val="793753D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8" Type="http://schemas.openxmlformats.org/officeDocument/2006/relationships/image" Target="media/image268.png"/><Relationship Id="rId288" Type="http://schemas.openxmlformats.org/officeDocument/2006/relationships/image" Target="media/image269.png"/><Relationship Id="rId294" Type="http://schemas.openxmlformats.org/officeDocument/2006/relationships/image" Target="media/image270.png"/><Relationship Id="rId304" Type="http://schemas.openxmlformats.org/officeDocument/2006/relationships/image" Target="media/image271.png"/><Relationship Id="rId314" Type="http://schemas.openxmlformats.org/officeDocument/2006/relationships/image" Target="media/image272.png"/><Relationship Id="rId322" Type="http://schemas.openxmlformats.org/officeDocument/2006/relationships/image" Target="media/image273.png"/><Relationship Id="rId323" Type="http://schemas.openxmlformats.org/officeDocument/2006/relationships/image" Target="media/image274.png"/><Relationship Id="rId324" Type="http://schemas.openxmlformats.org/officeDocument/2006/relationships/image" Target="media/image275.png"/><Relationship Id="rId325" Type="http://schemas.openxmlformats.org/officeDocument/2006/relationships/image" Target="media/image276.png"/><Relationship Id="rId326" Type="http://schemas.openxmlformats.org/officeDocument/2006/relationships/image" Target="media/image277.png"/><Relationship Id="rId327" Type="http://schemas.openxmlformats.org/officeDocument/2006/relationships/image" Target="media/image278.png"/><Relationship Id="rId328" Type="http://schemas.openxmlformats.org/officeDocument/2006/relationships/image" Target="media/image279.png"/><Relationship Id="rId329" Type="http://schemas.openxmlformats.org/officeDocument/2006/relationships/image" Target="media/image280.png"/><Relationship Id="rId330" Type="http://schemas.openxmlformats.org/officeDocument/2006/relationships/image" Target="media/image281.png"/><Relationship Id="rId331" Type="http://schemas.openxmlformats.org/officeDocument/2006/relationships/image" Target="media/image282.png"/><Relationship Id="rId332" Type="http://schemas.openxmlformats.org/officeDocument/2006/relationships/image" Target="media/image283.png"/><Relationship Id="rId333" Type="http://schemas.openxmlformats.org/officeDocument/2006/relationships/image" Target="media/image284.png"/><Relationship Id="rId334" Type="http://schemas.openxmlformats.org/officeDocument/2006/relationships/image" Target="media/image285.png"/><Relationship Id="rId335" Type="http://schemas.openxmlformats.org/officeDocument/2006/relationships/image" Target="media/image286.png"/><Relationship Id="rId336" Type="http://schemas.openxmlformats.org/officeDocument/2006/relationships/image" Target="media/image287.png"/><Relationship Id="rId337" Type="http://schemas.openxmlformats.org/officeDocument/2006/relationships/image" Target="media/image288.png"/><Relationship Id="rId338" Type="http://schemas.openxmlformats.org/officeDocument/2006/relationships/image" Target="media/image289.png"/><Relationship Id="rId339" Type="http://schemas.openxmlformats.org/officeDocument/2006/relationships/image" Target="media/image290.png"/><Relationship Id="rId340" Type="http://schemas.openxmlformats.org/officeDocument/2006/relationships/image" Target="media/image291.png"/><Relationship Id="rId341" Type="http://schemas.openxmlformats.org/officeDocument/2006/relationships/image" Target="media/image292.png"/><Relationship Id="rId342" Type="http://schemas.openxmlformats.org/officeDocument/2006/relationships/image" Target="media/image293.png"/><Relationship Id="rId343" Type="http://schemas.openxmlformats.org/officeDocument/2006/relationships/image" Target="media/image294.png"/><Relationship Id="rId344" Type="http://schemas.openxmlformats.org/officeDocument/2006/relationships/image" Target="media/image295.png"/><Relationship Id="rId345" Type="http://schemas.openxmlformats.org/officeDocument/2006/relationships/image" Target="media/image296.png"/><Relationship Id="rId346" Type="http://schemas.openxmlformats.org/officeDocument/2006/relationships/image" Target="media/image297.png"/><Relationship Id="rId347" Type="http://schemas.openxmlformats.org/officeDocument/2006/relationships/image" Target="media/image298.png"/><Relationship Id="rId348" Type="http://schemas.openxmlformats.org/officeDocument/2006/relationships/image" Target="media/image299.png"/><Relationship Id="rId349" Type="http://schemas.openxmlformats.org/officeDocument/2006/relationships/image" Target="media/image300.png"/><Relationship Id="rId350" Type="http://schemas.openxmlformats.org/officeDocument/2006/relationships/image" Target="media/image301.png"/><Relationship Id="rId351" Type="http://schemas.openxmlformats.org/officeDocument/2006/relationships/image" Target="media/image302.png"/><Relationship Id="rId352" Type="http://schemas.openxmlformats.org/officeDocument/2006/relationships/image" Target="media/image303.png"/><Relationship Id="rId353" Type="http://schemas.openxmlformats.org/officeDocument/2006/relationships/image" Target="media/image304.png"/><Relationship Id="rId354" Type="http://schemas.openxmlformats.org/officeDocument/2006/relationships/image" Target="media/image305.png"/><Relationship Id="rId355" Type="http://schemas.openxmlformats.org/officeDocument/2006/relationships/image" Target="media/image306.png"/><Relationship Id="rId356" Type="http://schemas.openxmlformats.org/officeDocument/2006/relationships/image" Target="media/image307.png"/><Relationship Id="rId357" Type="http://schemas.openxmlformats.org/officeDocument/2006/relationships/image" Target="media/image308.png"/><Relationship Id="rId358" Type="http://schemas.openxmlformats.org/officeDocument/2006/relationships/image" Target="media/image309.png"/><Relationship Id="rId359" Type="http://schemas.openxmlformats.org/officeDocument/2006/relationships/image" Target="media/image310.png"/><Relationship Id="rId360" Type="http://schemas.openxmlformats.org/officeDocument/2006/relationships/image" Target="media/image311.png"/><Relationship Id="rId361" Type="http://schemas.openxmlformats.org/officeDocument/2006/relationships/image" Target="media/image312.png"/><Relationship Id="rId362" Type="http://schemas.openxmlformats.org/officeDocument/2006/relationships/image" Target="media/image313.png"/><Relationship Id="rId363" Type="http://schemas.openxmlformats.org/officeDocument/2006/relationships/image" Target="media/image314.png"/><Relationship Id="rId364" Type="http://schemas.openxmlformats.org/officeDocument/2006/relationships/image" Target="media/image315.png"/><Relationship Id="rId365" Type="http://schemas.openxmlformats.org/officeDocument/2006/relationships/image" Target="media/image316.png"/><Relationship Id="rId366" Type="http://schemas.openxmlformats.org/officeDocument/2006/relationships/image" Target="media/image317.png"/><Relationship Id="rId367" Type="http://schemas.openxmlformats.org/officeDocument/2006/relationships/image" Target="media/image318.png"/><Relationship Id="rId368" Type="http://schemas.openxmlformats.org/officeDocument/2006/relationships/image" Target="media/image319.png"/><Relationship Id="rId369" Type="http://schemas.openxmlformats.org/officeDocument/2006/relationships/image" Target="media/image320.png"/><Relationship Id="rId370" Type="http://schemas.openxmlformats.org/officeDocument/2006/relationships/image" Target="media/image321.png"/><Relationship Id="rId371" Type="http://schemas.openxmlformats.org/officeDocument/2006/relationships/image" Target="media/image322.png"/><Relationship Id="rId372" Type="http://schemas.openxmlformats.org/officeDocument/2006/relationships/image" Target="media/image323.png"/><Relationship Id="rId373" Type="http://schemas.openxmlformats.org/officeDocument/2006/relationships/image" Target="media/image324.png"/><Relationship Id="rId374" Type="http://schemas.openxmlformats.org/officeDocument/2006/relationships/image" Target="media/image325.png"/><Relationship Id="rId375" Type="http://schemas.openxmlformats.org/officeDocument/2006/relationships/image" Target="media/image326.png"/><Relationship Id="rId376" Type="http://schemas.openxmlformats.org/officeDocument/2006/relationships/image" Target="media/image327.png"/><Relationship Id="rId377" Type="http://schemas.openxmlformats.org/officeDocument/2006/relationships/image" Target="media/image328.png"/><Relationship Id="rId378" Type="http://schemas.openxmlformats.org/officeDocument/2006/relationships/image" Target="media/image329.png"/><Relationship Id="rId379" Type="http://schemas.openxmlformats.org/officeDocument/2006/relationships/image" Target="media/image330.png"/><Relationship Id="rId380" Type="http://schemas.openxmlformats.org/officeDocument/2006/relationships/image" Target="media/image331.png"/><Relationship Id="rId381" Type="http://schemas.openxmlformats.org/officeDocument/2006/relationships/image" Target="media/image332.png"/><Relationship Id="rId382" Type="http://schemas.openxmlformats.org/officeDocument/2006/relationships/image" Target="media/image333.png"/><Relationship Id="rId383" Type="http://schemas.openxmlformats.org/officeDocument/2006/relationships/image" Target="media/image334.png"/><Relationship Id="rId384" Type="http://schemas.openxmlformats.org/officeDocument/2006/relationships/image" Target="media/image335.png"/><Relationship Id="rId385" Type="http://schemas.openxmlformats.org/officeDocument/2006/relationships/image" Target="media/image336.png"/><Relationship Id="rId386" Type="http://schemas.openxmlformats.org/officeDocument/2006/relationships/image" Target="media/image337.png"/><Relationship Id="rId387" Type="http://schemas.openxmlformats.org/officeDocument/2006/relationships/image" Target="media/image338.png"/><Relationship Id="rId388" Type="http://schemas.openxmlformats.org/officeDocument/2006/relationships/image" Target="media/image339.png"/><Relationship Id="rId389" Type="http://schemas.openxmlformats.org/officeDocument/2006/relationships/image" Target="media/image340.png"/><Relationship Id="rId390" Type="http://schemas.openxmlformats.org/officeDocument/2006/relationships/image" Target="media/image341.png"/><Relationship Id="rId391" Type="http://schemas.openxmlformats.org/officeDocument/2006/relationships/image" Target="media/image342.png"/><Relationship Id="rId392" Type="http://schemas.openxmlformats.org/officeDocument/2006/relationships/image" Target="media/image343.png"/><Relationship Id="rId393" Type="http://schemas.openxmlformats.org/officeDocument/2006/relationships/image" Target="media/image344.png"/><Relationship Id="rId394" Type="http://schemas.openxmlformats.org/officeDocument/2006/relationships/image" Target="media/image345.png"/><Relationship Id="rId395" Type="http://schemas.openxmlformats.org/officeDocument/2006/relationships/image" Target="media/image346.png"/><Relationship Id="rId396" Type="http://schemas.openxmlformats.org/officeDocument/2006/relationships/image" Target="media/image347.png"/><Relationship Id="rId397" Type="http://schemas.openxmlformats.org/officeDocument/2006/relationships/image" Target="media/image348.png"/><Relationship Id="rId398" Type="http://schemas.openxmlformats.org/officeDocument/2006/relationships/image" Target="media/image349.png"/><Relationship Id="rId399" Type="http://schemas.openxmlformats.org/officeDocument/2006/relationships/image" Target="media/image350.png"/><Relationship Id="rId400" Type="http://schemas.openxmlformats.org/officeDocument/2006/relationships/image" Target="media/image351.png"/><Relationship Id="rId401" Type="http://schemas.openxmlformats.org/officeDocument/2006/relationships/image" Target="media/image352.png"/><Relationship Id="rId402" Type="http://schemas.openxmlformats.org/officeDocument/2006/relationships/image" Target="media/image353.png"/><Relationship Id="rId403" Type="http://schemas.openxmlformats.org/officeDocument/2006/relationships/image" Target="media/image354.png"/><Relationship Id="rId404" Type="http://schemas.openxmlformats.org/officeDocument/2006/relationships/image" Target="media/image355.png"/><Relationship Id="rId405" Type="http://schemas.openxmlformats.org/officeDocument/2006/relationships/image" Target="media/image356.png"/><Relationship Id="rId406" Type="http://schemas.openxmlformats.org/officeDocument/2006/relationships/image" Target="media/image357.png"/><Relationship Id="rId407" Type="http://schemas.openxmlformats.org/officeDocument/2006/relationships/image" Target="media/image358.png"/><Relationship Id="rId408" Type="http://schemas.openxmlformats.org/officeDocument/2006/relationships/image" Target="media/image359.png"/><Relationship Id="rId409" Type="http://schemas.openxmlformats.org/officeDocument/2006/relationships/image" Target="media/image360.png"/><Relationship Id="rId410" Type="http://schemas.openxmlformats.org/officeDocument/2006/relationships/image" Target="media/image361.png"/><Relationship Id="rId411" Type="http://schemas.openxmlformats.org/officeDocument/2006/relationships/image" Target="media/image362.png"/><Relationship Id="rId412" Type="http://schemas.openxmlformats.org/officeDocument/2006/relationships/image" Target="media/image363.png"/><Relationship Id="rId413" Type="http://schemas.openxmlformats.org/officeDocument/2006/relationships/image" Target="media/image364.png"/><Relationship Id="rId414" Type="http://schemas.openxmlformats.org/officeDocument/2006/relationships/image" Target="media/image365.png"/><Relationship Id="rId415" Type="http://schemas.openxmlformats.org/officeDocument/2006/relationships/image" Target="media/image366.png"/><Relationship Id="rId416" Type="http://schemas.openxmlformats.org/officeDocument/2006/relationships/image" Target="media/image367.png"/><Relationship Id="rId417" Type="http://schemas.openxmlformats.org/officeDocument/2006/relationships/image" Target="media/image368.png"/><Relationship Id="rId418" Type="http://schemas.openxmlformats.org/officeDocument/2006/relationships/image" Target="media/image369.png"/><Relationship Id="rId419" Type="http://schemas.openxmlformats.org/officeDocument/2006/relationships/image" Target="media/image370.png"/><Relationship Id="rId420" Type="http://schemas.openxmlformats.org/officeDocument/2006/relationships/image" Target="media/image371.png"/><Relationship Id="rId421" Type="http://schemas.openxmlformats.org/officeDocument/2006/relationships/image" Target="media/image372.png"/><Relationship Id="rId422" Type="http://schemas.openxmlformats.org/officeDocument/2006/relationships/image" Target="media/image373.png"/><Relationship Id="rId423" Type="http://schemas.openxmlformats.org/officeDocument/2006/relationships/image" Target="media/image374.png"/><Relationship Id="rId424" Type="http://schemas.openxmlformats.org/officeDocument/2006/relationships/image" Target="media/image375.png"/><Relationship Id="rId425" Type="http://schemas.openxmlformats.org/officeDocument/2006/relationships/image" Target="media/image376.png"/><Relationship Id="rId426" Type="http://schemas.openxmlformats.org/officeDocument/2006/relationships/image" Target="media/image377.png"/><Relationship Id="rId427" Type="http://schemas.openxmlformats.org/officeDocument/2006/relationships/image" Target="media/image378.png"/><Relationship Id="rId428" Type="http://schemas.openxmlformats.org/officeDocument/2006/relationships/image" Target="media/image379.png"/><Relationship Id="rId429" Type="http://schemas.openxmlformats.org/officeDocument/2006/relationships/image" Target="media/image380.png"/><Relationship Id="rId430" Type="http://schemas.openxmlformats.org/officeDocument/2006/relationships/image" Target="media/image381.png"/><Relationship Id="rId431" Type="http://schemas.openxmlformats.org/officeDocument/2006/relationships/image" Target="media/image382.png"/><Relationship Id="rId432" Type="http://schemas.openxmlformats.org/officeDocument/2006/relationships/image" Target="media/image383.png"/><Relationship Id="rId433" Type="http://schemas.openxmlformats.org/officeDocument/2006/relationships/image" Target="media/image384.png"/><Relationship Id="rId434" Type="http://schemas.openxmlformats.org/officeDocument/2006/relationships/image" Target="media/image385.png"/><Relationship Id="rId435" Type="http://schemas.openxmlformats.org/officeDocument/2006/relationships/image" Target="media/image386.png"/><Relationship Id="rId436" Type="http://schemas.openxmlformats.org/officeDocument/2006/relationships/image" Target="media/image387.png"/><Relationship Id="rId437" Type="http://schemas.openxmlformats.org/officeDocument/2006/relationships/image" Target="media/image388.png"/><Relationship Id="rId438" Type="http://schemas.openxmlformats.org/officeDocument/2006/relationships/image" Target="media/image389.png"/><Relationship Id="rId439" Type="http://schemas.openxmlformats.org/officeDocument/2006/relationships/image" Target="media/image390.png"/><Relationship Id="rId440" Type="http://schemas.openxmlformats.org/officeDocument/2006/relationships/image" Target="media/image391.png"/><Relationship Id="rId441" Type="http://schemas.openxmlformats.org/officeDocument/2006/relationships/image" Target="media/image392.png"/><Relationship Id="rId442" Type="http://schemas.openxmlformats.org/officeDocument/2006/relationships/image" Target="media/image393.png"/><Relationship Id="rId443" Type="http://schemas.openxmlformats.org/officeDocument/2006/relationships/image" Target="media/image394.png"/><Relationship Id="rId444" Type="http://schemas.openxmlformats.org/officeDocument/2006/relationships/image" Target="media/image395.png"/><Relationship Id="rId445" Type="http://schemas.openxmlformats.org/officeDocument/2006/relationships/image" Target="media/image396.png"/><Relationship Id="rId446" Type="http://schemas.openxmlformats.org/officeDocument/2006/relationships/image" Target="media/image397.png"/><Relationship Id="rId447" Type="http://schemas.openxmlformats.org/officeDocument/2006/relationships/image" Target="media/image398.png"/><Relationship Id="rId448" Type="http://schemas.openxmlformats.org/officeDocument/2006/relationships/image" Target="media/image399.png"/><Relationship Id="rId449" Type="http://schemas.openxmlformats.org/officeDocument/2006/relationships/image" Target="media/image400.png"/><Relationship Id="rId450" Type="http://schemas.openxmlformats.org/officeDocument/2006/relationships/image" Target="media/image401.png"/><Relationship Id="rId451" Type="http://schemas.openxmlformats.org/officeDocument/2006/relationships/image" Target="media/image402.png"/><Relationship Id="rId452" Type="http://schemas.openxmlformats.org/officeDocument/2006/relationships/image" Target="media/image403.png"/><Relationship Id="rId453" Type="http://schemas.openxmlformats.org/officeDocument/2006/relationships/image" Target="media/image404.png"/><Relationship Id="rId454" Type="http://schemas.openxmlformats.org/officeDocument/2006/relationships/image" Target="media/image405.png"/><Relationship Id="rId455" Type="http://schemas.openxmlformats.org/officeDocument/2006/relationships/image" Target="media/image406.png"/><Relationship Id="rId456" Type="http://schemas.openxmlformats.org/officeDocument/2006/relationships/image" Target="media/image407.png"/><Relationship Id="rId457" Type="http://schemas.openxmlformats.org/officeDocument/2006/relationships/image" Target="media/image408.png"/><Relationship Id="rId458" Type="http://schemas.openxmlformats.org/officeDocument/2006/relationships/image" Target="media/image409.png"/><Relationship Id="rId459" Type="http://schemas.openxmlformats.org/officeDocument/2006/relationships/image" Target="media/image410.png"/><Relationship Id="rId460" Type="http://schemas.openxmlformats.org/officeDocument/2006/relationships/image" Target="media/image411.png"/><Relationship Id="rId461" Type="http://schemas.openxmlformats.org/officeDocument/2006/relationships/image" Target="media/image412.png"/><Relationship Id="rId462" Type="http://schemas.openxmlformats.org/officeDocument/2006/relationships/image" Target="media/image413.png"/><Relationship Id="rId463" Type="http://schemas.openxmlformats.org/officeDocument/2006/relationships/image" Target="media/image414.png"/><Relationship Id="rId464" Type="http://schemas.openxmlformats.org/officeDocument/2006/relationships/image" Target="media/image415.png"/><Relationship Id="rId465" Type="http://schemas.openxmlformats.org/officeDocument/2006/relationships/image" Target="media/image416.png"/><Relationship Id="rId466" Type="http://schemas.openxmlformats.org/officeDocument/2006/relationships/image" Target="media/image417.png"/><Relationship Id="rId467" Type="http://schemas.openxmlformats.org/officeDocument/2006/relationships/image" Target="media/image418.png"/><Relationship Id="rId468" Type="http://schemas.openxmlformats.org/officeDocument/2006/relationships/image" Target="media/image419.png"/><Relationship Id="rId469" Type="http://schemas.openxmlformats.org/officeDocument/2006/relationships/image" Target="media/image420.png"/><Relationship Id="rId470" Type="http://schemas.openxmlformats.org/officeDocument/2006/relationships/image" Target="media/image421.png"/><Relationship Id="rId471" Type="http://schemas.openxmlformats.org/officeDocument/2006/relationships/image" Target="media/image422.png"/><Relationship Id="rId472" Type="http://schemas.openxmlformats.org/officeDocument/2006/relationships/image" Target="media/image423.png"/><Relationship Id="rId473" Type="http://schemas.openxmlformats.org/officeDocument/2006/relationships/image" Target="media/image424.png"/><Relationship Id="rId474" Type="http://schemas.openxmlformats.org/officeDocument/2006/relationships/image" Target="media/image425.png"/><Relationship Id="rId475" Type="http://schemas.openxmlformats.org/officeDocument/2006/relationships/image" Target="media/image426.png"/><Relationship Id="rId476" Type="http://schemas.openxmlformats.org/officeDocument/2006/relationships/image" Target="media/image427.png"/><Relationship Id="rId477" Type="http://schemas.openxmlformats.org/officeDocument/2006/relationships/image" Target="media/image428.png"/><Relationship Id="rId478" Type="http://schemas.openxmlformats.org/officeDocument/2006/relationships/image" Target="media/image429.png"/><Relationship Id="rId479" Type="http://schemas.openxmlformats.org/officeDocument/2006/relationships/image" Target="media/image430.png"/><Relationship Id="rId480" Type="http://schemas.openxmlformats.org/officeDocument/2006/relationships/image" Target="media/image431.png"/><Relationship Id="rId481" Type="http://schemas.openxmlformats.org/officeDocument/2006/relationships/image" Target="media/image432.png"/><Relationship Id="rId482" Type="http://schemas.openxmlformats.org/officeDocument/2006/relationships/image" Target="media/image433.png"/><Relationship Id="rId483" Type="http://schemas.openxmlformats.org/officeDocument/2006/relationships/image" Target="media/image434.png"/><Relationship Id="rId484" Type="http://schemas.openxmlformats.org/officeDocument/2006/relationships/image" Target="media/image435.png"/><Relationship Id="rId485" Type="http://schemas.openxmlformats.org/officeDocument/2006/relationships/image" Target="media/image436.png"/><Relationship Id="rId486" Type="http://schemas.openxmlformats.org/officeDocument/2006/relationships/image" Target="media/image437.png"/><Relationship Id="rId487" Type="http://schemas.openxmlformats.org/officeDocument/2006/relationships/image" Target="media/image438.png"/><Relationship Id="rId488" Type="http://schemas.openxmlformats.org/officeDocument/2006/relationships/image" Target="media/image439.png"/><Relationship Id="rId489" Type="http://schemas.openxmlformats.org/officeDocument/2006/relationships/image" Target="media/image440.png"/><Relationship Id="rId490" Type="http://schemas.openxmlformats.org/officeDocument/2006/relationships/image" Target="media/image441.png"/><Relationship Id="rId491" Type="http://schemas.openxmlformats.org/officeDocument/2006/relationships/image" Target="media/image442.png"/><Relationship Id="rId492" Type="http://schemas.openxmlformats.org/officeDocument/2006/relationships/image" Target="media/image443.png"/><Relationship Id="rId493" Type="http://schemas.openxmlformats.org/officeDocument/2006/relationships/image" Target="media/image444.png"/><Relationship Id="rId494" Type="http://schemas.openxmlformats.org/officeDocument/2006/relationships/image" Target="media/image445.png"/><Relationship Id="rId495" Type="http://schemas.openxmlformats.org/officeDocument/2006/relationships/image" Target="media/image446.png"/><Relationship Id="rId496" Type="http://schemas.openxmlformats.org/officeDocument/2006/relationships/image" Target="media/image447.png"/><Relationship Id="rId497" Type="http://schemas.openxmlformats.org/officeDocument/2006/relationships/image" Target="media/image448.png"/><Relationship Id="rId498" Type="http://schemas.openxmlformats.org/officeDocument/2006/relationships/image" Target="media/image449.png"/><Relationship Id="rId499" Type="http://schemas.openxmlformats.org/officeDocument/2006/relationships/image" Target="media/image450.png"/><Relationship Id="rId500" Type="http://schemas.openxmlformats.org/officeDocument/2006/relationships/image" Target="media/image451.png"/><Relationship Id="rId501" Type="http://schemas.openxmlformats.org/officeDocument/2006/relationships/image" Target="media/image452.png"/><Relationship Id="rId502" Type="http://schemas.openxmlformats.org/officeDocument/2006/relationships/image" Target="media/image453.png"/><Relationship Id="rId503" Type="http://schemas.openxmlformats.org/officeDocument/2006/relationships/image" Target="media/image454.png"/><Relationship Id="rId504" Type="http://schemas.openxmlformats.org/officeDocument/2006/relationships/image" Target="media/image455.png"/><Relationship Id="rId505" Type="http://schemas.openxmlformats.org/officeDocument/2006/relationships/image" Target="media/image456.png"/><Relationship Id="rId506" Type="http://schemas.openxmlformats.org/officeDocument/2006/relationships/image" Target="media/image457.png"/><Relationship Id="rId507" Type="http://schemas.openxmlformats.org/officeDocument/2006/relationships/image" Target="media/image458.png"/><Relationship Id="rId508" Type="http://schemas.openxmlformats.org/officeDocument/2006/relationships/image" Target="media/image459.png"/><Relationship Id="rId509" Type="http://schemas.openxmlformats.org/officeDocument/2006/relationships/image" Target="media/image460.png"/><Relationship Id="rId510" Type="http://schemas.openxmlformats.org/officeDocument/2006/relationships/image" Target="media/image461.png"/><Relationship Id="rId511" Type="http://schemas.openxmlformats.org/officeDocument/2006/relationships/image" Target="media/image462.png"/><Relationship Id="rId512" Type="http://schemas.openxmlformats.org/officeDocument/2006/relationships/image" Target="media/image463.png"/><Relationship Id="rId513" Type="http://schemas.openxmlformats.org/officeDocument/2006/relationships/image" Target="media/image464.png"/><Relationship Id="rId514" Type="http://schemas.openxmlformats.org/officeDocument/2006/relationships/image" Target="media/image465.png"/><Relationship Id="rId515" Type="http://schemas.openxmlformats.org/officeDocument/2006/relationships/image" Target="media/image466.png"/><Relationship Id="rId516" Type="http://schemas.openxmlformats.org/officeDocument/2006/relationships/image" Target="media/image467.png"/><Relationship Id="rId517" Type="http://schemas.openxmlformats.org/officeDocument/2006/relationships/image" Target="media/image468.png"/><Relationship Id="rId518" Type="http://schemas.openxmlformats.org/officeDocument/2006/relationships/image" Target="media/image469.png"/><Relationship Id="rId519" Type="http://schemas.openxmlformats.org/officeDocument/2006/relationships/image" Target="media/image470.png"/><Relationship Id="rId520" Type="http://schemas.openxmlformats.org/officeDocument/2006/relationships/image" Target="media/image471.png"/><Relationship Id="rId521" Type="http://schemas.openxmlformats.org/officeDocument/2006/relationships/image" Target="media/image472.png"/><Relationship Id="rId522" Type="http://schemas.openxmlformats.org/officeDocument/2006/relationships/image" Target="media/image473.png"/><Relationship Id="rId523" Type="http://schemas.openxmlformats.org/officeDocument/2006/relationships/image" Target="media/image474.png"/><Relationship Id="rId524" Type="http://schemas.openxmlformats.org/officeDocument/2006/relationships/image" Target="media/image475.png"/><Relationship Id="rId525" Type="http://schemas.openxmlformats.org/officeDocument/2006/relationships/image" Target="media/image476.png"/><Relationship Id="rId526" Type="http://schemas.openxmlformats.org/officeDocument/2006/relationships/image" Target="media/image477.png"/><Relationship Id="rId527" Type="http://schemas.openxmlformats.org/officeDocument/2006/relationships/image" Target="media/image478.png"/><Relationship Id="rId528" Type="http://schemas.openxmlformats.org/officeDocument/2006/relationships/image" Target="media/image479.png"/><Relationship Id="rId529" Type="http://schemas.openxmlformats.org/officeDocument/2006/relationships/image" Target="media/image480.png"/><Relationship Id="rId530" Type="http://schemas.openxmlformats.org/officeDocument/2006/relationships/image" Target="media/image481.png"/><Relationship Id="rId531" Type="http://schemas.openxmlformats.org/officeDocument/2006/relationships/image" Target="media/image482.png"/><Relationship Id="rId532" Type="http://schemas.openxmlformats.org/officeDocument/2006/relationships/image" Target="media/image483.png"/><Relationship Id="rId533" Type="http://schemas.openxmlformats.org/officeDocument/2006/relationships/image" Target="media/image484.png"/><Relationship Id="rId534" Type="http://schemas.openxmlformats.org/officeDocument/2006/relationships/image" Target="media/image485.png"/><Relationship Id="rId535" Type="http://schemas.openxmlformats.org/officeDocument/2006/relationships/image" Target="media/image486.png"/><Relationship Id="rId536" Type="http://schemas.openxmlformats.org/officeDocument/2006/relationships/image" Target="media/image487.png"/><Relationship Id="rId537" Type="http://schemas.openxmlformats.org/officeDocument/2006/relationships/image" Target="media/image488.png"/><Relationship Id="rId538" Type="http://schemas.openxmlformats.org/officeDocument/2006/relationships/image" Target="media/image489.png"/><Relationship Id="rId539" Type="http://schemas.openxmlformats.org/officeDocument/2006/relationships/image" Target="media/image490.png"/><Relationship Id="rId540" Type="http://schemas.openxmlformats.org/officeDocument/2006/relationships/image" Target="media/image491.png"/><Relationship Id="rId541" Type="http://schemas.openxmlformats.org/officeDocument/2006/relationships/image" Target="media/image492.png"/><Relationship Id="rId542" Type="http://schemas.openxmlformats.org/officeDocument/2006/relationships/image" Target="media/image493.png"/><Relationship Id="rId543" Type="http://schemas.openxmlformats.org/officeDocument/2006/relationships/image" Target="media/image494.png"/><Relationship Id="rId544" Type="http://schemas.openxmlformats.org/officeDocument/2006/relationships/image" Target="media/image495.png"/><Relationship Id="rId545" Type="http://schemas.openxmlformats.org/officeDocument/2006/relationships/image" Target="media/image496.png"/><Relationship Id="rId546" Type="http://schemas.openxmlformats.org/officeDocument/2006/relationships/image" Target="media/image497.png"/><Relationship Id="rId547" Type="http://schemas.openxmlformats.org/officeDocument/2006/relationships/image" Target="media/image498.png"/><Relationship Id="rId548" Type="http://schemas.openxmlformats.org/officeDocument/2006/relationships/image" Target="media/image499.png"/><Relationship Id="rId549" Type="http://schemas.openxmlformats.org/officeDocument/2006/relationships/image" Target="media/image500.png"/><Relationship Id="rId550" Type="http://schemas.openxmlformats.org/officeDocument/2006/relationships/image" Target="media/image501.png"/><Relationship Id="rId551" Type="http://schemas.openxmlformats.org/officeDocument/2006/relationships/image" Target="media/image502.png"/><Relationship Id="rId552" Type="http://schemas.openxmlformats.org/officeDocument/2006/relationships/image" Target="media/image503.png"/><Relationship Id="rId553" Type="http://schemas.openxmlformats.org/officeDocument/2006/relationships/image" Target="media/image504.png"/><Relationship Id="rId554" Type="http://schemas.openxmlformats.org/officeDocument/2006/relationships/image" Target="media/image505.png"/><Relationship Id="rId555" Type="http://schemas.openxmlformats.org/officeDocument/2006/relationships/image" Target="media/image506.png"/><Relationship Id="rId556" Type="http://schemas.openxmlformats.org/officeDocument/2006/relationships/image" Target="media/image507.png"/><Relationship Id="rId557" Type="http://schemas.openxmlformats.org/officeDocument/2006/relationships/image" Target="media/image508.png"/><Relationship Id="rId558" Type="http://schemas.openxmlformats.org/officeDocument/2006/relationships/image" Target="media/image509.png"/><Relationship Id="rId559" Type="http://schemas.openxmlformats.org/officeDocument/2006/relationships/image" Target="media/image510.png"/><Relationship Id="rId560" Type="http://schemas.openxmlformats.org/officeDocument/2006/relationships/image" Target="media/image511.png"/><Relationship Id="rId561" Type="http://schemas.openxmlformats.org/officeDocument/2006/relationships/image" Target="media/image512.png"/><Relationship Id="rId562" Type="http://schemas.openxmlformats.org/officeDocument/2006/relationships/image" Target="media/image513.png"/><Relationship Id="rId563" Type="http://schemas.openxmlformats.org/officeDocument/2006/relationships/image" Target="media/image514.png"/><Relationship Id="rId564" Type="http://schemas.openxmlformats.org/officeDocument/2006/relationships/image" Target="media/image515.png"/><Relationship Id="rId565" Type="http://schemas.openxmlformats.org/officeDocument/2006/relationships/image" Target="media/image516.png"/><Relationship Id="rId566" Type="http://schemas.openxmlformats.org/officeDocument/2006/relationships/image" Target="media/image517.png"/><Relationship Id="rId567" Type="http://schemas.openxmlformats.org/officeDocument/2006/relationships/image" Target="media/image518.png"/><Relationship Id="rId568" Type="http://schemas.openxmlformats.org/officeDocument/2006/relationships/image" Target="media/image519.png"/><Relationship Id="rId569" Type="http://schemas.openxmlformats.org/officeDocument/2006/relationships/image" Target="media/image520.png"/><Relationship Id="rId570" Type="http://schemas.openxmlformats.org/officeDocument/2006/relationships/image" Target="media/image521.png"/><Relationship Id="rId571" Type="http://schemas.openxmlformats.org/officeDocument/2006/relationships/image" Target="media/image522.png"/><Relationship Id="rId572" Type="http://schemas.openxmlformats.org/officeDocument/2006/relationships/image" Target="media/image523.png"/><Relationship Id="rId573" Type="http://schemas.openxmlformats.org/officeDocument/2006/relationships/image" Target="media/image524.png"/><Relationship Id="rId574" Type="http://schemas.openxmlformats.org/officeDocument/2006/relationships/image" Target="media/image525.png"/><Relationship Id="rId575" Type="http://schemas.openxmlformats.org/officeDocument/2006/relationships/image" Target="media/image526.png"/><Relationship Id="rId576" Type="http://schemas.openxmlformats.org/officeDocument/2006/relationships/image" Target="media/image527.png"/><Relationship Id="rId577" Type="http://schemas.openxmlformats.org/officeDocument/2006/relationships/image" Target="media/image528.png"/><Relationship Id="rId578" Type="http://schemas.openxmlformats.org/officeDocument/2006/relationships/image" Target="media/image529.png"/><Relationship Id="rId579" Type="http://schemas.openxmlformats.org/officeDocument/2006/relationships/image" Target="media/image530.png"/><Relationship Id="rId580" Type="http://schemas.openxmlformats.org/officeDocument/2006/relationships/image" Target="media/image531.png"/><Relationship Id="rId581" Type="http://schemas.openxmlformats.org/officeDocument/2006/relationships/image" Target="media/image532.png"/><Relationship Id="rId582" Type="http://schemas.openxmlformats.org/officeDocument/2006/relationships/image" Target="media/image533.png"/><Relationship Id="rId583" Type="http://schemas.openxmlformats.org/officeDocument/2006/relationships/image" Target="media/image534.png"/><Relationship Id="rId584" Type="http://schemas.openxmlformats.org/officeDocument/2006/relationships/image" Target="media/image535.png"/><Relationship Id="rId585" Type="http://schemas.openxmlformats.org/officeDocument/2006/relationships/image" Target="media/image536.png"/><Relationship Id="rId586" Type="http://schemas.openxmlformats.org/officeDocument/2006/relationships/image" Target="media/image537.png"/><Relationship Id="rId587" Type="http://schemas.openxmlformats.org/officeDocument/2006/relationships/image" Target="media/image538.png"/><Relationship Id="rId588" Type="http://schemas.openxmlformats.org/officeDocument/2006/relationships/image" Target="media/image539.png"/><Relationship Id="rId589" Type="http://schemas.openxmlformats.org/officeDocument/2006/relationships/image" Target="media/image540.png"/><Relationship Id="rId590" Type="http://schemas.openxmlformats.org/officeDocument/2006/relationships/image" Target="media/image541.png"/><Relationship Id="rId591" Type="http://schemas.openxmlformats.org/officeDocument/2006/relationships/image" Target="media/image542.png"/><Relationship Id="rId592" Type="http://schemas.openxmlformats.org/officeDocument/2006/relationships/image" Target="media/image543.png"/><Relationship Id="rId593" Type="http://schemas.openxmlformats.org/officeDocument/2006/relationships/image" Target="media/image544.png"/><Relationship Id="rId594" Type="http://schemas.openxmlformats.org/officeDocument/2006/relationships/image" Target="media/image545.png"/><Relationship Id="rId595" Type="http://schemas.openxmlformats.org/officeDocument/2006/relationships/image" Target="media/image546.png"/><Relationship Id="rId596" Type="http://schemas.openxmlformats.org/officeDocument/2006/relationships/image" Target="media/image547.png"/><Relationship Id="rId597" Type="http://schemas.openxmlformats.org/officeDocument/2006/relationships/image" Target="media/image548.png"/><Relationship Id="rId598" Type="http://schemas.openxmlformats.org/officeDocument/2006/relationships/image" Target="media/image549.png"/><Relationship Id="rId599" Type="http://schemas.openxmlformats.org/officeDocument/2006/relationships/image" Target="media/image550.png"/><Relationship Id="rId600" Type="http://schemas.openxmlformats.org/officeDocument/2006/relationships/image" Target="media/image551.png"/><Relationship Id="rId601" Type="http://schemas.openxmlformats.org/officeDocument/2006/relationships/image" Target="media/image552.png"/><Relationship Id="rId602" Type="http://schemas.openxmlformats.org/officeDocument/2006/relationships/image" Target="media/image553.png"/><Relationship Id="rId603" Type="http://schemas.openxmlformats.org/officeDocument/2006/relationships/image" Target="media/image554.png"/><Relationship Id="rId604" Type="http://schemas.openxmlformats.org/officeDocument/2006/relationships/image" Target="media/image555.png"/><Relationship Id="rId605" Type="http://schemas.openxmlformats.org/officeDocument/2006/relationships/image" Target="media/image556.png"/><Relationship Id="rId606" Type="http://schemas.openxmlformats.org/officeDocument/2006/relationships/image" Target="media/image557.png"/><Relationship Id="rId607" Type="http://schemas.openxmlformats.org/officeDocument/2006/relationships/image" Target="media/image558.png"/><Relationship Id="rId608" Type="http://schemas.openxmlformats.org/officeDocument/2006/relationships/image" Target="media/image559.png"/><Relationship Id="rId609" Type="http://schemas.openxmlformats.org/officeDocument/2006/relationships/image" Target="media/image560.png"/><Relationship Id="rId610" Type="http://schemas.openxmlformats.org/officeDocument/2006/relationships/image" Target="media/image561.png"/><Relationship Id="rId611" Type="http://schemas.openxmlformats.org/officeDocument/2006/relationships/image" Target="media/image562.png"/><Relationship Id="rId612" Type="http://schemas.openxmlformats.org/officeDocument/2006/relationships/image" Target="media/image563.png"/><Relationship Id="rId613" Type="http://schemas.openxmlformats.org/officeDocument/2006/relationships/image" Target="media/image564.png"/><Relationship Id="rId614" Type="http://schemas.openxmlformats.org/officeDocument/2006/relationships/image" Target="media/image565.png"/><Relationship Id="rId615" Type="http://schemas.openxmlformats.org/officeDocument/2006/relationships/image" Target="media/image566.png"/><Relationship Id="rId616" Type="http://schemas.openxmlformats.org/officeDocument/2006/relationships/image" Target="media/image567.png"/><Relationship Id="rId617" Type="http://schemas.openxmlformats.org/officeDocument/2006/relationships/image" Target="media/image568.png"/><Relationship Id="rId618" Type="http://schemas.openxmlformats.org/officeDocument/2006/relationships/image" Target="media/image569.png"/><Relationship Id="rId619" Type="http://schemas.openxmlformats.org/officeDocument/2006/relationships/image" Target="media/image570.png"/><Relationship Id="rId620" Type="http://schemas.openxmlformats.org/officeDocument/2006/relationships/image" Target="media/image571.png"/><Relationship Id="rId621" Type="http://schemas.openxmlformats.org/officeDocument/2006/relationships/image" Target="media/image572.png"/><Relationship Id="rId622" Type="http://schemas.openxmlformats.org/officeDocument/2006/relationships/image" Target="media/image573.png"/><Relationship Id="rId623" Type="http://schemas.openxmlformats.org/officeDocument/2006/relationships/image" Target="media/image574.png"/><Relationship Id="rId624" Type="http://schemas.openxmlformats.org/officeDocument/2006/relationships/image" Target="media/image575.png"/><Relationship Id="rId625" Type="http://schemas.openxmlformats.org/officeDocument/2006/relationships/image" Target="media/image576.png"/><Relationship Id="rId626" Type="http://schemas.openxmlformats.org/officeDocument/2006/relationships/image" Target="media/image577.png"/><Relationship Id="rId627" Type="http://schemas.openxmlformats.org/officeDocument/2006/relationships/image" Target="media/image578.png"/><Relationship Id="rId628" Type="http://schemas.openxmlformats.org/officeDocument/2006/relationships/image" Target="media/image579.png"/><Relationship Id="rId629" Type="http://schemas.openxmlformats.org/officeDocument/2006/relationships/image" Target="media/image580.png"/><Relationship Id="rId630" Type="http://schemas.openxmlformats.org/officeDocument/2006/relationships/image" Target="media/image581.png"/><Relationship Id="rId631" Type="http://schemas.openxmlformats.org/officeDocument/2006/relationships/image" Target="media/image582.png"/><Relationship Id="rId632" Type="http://schemas.openxmlformats.org/officeDocument/2006/relationships/image" Target="media/image583.png"/><Relationship Id="rId633" Type="http://schemas.openxmlformats.org/officeDocument/2006/relationships/image" Target="media/image584.png"/><Relationship Id="rId634" Type="http://schemas.openxmlformats.org/officeDocument/2006/relationships/image" Target="media/image585.png"/><Relationship Id="rId635" Type="http://schemas.openxmlformats.org/officeDocument/2006/relationships/image" Target="media/image586.png"/><Relationship Id="rId636" Type="http://schemas.openxmlformats.org/officeDocument/2006/relationships/image" Target="media/image587.png"/><Relationship Id="rId637" Type="http://schemas.openxmlformats.org/officeDocument/2006/relationships/image" Target="media/image588.png"/><Relationship Id="rId638" Type="http://schemas.openxmlformats.org/officeDocument/2006/relationships/image" Target="media/image589.png"/><Relationship Id="rId639" Type="http://schemas.openxmlformats.org/officeDocument/2006/relationships/image" Target="media/image590.png"/><Relationship Id="rId640" Type="http://schemas.openxmlformats.org/officeDocument/2006/relationships/image" Target="media/image591.png"/><Relationship Id="rId641" Type="http://schemas.openxmlformats.org/officeDocument/2006/relationships/image" Target="media/image592.png"/><Relationship Id="rId642" Type="http://schemas.openxmlformats.org/officeDocument/2006/relationships/image" Target="media/image593.png"/><Relationship Id="rId643" Type="http://schemas.openxmlformats.org/officeDocument/2006/relationships/image" Target="media/image594.png"/><Relationship Id="rId644" Type="http://schemas.openxmlformats.org/officeDocument/2006/relationships/image" Target="media/image595.png"/><Relationship Id="rId645" Type="http://schemas.openxmlformats.org/officeDocument/2006/relationships/image" Target="media/image596.png"/><Relationship Id="rId646" Type="http://schemas.openxmlformats.org/officeDocument/2006/relationships/image" Target="media/image597.png"/><Relationship Id="rId647" Type="http://schemas.openxmlformats.org/officeDocument/2006/relationships/image" Target="media/image598.png"/><Relationship Id="rId648" Type="http://schemas.openxmlformats.org/officeDocument/2006/relationships/image" Target="media/image599.png"/><Relationship Id="rId649" Type="http://schemas.openxmlformats.org/officeDocument/2006/relationships/image" Target="media/image600.png"/><Relationship Id="rId650" Type="http://schemas.openxmlformats.org/officeDocument/2006/relationships/image" Target="media/image601.png"/><Relationship Id="rId651" Type="http://schemas.openxmlformats.org/officeDocument/2006/relationships/image" Target="media/image602.png"/><Relationship Id="rId652" Type="http://schemas.openxmlformats.org/officeDocument/2006/relationships/image" Target="media/image603.png"/><Relationship Id="rId653" Type="http://schemas.openxmlformats.org/officeDocument/2006/relationships/image" Target="media/image604.png"/><Relationship Id="rId654" Type="http://schemas.openxmlformats.org/officeDocument/2006/relationships/image" Target="media/image605.png"/><Relationship Id="rId655" Type="http://schemas.openxmlformats.org/officeDocument/2006/relationships/image" Target="media/image606.png"/><Relationship Id="rId656" Type="http://schemas.openxmlformats.org/officeDocument/2006/relationships/image" Target="media/image607.png"/><Relationship Id="rId657" Type="http://schemas.openxmlformats.org/officeDocument/2006/relationships/image" Target="media/image608.png"/><Relationship Id="rId658" Type="http://schemas.openxmlformats.org/officeDocument/2006/relationships/image" Target="media/image609.png"/><Relationship Id="rId659" Type="http://schemas.openxmlformats.org/officeDocument/2006/relationships/image" Target="media/image610.png"/><Relationship Id="rId660" Type="http://schemas.openxmlformats.org/officeDocument/2006/relationships/image" Target="media/image611.png"/><Relationship Id="rId661" Type="http://schemas.openxmlformats.org/officeDocument/2006/relationships/image" Target="media/image612.png"/><Relationship Id="rId662" Type="http://schemas.openxmlformats.org/officeDocument/2006/relationships/image" Target="media/image613.png"/><Relationship Id="rId663" Type="http://schemas.openxmlformats.org/officeDocument/2006/relationships/image" Target="media/image614.png"/><Relationship Id="rId664" Type="http://schemas.openxmlformats.org/officeDocument/2006/relationships/image" Target="media/image615.png"/><Relationship Id="rId665" Type="http://schemas.openxmlformats.org/officeDocument/2006/relationships/image" Target="media/image616.png"/><Relationship Id="rId666" Type="http://schemas.openxmlformats.org/officeDocument/2006/relationships/image" Target="media/image617.png"/><Relationship Id="rId667" Type="http://schemas.openxmlformats.org/officeDocument/2006/relationships/image" Target="media/image618.png"/><Relationship Id="rId668" Type="http://schemas.openxmlformats.org/officeDocument/2006/relationships/image" Target="media/image619.png"/><Relationship Id="rId669" Type="http://schemas.openxmlformats.org/officeDocument/2006/relationships/image" Target="media/image620.png"/><Relationship Id="rId670" Type="http://schemas.openxmlformats.org/officeDocument/2006/relationships/image" Target="media/image621.png"/><Relationship Id="rId671" Type="http://schemas.openxmlformats.org/officeDocument/2006/relationships/image" Target="media/image622.png"/><Relationship Id="rId672" Type="http://schemas.openxmlformats.org/officeDocument/2006/relationships/image" Target="media/image623.png"/><Relationship Id="rId673" Type="http://schemas.openxmlformats.org/officeDocument/2006/relationships/image" Target="media/image624.png"/><Relationship Id="rId674" Type="http://schemas.openxmlformats.org/officeDocument/2006/relationships/image" Target="media/image625.png"/><Relationship Id="rId675" Type="http://schemas.openxmlformats.org/officeDocument/2006/relationships/image" Target="media/image626.png"/><Relationship Id="rId676" Type="http://schemas.openxmlformats.org/officeDocument/2006/relationships/image" Target="media/image627.png"/><Relationship Id="rId677" Type="http://schemas.openxmlformats.org/officeDocument/2006/relationships/image" Target="media/image628.png"/><Relationship Id="rId678" Type="http://schemas.openxmlformats.org/officeDocument/2006/relationships/image" Target="media/image629.png"/><Relationship Id="rId679" Type="http://schemas.openxmlformats.org/officeDocument/2006/relationships/image" Target="media/image630.png"/><Relationship Id="rId680" Type="http://schemas.openxmlformats.org/officeDocument/2006/relationships/image" Target="media/image631.png"/><Relationship Id="rId681" Type="http://schemas.openxmlformats.org/officeDocument/2006/relationships/image" Target="media/image632.png"/><Relationship Id="rId682" Type="http://schemas.openxmlformats.org/officeDocument/2006/relationships/image" Target="media/image633.png"/><Relationship Id="rId683" Type="http://schemas.openxmlformats.org/officeDocument/2006/relationships/image" Target="media/image634.png"/><Relationship Id="rId684" Type="http://schemas.openxmlformats.org/officeDocument/2006/relationships/image" Target="media/image635.png"/><Relationship Id="rId685" Type="http://schemas.openxmlformats.org/officeDocument/2006/relationships/image" Target="media/image636.png"/><Relationship Id="rId686" Type="http://schemas.openxmlformats.org/officeDocument/2006/relationships/image" Target="media/image637.png"/><Relationship Id="rId687" Type="http://schemas.openxmlformats.org/officeDocument/2006/relationships/image" Target="media/image638.png"/><Relationship Id="rId688" Type="http://schemas.openxmlformats.org/officeDocument/2006/relationships/image" Target="media/image639.png"/><Relationship Id="rId689" Type="http://schemas.openxmlformats.org/officeDocument/2006/relationships/image" Target="media/image640.png"/><Relationship Id="rId690" Type="http://schemas.openxmlformats.org/officeDocument/2006/relationships/image" Target="media/image641.png"/><Relationship Id="rId691" Type="http://schemas.openxmlformats.org/officeDocument/2006/relationships/image" Target="media/image642.png"/><Relationship Id="rId692" Type="http://schemas.openxmlformats.org/officeDocument/2006/relationships/image" Target="media/image643.png"/><Relationship Id="rId693" Type="http://schemas.openxmlformats.org/officeDocument/2006/relationships/image" Target="media/image644.png"/><Relationship Id="rId694" Type="http://schemas.openxmlformats.org/officeDocument/2006/relationships/image" Target="media/image645.png"/><Relationship Id="rId695" Type="http://schemas.openxmlformats.org/officeDocument/2006/relationships/image" Target="media/image646.png"/><Relationship Id="rId696" Type="http://schemas.openxmlformats.org/officeDocument/2006/relationships/image" Target="media/image647.png"/><Relationship Id="rId697" Type="http://schemas.openxmlformats.org/officeDocument/2006/relationships/image" Target="media/image648.png"/><Relationship Id="rId698" Type="http://schemas.openxmlformats.org/officeDocument/2006/relationships/image" Target="media/image649.png"/><Relationship Id="rId699" Type="http://schemas.openxmlformats.org/officeDocument/2006/relationships/image" Target="media/image650.png"/><Relationship Id="rId700" Type="http://schemas.openxmlformats.org/officeDocument/2006/relationships/image" Target="media/image651.png"/><Relationship Id="rId275" Type="http://schemas.openxmlformats.org/officeDocument/2006/relationships/hyperlink" Target="http://www.sec.gov/Archives/edgar/data/1635088/000119312521205193/d65062dex22.htm#cov" TargetMode="External"/><Relationship Id="rId276" Type="http://schemas.openxmlformats.org/officeDocument/2006/relationships/hyperlink" Target="http://www.sec.gov/Archives/edgar/data/1635088/000119312521205193/d65062dex23.htm#cov" TargetMode="External"/><Relationship Id="rId277" Type="http://schemas.openxmlformats.org/officeDocument/2006/relationships/hyperlink" Target="http://www.sec.gov/Archives/edgar/data/1635088/000119312521205193/d65062dex24.htm" TargetMode="External"/><Relationship Id="rId279" Type="http://schemas.openxmlformats.org/officeDocument/2006/relationships/hyperlink" Target="http://www.sec.gov/Archives/edgar/data/1635088/000110465919059171/a19-21684_1ex7d04.htm" TargetMode="External"/><Relationship Id="rId280" Type="http://schemas.openxmlformats.org/officeDocument/2006/relationships/hyperlink" Target="http://www.sec.gov/Archives/edgar/data/1635088/000119312521162191/d65062dex26.htm" TargetMode="External"/><Relationship Id="rId281" Type="http://schemas.openxmlformats.org/officeDocument/2006/relationships/hyperlink" Target="http://www.sec.gov/Archives/edgar/data/1635088/000119312521162191/d65062dex27.htm" TargetMode="External"/><Relationship Id="rId282" Type="http://schemas.openxmlformats.org/officeDocument/2006/relationships/hyperlink" Target="http://www.sec.gov/Archives/edgar/data/1635088/000119312521162191/d65062dex28.htm" TargetMode="External"/><Relationship Id="rId283" Type="http://schemas.openxmlformats.org/officeDocument/2006/relationships/hyperlink" Target="http://www.sec.gov/Archives/edgar/data/1635088/000119312521205193/d65062dex31.htm" TargetMode="External"/><Relationship Id="rId284" Type="http://schemas.openxmlformats.org/officeDocument/2006/relationships/hyperlink" Target="http://www.sec.gov/Archives/edgar/data/1635088/000119312521288885/d230641dex31.htm" TargetMode="External"/><Relationship Id="rId285" Type="http://schemas.openxmlformats.org/officeDocument/2006/relationships/hyperlink" Target="http://www.sec.gov/Archives/edgar/data/1819263/000110465920114035/tm2033018d1_ex4-1.htm" TargetMode="External"/><Relationship Id="rId286" Type="http://schemas.openxmlformats.org/officeDocument/2006/relationships/hyperlink" Target="http://www.sec.gov/Archives/edgar/data/1635088/000119312521235175/d65062dex45.htm" TargetMode="External"/><Relationship Id="rId287" Type="http://schemas.openxmlformats.org/officeDocument/2006/relationships/hyperlink" Target="http://www.sec.gov/Archives/edgar/data/1635088/000119312521235175/d65062dex46.htm" TargetMode="External"/><Relationship Id="rId289" Type="http://schemas.openxmlformats.org/officeDocument/2006/relationships/hyperlink" Target="http://www.sec.gov/Archives/edgar/data/1819263/000110465920114035/tm2033018d1_ex10-1.htm" TargetMode="External"/><Relationship Id="rId290" Type="http://schemas.openxmlformats.org/officeDocument/2006/relationships/hyperlink" Target="http://www.sec.gov/Archives/edgar/data/1764013/000119312519321147/d839382dex106.htm" TargetMode="External"/><Relationship Id="rId291" Type="http://schemas.openxmlformats.org/officeDocument/2006/relationships/hyperlink" Target="http://www.sec.gov/Archives/edgar/data/1635088/000119312521162191/d65062dex107.htm" TargetMode="External"/><Relationship Id="rId292" Type="http://schemas.openxmlformats.org/officeDocument/2006/relationships/hyperlink" Target="http://www.sec.gov/Archives/edgar/data/1635088/000119312521162191/d65062dex108.htm" TargetMode="External"/><Relationship Id="rId293" Type="http://schemas.openxmlformats.org/officeDocument/2006/relationships/hyperlink" Target="http://www.sec.gov/Archives/edgar/data/1635088/000119312521162191/d65062dex109.htm" TargetMode="External"/><Relationship Id="rId295" Type="http://schemas.openxmlformats.org/officeDocument/2006/relationships/hyperlink" Target="http://www.sec.gov/Archives/edgar/data/1635088/000119312521162191/d65062dex1010.htm" TargetMode="External"/><Relationship Id="rId296" Type="http://schemas.openxmlformats.org/officeDocument/2006/relationships/hyperlink" Target="http://www.sec.gov/Archives/edgar/data/1635088/000119312521162191/d65062dex1011.htm" TargetMode="External"/><Relationship Id="rId297" Type="http://schemas.openxmlformats.org/officeDocument/2006/relationships/hyperlink" Target="http://www.sec.gov/Archives/edgar/data/1447028/000144702820000118/a2020-q210xqex103cross.htm" TargetMode="External"/><Relationship Id="rId298" Type="http://schemas.openxmlformats.org/officeDocument/2006/relationships/hyperlink" Target="http://www.sec.gov/Archives/edgar/data/1447028/000144702820000118/a2020-q210xqex1041stam.htm" TargetMode="External"/><Relationship Id="rId299" Type="http://schemas.openxmlformats.org/officeDocument/2006/relationships/hyperlink" Target="http://www.sec.gov/Archives/edgar/data/1447028/000144702820000118/a2020-q210xqex105secon.htm" TargetMode="External"/><Relationship Id="rId300" Type="http://schemas.openxmlformats.org/officeDocument/2006/relationships/hyperlink" Target="http://www.sec.gov/Archives/edgar/data/1635088/000119312521205193/d65062dex1020.htm" TargetMode="External"/><Relationship Id="rId301" Type="http://schemas.openxmlformats.org/officeDocument/2006/relationships/hyperlink" Target="http://www.sec.gov/Archives/edgar/data/1635088/000119312521205193/d65062dex1021.htm" TargetMode="External"/><Relationship Id="rId302" Type="http://schemas.openxmlformats.org/officeDocument/2006/relationships/hyperlink" Target="http://www.sec.gov/Archives/edgar/data/1635088/000119312521205193/d65062dex1022.htm" TargetMode="External"/><Relationship Id="rId303" Type="http://schemas.openxmlformats.org/officeDocument/2006/relationships/hyperlink" Target="http://www.sec.gov/Archives/edgar/data/1635088/000119312521205193/d65062dex1023.htm" TargetMode="External"/><Relationship Id="rId305" Type="http://schemas.openxmlformats.org/officeDocument/2006/relationships/hyperlink" Target="http://www.sec.gov/Archives/edgar/data/1635088/000119312521205193/d65062dex1024.htm" TargetMode="External"/><Relationship Id="rId306" Type="http://schemas.openxmlformats.org/officeDocument/2006/relationships/hyperlink" Target="http://www.sec.gov/Archives/edgar/data/1635088/000119312521162191/d65062dex1025.htm" TargetMode="External"/><Relationship Id="rId307" Type="http://schemas.openxmlformats.org/officeDocument/2006/relationships/hyperlink" Target="http://www.sec.gov/Archives/edgar/data/1635088/000095010321015700/dp159512_ex9901.htm" TargetMode="External"/><Relationship Id="rId308" Type="http://schemas.openxmlformats.org/officeDocument/2006/relationships/hyperlink" Target="http://www.sec.gov/Archives/edgar/data/1635088/000119312521162191/d65062dex1027.htm" TargetMode="External"/><Relationship Id="rId309" Type="http://schemas.openxmlformats.org/officeDocument/2006/relationships/hyperlink" Target="http://www.sec.gov/Archives/edgar/data/1635088/000119312521162191/d65062dex1028.htm" TargetMode="External"/><Relationship Id="rId310" Type="http://schemas.openxmlformats.org/officeDocument/2006/relationships/hyperlink" Target="http://www.sec.gov/Archives/edgar/data/1635088/000119312521162191/d65062dex1029.htm" TargetMode="External"/><Relationship Id="rId311" Type="http://schemas.openxmlformats.org/officeDocument/2006/relationships/hyperlink" Target="http://www.sec.gov/Archives/edgar/data/1635088/000119312521162191/d65062dex1030.htm" TargetMode="External"/><Relationship Id="rId312" Type="http://schemas.openxmlformats.org/officeDocument/2006/relationships/hyperlink" Target="http://www.sec.gov/Archives/edgar/data/1635088/000119312521205193/d65062dex1031.htm#cov" TargetMode="External"/><Relationship Id="rId313" Type="http://schemas.openxmlformats.org/officeDocument/2006/relationships/hyperlink" Target="http://www.sec.gov/Archives/edgar/data/1635088/000119312521205193/d65062dex1032.htm" TargetMode="External"/><Relationship Id="rId315" Type="http://schemas.openxmlformats.org/officeDocument/2006/relationships/hyperlink" Target="http://www.sec.gov/Archives/edgar/data/1635088/000119312521288885/d230641dex101.htm" TargetMode="External"/><Relationship Id="rId316" Type="http://schemas.openxmlformats.org/officeDocument/2006/relationships/hyperlink" Target="http://www.sec.gov/Archives/edgar/data/1635088/000095010321015700/dp159512_ex9902.htm" TargetMode="External"/><Relationship Id="rId317" Type="http://schemas.openxmlformats.org/officeDocument/2006/relationships/hyperlink" Target="http://www.sec.gov/Archives/edgar/data/1635088/000119312521328922/d203748dex101.htm" TargetMode="External"/><Relationship Id="rId318" Type="http://schemas.openxmlformats.org/officeDocument/2006/relationships/hyperlink" Target="http://www.sec.gov/Archives/edgar/data/1635088/000119312521365107/d268332dex1037.htm" TargetMode="External"/><Relationship Id="rId319" Type="http://schemas.openxmlformats.org/officeDocument/2006/relationships/hyperlink" Target="http://www.sec.gov/Archives/edgar/data/1635088/000119312521365107/d268332dex1038.htm" TargetMode="External"/><Relationship Id="rId320" Type="http://schemas.openxmlformats.org/officeDocument/2006/relationships/hyperlink" Target="http://www.sec.gov/Archives/edgar/data/1635088/000119312522039433/d12341dex101.htm" TargetMode="External"/><Relationship Id="rId321" Type="http://schemas.openxmlformats.org/officeDocument/2006/relationships/hyperlink" Target="http://www.sec.gov/Archives/edgar/data/1635088/000119312522039426/d27629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2022-06-28T07:11:50Z</dcterms:created>
  <dcterms:modified xsi:type="dcterms:W3CDTF">2022-06-28T07:11:50Z</dcterms:modified>
</cp:coreProperties>
</file>