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4</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ROIVANT SCIENCES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85,276,167.96</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85,575,552.47</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85,575,552.47</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85,575,552.47</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85,575,552.47</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5220"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11.8 %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640"/>
          </w:cols>
          <w:pgMar w:left="360" w:top="111" w:right="89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ROIVANT SCIENCES LTD</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7TH FLOOR, 50 BROADWAY,LONDON,X0,SW1H 0DB</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FMR LLC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245 Summer Street, Boston, Massachusetts 02210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18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520"/>
        <w:spacing w:after="0" w:line="241" w:lineRule="auto"/>
        <w:rPr>
          <w:sz w:val="20"/>
          <w:szCs w:val="20"/>
          <w:color w:val="auto"/>
        </w:rPr>
      </w:pPr>
      <w:r>
        <w:rPr>
          <w:sz w:val="1"/>
          <w:szCs w:val="1"/>
          <w:color w:val="auto"/>
        </w:rPr>
        <w:drawing>
          <wp:inline distT="0" distB="0" distL="0" distR="0">
            <wp:extent cx="128905" cy="12827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85575552.47</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56" w:lineRule="exact"/>
        <w:rPr>
          <w:sz w:val="20"/>
          <w:szCs w:val="20"/>
          <w:color w:val="auto"/>
        </w:rPr>
      </w:pPr>
    </w:p>
    <w:p>
      <w:pPr>
        <w:sectPr>
          <w:pgSz w:w="11900" w:h="16838" w:orient="portrait"/>
          <w:cols w:equalWidth="0" w:num="2">
            <w:col w:w="620" w:space="300"/>
            <w:col w:w="9720"/>
          </w:cols>
          <w:pgMar w:left="360" w:top="111" w:right="899" w:bottom="0" w:gutter="0" w:footer="0" w:header="0"/>
          <w:type w:val="continuous"/>
        </w:sectPr>
      </w:pPr>
    </w:p>
    <w:p>
      <w:pPr>
        <w:ind w:left="920"/>
        <w:spacing w:after="0"/>
        <w:rPr>
          <w:sz w:val="20"/>
          <w:szCs w:val="20"/>
          <w:color w:val="auto"/>
        </w:rPr>
      </w:pPr>
      <w:r>
        <w:rPr>
          <w:rFonts w:ascii="Times New Roman" w:cs="Times New Roman" w:eastAsia="Times New Roman" w:hAnsi="Times New Roman"/>
          <w:sz w:val="22"/>
          <w:szCs w:val="22"/>
          <w:color w:val="auto"/>
        </w:rPr>
        <w:t>11.8 %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jc w:val="right"/>
        <w:ind w:right="4540"/>
        <w:spacing w:after="0"/>
        <w:rPr>
          <w:sz w:val="20"/>
          <w:szCs w:val="20"/>
          <w:color w:val="auto"/>
        </w:rPr>
      </w:pPr>
      <w:r>
        <w:rPr>
          <w:rFonts w:ascii="Times New Roman" w:cs="Times New Roman" w:eastAsia="Times New Roman" w:hAnsi="Times New Roman"/>
          <w:sz w:val="22"/>
          <w:szCs w:val="22"/>
          <w:color w:val="auto"/>
        </w:rPr>
        <w:t>Please see the responses to Items 5 and 6 on the cover page.</w:t>
      </w:r>
    </w:p>
    <w:p>
      <w:pPr>
        <w:sectPr>
          <w:pgSz w:w="11900" w:h="16838" w:orient="portrait"/>
          <w:cols w:equalWidth="0" w:num="1">
            <w:col w:w="10640"/>
          </w:cols>
          <w:pgMar w:left="360" w:top="111" w:right="899" w:bottom="0"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ind w:right="6240" w:firstLine="6"/>
        <w:spacing w:after="0" w:line="486" w:lineRule="auto"/>
        <w:tabs>
          <w:tab w:leader="none" w:pos="31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0.00</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85575552.47</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0.00</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22"/>
          <w:szCs w:val="22"/>
          <w:color w:val="auto"/>
        </w:rPr>
        <w:t>One or more other persons are known to have the right to receive or the power to direct the receipt of dividends from, or the proceeds from the sale of, the COMMON STOCK of ROIVANT SCIENCES LTD. No one other person's interest in the COMMON STOCK of ROIVANT SCIENCES LTD is more than five percent of the total outstanding COMMON STOCK.</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409" w:right="399" w:bottom="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attached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Stephanie J. Brown</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ind w:left="5660"/>
        <w:spacing w:after="0" w:line="184" w:lineRule="auto"/>
        <w:rPr>
          <w:sz w:val="20"/>
          <w:szCs w:val="20"/>
          <w:color w:val="auto"/>
        </w:rPr>
      </w:pPr>
      <w:r>
        <w:rPr>
          <w:rFonts w:ascii="Times New Roman" w:cs="Times New Roman" w:eastAsia="Times New Roman" w:hAnsi="Times New Roman"/>
          <w:sz w:val="29"/>
          <w:szCs w:val="29"/>
          <w:color w:val="auto"/>
          <w:vertAlign w:val="subscript"/>
        </w:rPr>
        <w:t>Name/Title:</w:t>
      </w:r>
      <w:r>
        <w:rPr>
          <w:rFonts w:ascii="Times New Roman" w:cs="Times New Roman" w:eastAsia="Times New Roman" w:hAnsi="Times New Roman"/>
          <w:sz w:val="17"/>
          <w:szCs w:val="17"/>
          <w:color w:val="auto"/>
        </w:rPr>
        <w:t xml:space="preserve"> effective as of January 3, 2023, by and on behalf</w:t>
      </w:r>
    </w:p>
    <w:p>
      <w:pPr>
        <w:ind w:left="6740"/>
        <w:spacing w:after="0" w:line="231" w:lineRule="auto"/>
        <w:rPr>
          <w:sz w:val="20"/>
          <w:szCs w:val="20"/>
          <w:color w:val="auto"/>
        </w:rPr>
      </w:pPr>
      <w:r>
        <w:rPr>
          <w:rFonts w:ascii="Times New Roman" w:cs="Times New Roman" w:eastAsia="Times New Roman" w:hAnsi="Times New Roman"/>
          <w:sz w:val="22"/>
          <w:szCs w:val="22"/>
          <w:color w:val="auto"/>
        </w:rPr>
        <w:t>of FMR LLC and its direct and indirect</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subsidiaries*</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11/04/2026</w:t>
      </w:r>
    </w:p>
    <w:p>
      <w:pPr>
        <w:spacing w:after="0" w:line="15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Stephanie J. Brown</w:t>
      </w:r>
    </w:p>
    <w:p>
      <w:pPr>
        <w:sectPr>
          <w:pgSz w:w="11900" w:h="16838" w:orient="portrait"/>
          <w:cols w:equalWidth="0" w:num="1">
            <w:col w:w="11140"/>
          </w:cols>
          <w:pgMar w:left="360" w:top="409" w:right="399" w:bottom="0" w:gutter="0" w:footer="0" w:header="0"/>
          <w:type w:val="continuous"/>
        </w:sectPr>
      </w:pPr>
    </w:p>
    <w:bookmarkStart w:id="4" w:name="page5"/>
    <w:bookmarkEnd w:id="4"/>
    <w:p>
      <w:pPr>
        <w:ind w:left="5700"/>
        <w:spacing w:after="0"/>
        <w:rPr>
          <w:sz w:val="20"/>
          <w:szCs w:val="20"/>
          <w:color w:val="auto"/>
        </w:rPr>
      </w:pPr>
      <w:r>
        <w:rPr>
          <w:rFonts w:ascii="Times New Roman" w:cs="Times New Roman" w:eastAsia="Times New Roman" w:hAnsi="Times New Roman"/>
          <w:sz w:val="22"/>
          <w:szCs w:val="22"/>
          <w:color w:val="auto"/>
        </w:rPr>
        <w:t>Name/Title: Duly authorized under Power of Attorney</w:t>
      </w:r>
    </w:p>
    <w:p>
      <w:pPr>
        <w:spacing w:after="0" w:line="1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1"/>
          <w:szCs w:val="21"/>
          <w:color w:val="auto"/>
        </w:rPr>
        <w:t>effective as of January 26, 2023, by and on behalf</w:t>
      </w:r>
    </w:p>
    <w:p>
      <w:pPr>
        <w:spacing w:after="0" w:line="2"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of Abigail P. Johnson**</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11/04/2026</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Comments accompanying signature: </w:t>
      </w:r>
      <w:r>
        <w:rPr>
          <w:rFonts w:ascii="Times New Roman" w:cs="Times New Roman" w:eastAsia="Times New Roman" w:hAnsi="Times New Roman"/>
          <w:sz w:val="22"/>
          <w:szCs w:val="22"/>
          <w:color w:val="auto"/>
        </w:rPr>
        <w:t>* This power of attorney is incorporated herein by reference to Exhibit 24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Schedule 13G filed by FMR LLC on January 10, 2023, accession number: 0000315066-23-000003. ** This power of attorney is incorporated herein by reference to Exhibit 24 to the Schedule 13G filed by FMR LLC on January 31, 2023, accession number: 0000315066-23-000038.</w:t>
      </w:r>
    </w:p>
    <w:p>
      <w:pPr>
        <w:spacing w:after="0" w:line="4" w:lineRule="exact"/>
        <w:rPr>
          <w:sz w:val="20"/>
          <w:szCs w:val="20"/>
          <w:color w:val="auto"/>
        </w:rPr>
      </w:pPr>
    </w:p>
    <w:p>
      <w:pPr>
        <w:jc w:val="center"/>
        <w:ind w:right="680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Please see Exhibit 99 for 13d-1(k) (1) agreement.</w:t>
      </w:r>
    </w:p>
    <w:p>
      <w:pPr>
        <w:sectPr>
          <w:pgSz w:w="11900" w:h="16838" w:orient="portrait"/>
          <w:cols w:equalWidth="0" w:num="1">
            <w:col w:w="11120"/>
          </w:cols>
          <w:pgMar w:left="320" w:top="112" w:right="45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900" w:type="dxa"/>
            <w:vAlign w:val="bottom"/>
          </w:tcPr>
          <w:p>
            <w:pPr>
              <w:spacing w:after="0"/>
              <w:rPr>
                <w:sz w:val="20"/>
                <w:szCs w:val="20"/>
                <w:color w:val="auto"/>
              </w:rPr>
            </w:pPr>
            <w:r>
              <w:rPr>
                <w:rFonts w:ascii="Courier New" w:cs="Courier New" w:eastAsia="Courier New" w:hAnsi="Courier New"/>
                <w:sz w:val="18"/>
                <w:szCs w:val="18"/>
                <w:color w:val="auto"/>
              </w:rPr>
              <w:t>Entity</w:t>
            </w:r>
          </w:p>
        </w:tc>
        <w:tc>
          <w:tcPr>
            <w:tcW w:w="2800" w:type="dxa"/>
            <w:vAlign w:val="bottom"/>
          </w:tcPr>
          <w:p>
            <w:pPr>
              <w:ind w:left="60"/>
              <w:spacing w:after="0"/>
              <w:rPr>
                <w:sz w:val="20"/>
                <w:szCs w:val="20"/>
                <w:color w:val="auto"/>
              </w:rPr>
            </w:pPr>
            <w:r>
              <w:rPr>
                <w:rFonts w:ascii="Courier New" w:cs="Courier New" w:eastAsia="Courier New" w:hAnsi="Courier New"/>
                <w:sz w:val="18"/>
                <w:szCs w:val="18"/>
                <w:color w:val="auto"/>
              </w:rPr>
              <w:t>ITEM 3 Classification</w:t>
            </w: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900" w:type="dxa"/>
            <w:vAlign w:val="bottom"/>
          </w:tcPr>
          <w:p>
            <w:pPr>
              <w:spacing w:after="0"/>
              <w:rPr>
                <w:sz w:val="20"/>
                <w:szCs w:val="20"/>
                <w:color w:val="auto"/>
              </w:rPr>
            </w:pPr>
            <w:r>
              <w:rPr>
                <w:rFonts w:ascii="Courier New" w:cs="Courier New" w:eastAsia="Courier New" w:hAnsi="Courier New"/>
                <w:sz w:val="18"/>
                <w:szCs w:val="18"/>
                <w:color w:val="auto"/>
              </w:rPr>
              <w:t>FIAM LLC</w:t>
            </w:r>
          </w:p>
        </w:tc>
        <w:tc>
          <w:tcPr>
            <w:tcW w:w="2800" w:type="dxa"/>
            <w:vAlign w:val="bottom"/>
          </w:tcPr>
          <w:p>
            <w:pPr>
              <w:ind w:left="160"/>
              <w:spacing w:after="0"/>
              <w:rPr>
                <w:sz w:val="20"/>
                <w:szCs w:val="20"/>
                <w:color w:val="auto"/>
              </w:rPr>
            </w:pPr>
            <w:r>
              <w:rPr>
                <w:rFonts w:ascii="Courier New" w:cs="Courier New" w:eastAsia="Courier New" w:hAnsi="Courier New"/>
                <w:sz w:val="18"/>
                <w:szCs w:val="18"/>
                <w:color w:val="auto"/>
              </w:rPr>
              <w:t>IA</w:t>
            </w:r>
          </w:p>
        </w:tc>
        <w:tc>
          <w:tcPr>
            <w:tcW w:w="2320" w:type="dxa"/>
            <w:vAlign w:val="bottom"/>
            <w:vMerge w:val="restart"/>
          </w:tcPr>
          <w:p>
            <w:pPr>
              <w:ind w:left="200"/>
              <w:spacing w:after="0"/>
              <w:rPr>
                <w:sz w:val="20"/>
                <w:szCs w:val="20"/>
                <w:color w:val="auto"/>
              </w:rPr>
            </w:pPr>
            <w:r>
              <w:rPr>
                <w:rFonts w:ascii="Courier New" w:cs="Courier New" w:eastAsia="Courier New" w:hAnsi="Courier New"/>
                <w:sz w:val="18"/>
                <w:szCs w:val="18"/>
                <w:color w:val="auto"/>
              </w:rPr>
              <w:t>IA</w:t>
            </w:r>
          </w:p>
        </w:tc>
        <w:tc>
          <w:tcPr>
            <w:tcW w:w="0" w:type="dxa"/>
            <w:vAlign w:val="bottom"/>
          </w:tcPr>
          <w:p>
            <w:pPr>
              <w:spacing w:after="0"/>
              <w:rPr>
                <w:sz w:val="1"/>
                <w:szCs w:val="1"/>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Fidelity</w:t>
            </w:r>
          </w:p>
        </w:tc>
        <w:tc>
          <w:tcPr>
            <w:tcW w:w="2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Diversifying Solutions LLC</w:t>
            </w:r>
          </w:p>
        </w:tc>
        <w:tc>
          <w:tcPr>
            <w:tcW w:w="2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Fidelity</w:t>
            </w:r>
          </w:p>
        </w:tc>
        <w:tc>
          <w:tcPr>
            <w:tcW w:w="51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7"/>
              </w:rPr>
              <w:t>Institutional Asset Management Trust Company  BK</w:t>
            </w:r>
          </w:p>
        </w:tc>
        <w:tc>
          <w:tcPr>
            <w:tcW w:w="0" w:type="dxa"/>
            <w:vAlign w:val="bottom"/>
          </w:tcPr>
          <w:p>
            <w:pPr>
              <w:spacing w:after="0"/>
              <w:rPr>
                <w:sz w:val="1"/>
                <w:szCs w:val="1"/>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Fidelity</w:t>
            </w:r>
          </w:p>
        </w:tc>
        <w:tc>
          <w:tcPr>
            <w:tcW w:w="51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Management &amp; Research Company LLC * IA</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r>
              <w:rPr>
                <w:rFonts w:ascii="Courier New" w:cs="Courier New" w:eastAsia="Courier New" w:hAnsi="Courier New"/>
                <w:sz w:val="18"/>
                <w:szCs w:val="18"/>
                <w:color w:val="auto"/>
              </w:rPr>
              <w:t>Fidelity</w:t>
            </w:r>
          </w:p>
        </w:tc>
        <w:tc>
          <w:tcPr>
            <w:tcW w:w="2800" w:type="dxa"/>
            <w:vAlign w:val="bottom"/>
          </w:tcPr>
          <w:p>
            <w:pPr>
              <w:ind w:left="60"/>
              <w:spacing w:after="0"/>
              <w:rPr>
                <w:sz w:val="20"/>
                <w:szCs w:val="20"/>
                <w:color w:val="auto"/>
              </w:rPr>
            </w:pPr>
            <w:r>
              <w:rPr>
                <w:rFonts w:ascii="Courier New" w:cs="Courier New" w:eastAsia="Courier New" w:hAnsi="Courier New"/>
                <w:sz w:val="18"/>
                <w:szCs w:val="18"/>
                <w:color w:val="auto"/>
              </w:rPr>
              <w:t>Management Trust Company</w:t>
            </w:r>
          </w:p>
        </w:tc>
        <w:tc>
          <w:tcPr>
            <w:tcW w:w="2320" w:type="dxa"/>
            <w:vAlign w:val="bottom"/>
          </w:tcPr>
          <w:p>
            <w:pPr>
              <w:spacing w:after="0"/>
              <w:rPr>
                <w:sz w:val="20"/>
                <w:szCs w:val="20"/>
                <w:color w:val="auto"/>
              </w:rPr>
            </w:pPr>
            <w:r>
              <w:rPr>
                <w:rFonts w:ascii="Courier New" w:cs="Courier New" w:eastAsia="Courier New" w:hAnsi="Courier New"/>
                <w:sz w:val="18"/>
                <w:szCs w:val="18"/>
                <w:color w:val="auto"/>
              </w:rPr>
              <w:t>BK</w:t>
            </w:r>
          </w:p>
        </w:tc>
        <w:tc>
          <w:tcPr>
            <w:tcW w:w="0" w:type="dxa"/>
            <w:vAlign w:val="bottom"/>
          </w:tcPr>
          <w:p>
            <w:pPr>
              <w:spacing w:after="0"/>
              <w:rPr>
                <w:sz w:val="1"/>
                <w:szCs w:val="1"/>
                <w:color w:val="auto"/>
              </w:rPr>
            </w:pPr>
          </w:p>
        </w:tc>
      </w:tr>
    </w:tbl>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pacing w:after="0" w:line="200" w:lineRule="exact"/>
        <w:rPr>
          <w:sz w:val="20"/>
          <w:szCs w:val="20"/>
          <w:color w:val="auto"/>
        </w:rPr>
      </w:pPr>
    </w:p>
    <w:p>
      <w:pPr>
        <w:spacing w:after="0" w:line="374" w:lineRule="exact"/>
        <w:rPr>
          <w:sz w:val="20"/>
          <w:szCs w:val="20"/>
          <w:color w:val="auto"/>
        </w:rPr>
      </w:pPr>
    </w:p>
    <w:p>
      <w:pPr>
        <w:ind w:right="2439" w:firstLine="8"/>
        <w:spacing w:after="0" w:line="346"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2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The undersigned persons, on November 4, 2026, agree and consent to the joint filing on their behalf of this Schedule 13G in connection with their beneficial ownership of the COMMON STOCK of ROIVANT SCIENCES LTD at September 30, 2026.</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1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26, 2023, by and on behalf of Abigail P. Johnson**</w:t>
      </w:r>
    </w:p>
    <w:p>
      <w:pPr>
        <w:spacing w:after="0" w:line="253" w:lineRule="exact"/>
        <w:rPr>
          <w:sz w:val="20"/>
          <w:szCs w:val="20"/>
          <w:color w:val="auto"/>
        </w:rPr>
      </w:pPr>
    </w:p>
    <w:p>
      <w:pPr>
        <w:ind w:right="2019" w:firstLine="8"/>
        <w:spacing w:after="0" w:line="292" w:lineRule="auto"/>
        <w:tabs>
          <w:tab w:leader="none" w:pos="21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66" w:lineRule="exact"/>
        <w:rPr>
          <w:sz w:val="20"/>
          <w:szCs w:val="20"/>
          <w:color w:val="auto"/>
        </w:rPr>
      </w:pPr>
    </w:p>
    <w:p>
      <w:pPr>
        <w:ind w:right="1919" w:firstLine="8"/>
        <w:spacing w:after="0" w:line="292" w:lineRule="auto"/>
        <w:tabs>
          <w:tab w:leader="none" w:pos="316"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31, 2023, accession number: 0000315066-23-000038.</w:t>
      </w:r>
    </w:p>
    <w:sectPr>
      <w:pgSz w:w="11900" w:h="16838" w:orient="portrait"/>
      <w:cols w:equalWidth="0" w:num="1">
        <w:col w:w="10139"/>
      </w:cols>
      <w:pgMar w:left="320" w:top="110" w:right="1440" w:bottom="839"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5"/>
      <w:numFmt w:val="bullet"/>
      <w:start w:val="1"/>
    </w:lvl>
  </w:abstractNum>
  <w:abstractNum w:abstractNumId="3">
    <w:nsid w:val="2EB141F2"/>
    <w:multiLevelType w:val="hybridMultilevel"/>
    <w:lvl w:ilvl="0">
      <w:lvlJc w:val="left"/>
      <w:lvlText w:val="%1"/>
      <w:numFmt w:val="decimal"/>
      <w:start w:val="11"/>
    </w:lvl>
  </w:abstractNum>
  <w:abstractNum w:abstractNumId="4">
    <w:nsid w:val="41B71EFB"/>
    <w:multiLevelType w:val="hybridMultilevel"/>
    <w:lvl w:ilvl="0">
      <w:lvlJc w:val="left"/>
      <w:lvlText w:val="(%1)"/>
      <w:numFmt w:val="lowerLetter"/>
      <w:start w:val="3"/>
    </w:lvl>
  </w:abstractNum>
  <w:abstractNum w:abstractNumId="5">
    <w:nsid w:val="79E2A9E3"/>
    <w:multiLevelType w:val="hybridMultilevel"/>
    <w:lvl w:ilvl="0">
      <w:lvlJc w:val="left"/>
      <w:lvlText w:val="(%1)"/>
      <w:numFmt w:val="lowerRoman"/>
      <w:start w:val="2"/>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2026-11-05T12:26:12Z</dcterms:created>
  <dcterms:modified xsi:type="dcterms:W3CDTF">2026-11-05T12:26:12Z</dcterms:modified>
</cp:coreProperties>
</file>